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ms-word.document.macroEnabled.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85C7BC">
      <w:pPr>
        <w:spacing w:line="360" w:lineRule="auto"/>
        <w:jc w:val="center"/>
        <w:rPr>
          <w:rFonts w:hint="eastAsia"/>
          <w:sz w:val="28"/>
          <w:szCs w:val="28"/>
        </w:rPr>
      </w:pPr>
    </w:p>
    <w:p w14:paraId="53271A58">
      <w:pPr>
        <w:spacing w:line="360" w:lineRule="auto"/>
        <w:jc w:val="center"/>
        <w:rPr>
          <w:rFonts w:hint="eastAsia"/>
          <w:sz w:val="28"/>
          <w:szCs w:val="28"/>
        </w:rPr>
      </w:pPr>
    </w:p>
    <w:p w14:paraId="106E7EFE">
      <w:pPr>
        <w:adjustRightInd w:val="0"/>
        <w:snapToGrid w:val="0"/>
        <w:jc w:val="center"/>
        <w:outlineLvl w:val="0"/>
        <w:rPr>
          <w:rFonts w:eastAsia="方正小标宋_GBK"/>
          <w:bCs/>
          <w:kern w:val="21"/>
          <w:sz w:val="72"/>
          <w:szCs w:val="72"/>
        </w:rPr>
      </w:pPr>
      <w:bookmarkStart w:id="0" w:name="_Toc27050"/>
      <w:bookmarkStart w:id="1" w:name="_Toc31467"/>
      <w:bookmarkStart w:id="2" w:name="_Toc22077"/>
      <w:r>
        <w:rPr>
          <w:rFonts w:eastAsia="方正小标宋_GBK"/>
          <w:bCs/>
          <w:kern w:val="21"/>
          <w:sz w:val="72"/>
          <w:szCs w:val="72"/>
        </w:rPr>
        <w:t>建设项目环境影响报告表</w:t>
      </w:r>
      <w:bookmarkEnd w:id="0"/>
      <w:bookmarkEnd w:id="1"/>
      <w:bookmarkEnd w:id="2"/>
    </w:p>
    <w:p w14:paraId="7A4357D9">
      <w:pPr>
        <w:adjustRightInd w:val="0"/>
        <w:snapToGrid w:val="0"/>
        <w:spacing w:before="249" w:beforeLines="80"/>
        <w:jc w:val="center"/>
        <w:rPr>
          <w:rFonts w:eastAsia="楷体_GB2312"/>
          <w:bCs/>
          <w:sz w:val="48"/>
          <w:szCs w:val="48"/>
        </w:rPr>
      </w:pPr>
      <w:r>
        <w:rPr>
          <w:rFonts w:eastAsia="楷体_GB2312"/>
          <w:bCs/>
          <w:sz w:val="48"/>
          <w:szCs w:val="48"/>
        </w:rPr>
        <w:t>（污染影响类）</w:t>
      </w:r>
    </w:p>
    <w:p w14:paraId="1E92C5DF">
      <w:pPr>
        <w:jc w:val="center"/>
        <w:rPr>
          <w:b/>
          <w:bCs/>
          <w:sz w:val="32"/>
        </w:rPr>
      </w:pPr>
    </w:p>
    <w:p w14:paraId="5BA1F993">
      <w:pPr>
        <w:jc w:val="center"/>
        <w:rPr>
          <w:b/>
          <w:bCs/>
          <w:sz w:val="32"/>
        </w:rPr>
      </w:pPr>
    </w:p>
    <w:p w14:paraId="26241DA1">
      <w:pPr>
        <w:jc w:val="center"/>
        <w:rPr>
          <w:b/>
          <w:bCs/>
          <w:sz w:val="32"/>
        </w:rPr>
      </w:pPr>
    </w:p>
    <w:p w14:paraId="16D7E837">
      <w:pPr>
        <w:jc w:val="center"/>
        <w:rPr>
          <w:b/>
          <w:bCs/>
          <w:sz w:val="32"/>
        </w:rPr>
      </w:pPr>
    </w:p>
    <w:p w14:paraId="4AAFDEE3">
      <w:pPr>
        <w:jc w:val="center"/>
        <w:rPr>
          <w:b/>
          <w:bCs/>
          <w:sz w:val="32"/>
        </w:rPr>
      </w:pPr>
    </w:p>
    <w:p w14:paraId="168CFE86">
      <w:pPr>
        <w:spacing w:line="360" w:lineRule="auto"/>
        <w:ind w:left="1807" w:hanging="1807" w:hangingChars="500"/>
        <w:jc w:val="left"/>
        <w:rPr>
          <w:rFonts w:eastAsia="仿宋"/>
          <w:b/>
          <w:sz w:val="36"/>
          <w:szCs w:val="36"/>
          <w:u w:val="single"/>
        </w:rPr>
      </w:pPr>
      <w:r>
        <w:rPr>
          <w:rFonts w:eastAsia="仿宋"/>
          <w:b/>
          <w:bCs/>
          <w:sz w:val="36"/>
          <w:szCs w:val="36"/>
        </w:rPr>
        <w:t>项目名称</w:t>
      </w:r>
      <w:r>
        <w:rPr>
          <w:rFonts w:hint="eastAsia" w:eastAsia="仿宋"/>
          <w:b/>
          <w:bCs/>
          <w:sz w:val="36"/>
          <w:szCs w:val="36"/>
        </w:rPr>
        <w:t>：</w:t>
      </w:r>
      <w:r>
        <w:rPr>
          <w:rFonts w:hint="eastAsia" w:eastAsia="仿宋"/>
          <w:b/>
          <w:bCs/>
          <w:sz w:val="36"/>
          <w:szCs w:val="36"/>
          <w:u w:val="single"/>
          <w:lang w:val="en-US" w:eastAsia="zh-CN"/>
        </w:rPr>
        <w:t xml:space="preserve">            上口香智能化中央厨房项目        </w:t>
      </w:r>
      <w:r>
        <w:rPr>
          <w:rFonts w:hint="eastAsia" w:eastAsia="仿宋"/>
          <w:b/>
          <w:bCs/>
          <w:sz w:val="36"/>
          <w:szCs w:val="36"/>
          <w:u w:val="single"/>
        </w:rPr>
        <w:t xml:space="preserve"> </w:t>
      </w:r>
    </w:p>
    <w:p w14:paraId="4C9AE648">
      <w:pPr>
        <w:spacing w:line="360" w:lineRule="auto"/>
        <w:ind w:left="3050" w:hanging="3050" w:hangingChars="844"/>
        <w:rPr>
          <w:rFonts w:eastAsia="仿宋"/>
          <w:bCs/>
          <w:sz w:val="36"/>
          <w:szCs w:val="36"/>
          <w:u w:val="single"/>
        </w:rPr>
      </w:pPr>
      <w:r>
        <w:rPr>
          <w:rFonts w:eastAsia="仿宋"/>
          <w:b/>
          <w:bCs/>
          <w:sz w:val="36"/>
          <w:szCs w:val="36"/>
        </w:rPr>
        <w:t>建设单位（盖章）：</w:t>
      </w:r>
      <w:r>
        <w:rPr>
          <w:rFonts w:eastAsia="仿宋"/>
          <w:b/>
          <w:sz w:val="36"/>
          <w:szCs w:val="36"/>
          <w:u w:val="single"/>
        </w:rPr>
        <w:t xml:space="preserve"> </w:t>
      </w:r>
      <w:r>
        <w:rPr>
          <w:rFonts w:hint="eastAsia" w:eastAsia="仿宋"/>
          <w:b/>
          <w:sz w:val="36"/>
          <w:szCs w:val="36"/>
          <w:u w:val="single"/>
          <w:lang w:val="en-US" w:eastAsia="zh-CN"/>
        </w:rPr>
        <w:t xml:space="preserve">河南省上口香实业有限公司镇平分公司    </w:t>
      </w:r>
      <w:r>
        <w:rPr>
          <w:rFonts w:hint="eastAsia" w:eastAsia="仿宋"/>
          <w:b/>
          <w:sz w:val="36"/>
          <w:szCs w:val="36"/>
          <w:u w:val="single"/>
        </w:rPr>
        <w:t xml:space="preserve">  </w:t>
      </w:r>
    </w:p>
    <w:p w14:paraId="12B638EE">
      <w:pPr>
        <w:spacing w:line="360" w:lineRule="auto"/>
        <w:ind w:left="3050" w:hanging="3050" w:hangingChars="844"/>
        <w:rPr>
          <w:rFonts w:eastAsia="仿宋"/>
          <w:b/>
          <w:sz w:val="36"/>
          <w:szCs w:val="36"/>
        </w:rPr>
      </w:pPr>
      <w:r>
        <w:rPr>
          <w:rFonts w:eastAsia="仿宋"/>
          <w:b/>
          <w:bCs/>
          <w:sz w:val="36"/>
          <w:szCs w:val="36"/>
        </w:rPr>
        <w:t>编制日期：</w:t>
      </w:r>
      <w:r>
        <w:rPr>
          <w:rFonts w:eastAsia="仿宋"/>
          <w:b/>
          <w:sz w:val="36"/>
          <w:szCs w:val="36"/>
          <w:u w:val="single"/>
        </w:rPr>
        <w:t xml:space="preserve">            </w:t>
      </w:r>
      <w:r>
        <w:rPr>
          <w:rFonts w:hint="eastAsia" w:eastAsia="仿宋"/>
          <w:b/>
          <w:sz w:val="36"/>
          <w:szCs w:val="36"/>
          <w:u w:val="single"/>
        </w:rPr>
        <w:t xml:space="preserve">    二零二五</w:t>
      </w:r>
      <w:r>
        <w:rPr>
          <w:rFonts w:eastAsia="仿宋"/>
          <w:b/>
          <w:sz w:val="36"/>
          <w:szCs w:val="36"/>
          <w:u w:val="single"/>
        </w:rPr>
        <w:t>年</w:t>
      </w:r>
      <w:r>
        <w:rPr>
          <w:rFonts w:hint="eastAsia" w:eastAsia="仿宋"/>
          <w:b/>
          <w:sz w:val="36"/>
          <w:szCs w:val="36"/>
          <w:u w:val="single"/>
          <w:lang w:val="en-US" w:eastAsia="zh-CN"/>
        </w:rPr>
        <w:t>九</w:t>
      </w:r>
      <w:r>
        <w:rPr>
          <w:rFonts w:eastAsia="仿宋"/>
          <w:b/>
          <w:sz w:val="36"/>
          <w:szCs w:val="36"/>
          <w:u w:val="single"/>
        </w:rPr>
        <w:t>月</w:t>
      </w:r>
      <w:r>
        <w:rPr>
          <w:rFonts w:hint="eastAsia" w:eastAsia="仿宋"/>
          <w:b/>
          <w:sz w:val="36"/>
          <w:szCs w:val="36"/>
          <w:u w:val="single"/>
        </w:rPr>
        <w:t xml:space="preserve">    </w:t>
      </w:r>
      <w:r>
        <w:rPr>
          <w:rFonts w:eastAsia="仿宋"/>
          <w:b/>
          <w:sz w:val="36"/>
          <w:szCs w:val="36"/>
          <w:u w:val="single"/>
        </w:rPr>
        <w:t xml:space="preserve">           </w:t>
      </w:r>
    </w:p>
    <w:p w14:paraId="7F4786DB">
      <w:pPr>
        <w:spacing w:line="360" w:lineRule="auto"/>
        <w:jc w:val="center"/>
        <w:rPr>
          <w:bCs/>
          <w:sz w:val="32"/>
        </w:rPr>
      </w:pPr>
    </w:p>
    <w:p w14:paraId="11AE6CBD">
      <w:pPr>
        <w:jc w:val="center"/>
        <w:rPr>
          <w:b/>
          <w:bCs/>
          <w:sz w:val="32"/>
        </w:rPr>
      </w:pPr>
    </w:p>
    <w:p w14:paraId="1D1A8D7D">
      <w:pPr>
        <w:jc w:val="center"/>
        <w:rPr>
          <w:b/>
          <w:bCs/>
          <w:sz w:val="32"/>
        </w:rPr>
      </w:pPr>
    </w:p>
    <w:p w14:paraId="15F3A3B9">
      <w:pPr>
        <w:jc w:val="center"/>
        <w:rPr>
          <w:b/>
          <w:bCs/>
          <w:sz w:val="32"/>
        </w:rPr>
      </w:pPr>
    </w:p>
    <w:p w14:paraId="5DB4E912">
      <w:pPr>
        <w:jc w:val="center"/>
        <w:rPr>
          <w:rFonts w:eastAsia="楷体_GB2312"/>
          <w:sz w:val="36"/>
          <w:szCs w:val="36"/>
        </w:rPr>
      </w:pPr>
    </w:p>
    <w:p w14:paraId="7538C85A">
      <w:pPr>
        <w:jc w:val="center"/>
        <w:rPr>
          <w:rFonts w:eastAsia="楷体_GB2312"/>
          <w:sz w:val="36"/>
          <w:szCs w:val="36"/>
        </w:rPr>
      </w:pPr>
    </w:p>
    <w:p w14:paraId="7035377F">
      <w:pPr>
        <w:pStyle w:val="17"/>
        <w:jc w:val="center"/>
        <w:outlineLvl w:val="0"/>
        <w:rPr>
          <w:rFonts w:hint="eastAsia" w:eastAsia="楷体_GB2312"/>
          <w:sz w:val="36"/>
          <w:szCs w:val="36"/>
        </w:rPr>
      </w:pPr>
      <w:bookmarkStart w:id="3" w:name="_Toc8612"/>
      <w:bookmarkStart w:id="4" w:name="_Toc13371"/>
      <w:r>
        <w:rPr>
          <w:rFonts w:eastAsia="楷体_GB2312"/>
          <w:sz w:val="36"/>
          <w:szCs w:val="36"/>
        </w:rPr>
        <w:t>中华人民共和国生态环境部制</w:t>
      </w:r>
      <w:bookmarkEnd w:id="3"/>
      <w:bookmarkEnd w:id="4"/>
    </w:p>
    <w:p w14:paraId="574687F2">
      <w:pPr>
        <w:pStyle w:val="17"/>
        <w:jc w:val="center"/>
        <w:outlineLvl w:val="0"/>
        <w:rPr>
          <w:rFonts w:hint="eastAsia" w:eastAsia="楷体_GB2312"/>
          <w:sz w:val="36"/>
          <w:szCs w:val="36"/>
        </w:rPr>
        <w:sectPr>
          <w:headerReference r:id="rId5" w:type="first"/>
          <w:footerReference r:id="rId6" w:type="default"/>
          <w:pgSz w:w="11905" w:h="16838"/>
          <w:pgMar w:top="1440" w:right="1083" w:bottom="1440" w:left="1083" w:header="851" w:footer="992" w:gutter="0"/>
          <w:pgNumType w:start="1"/>
          <w:cols w:space="720" w:num="1"/>
          <w:docGrid w:type="lines" w:linePitch="312" w:charSpace="0"/>
        </w:sectPr>
      </w:pPr>
    </w:p>
    <w:p w14:paraId="4BB9D8E9">
      <w:pPr>
        <w:pStyle w:val="3"/>
        <w:spacing w:before="156"/>
        <w:jc w:val="center"/>
      </w:pPr>
      <w:r>
        <w:rPr>
          <w:rFonts w:hint="eastAsia"/>
        </w:rPr>
        <w:t>一、</w:t>
      </w:r>
      <w:r>
        <w:t>建设项目基本情况</w:t>
      </w:r>
    </w:p>
    <w:tbl>
      <w:tblPr>
        <w:tblStyle w:val="20"/>
        <w:tblW w:w="498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203"/>
        <w:gridCol w:w="3178"/>
        <w:gridCol w:w="2147"/>
        <w:gridCol w:w="3207"/>
      </w:tblGrid>
      <w:tr w14:paraId="3F8E9F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33209774">
            <w:pPr>
              <w:adjustRightInd w:val="0"/>
              <w:snapToGrid w:val="0"/>
              <w:jc w:val="center"/>
              <w:rPr>
                <w:rFonts w:hint="eastAsia"/>
                <w:color w:val="000000"/>
                <w:sz w:val="24"/>
              </w:rPr>
            </w:pPr>
            <w:r>
              <w:rPr>
                <w:color w:val="000000"/>
                <w:sz w:val="24"/>
              </w:rPr>
              <w:t>建设项目</w:t>
            </w:r>
          </w:p>
          <w:p w14:paraId="31BD8FA6">
            <w:pPr>
              <w:adjustRightInd w:val="0"/>
              <w:snapToGrid w:val="0"/>
              <w:jc w:val="center"/>
              <w:rPr>
                <w:color w:val="000000"/>
                <w:sz w:val="24"/>
              </w:rPr>
            </w:pPr>
            <w:r>
              <w:rPr>
                <w:color w:val="000000"/>
                <w:sz w:val="24"/>
              </w:rPr>
              <w:t>名称</w:t>
            </w:r>
          </w:p>
        </w:tc>
        <w:tc>
          <w:tcPr>
            <w:tcW w:w="4381" w:type="pct"/>
            <w:gridSpan w:val="3"/>
            <w:noWrap w:val="0"/>
            <w:vAlign w:val="center"/>
          </w:tcPr>
          <w:p w14:paraId="64A3AE02">
            <w:pPr>
              <w:adjustRightInd w:val="0"/>
              <w:snapToGrid w:val="0"/>
              <w:jc w:val="center"/>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上口香智能化中央厨房项目</w:t>
            </w:r>
          </w:p>
        </w:tc>
      </w:tr>
      <w:tr w14:paraId="6DE44E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7115949D">
            <w:pPr>
              <w:adjustRightInd w:val="0"/>
              <w:snapToGrid w:val="0"/>
              <w:jc w:val="center"/>
              <w:rPr>
                <w:color w:val="000000"/>
                <w:sz w:val="24"/>
              </w:rPr>
            </w:pPr>
            <w:r>
              <w:rPr>
                <w:color w:val="000000"/>
                <w:sz w:val="24"/>
              </w:rPr>
              <w:t>项目代码</w:t>
            </w:r>
          </w:p>
        </w:tc>
        <w:tc>
          <w:tcPr>
            <w:tcW w:w="4381" w:type="pct"/>
            <w:gridSpan w:val="3"/>
            <w:noWrap w:val="0"/>
            <w:vAlign w:val="center"/>
          </w:tcPr>
          <w:p w14:paraId="7E381F16">
            <w:pPr>
              <w:adjustRightInd w:val="0"/>
              <w:snapToGrid w:val="0"/>
              <w:jc w:val="center"/>
              <w:rPr>
                <w:color w:val="000000"/>
                <w:sz w:val="24"/>
              </w:rPr>
            </w:pPr>
            <w:r>
              <w:rPr>
                <w:rFonts w:hint="eastAsia"/>
                <w:color w:val="000000"/>
                <w:sz w:val="24"/>
                <w:lang w:val="en-US" w:eastAsia="zh-CN"/>
              </w:rPr>
              <w:t>2509-411324-04-01-233608</w:t>
            </w:r>
          </w:p>
        </w:tc>
      </w:tr>
      <w:tr w14:paraId="0A3AB5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3AB6825D">
            <w:pPr>
              <w:adjustRightInd w:val="0"/>
              <w:snapToGrid w:val="0"/>
              <w:jc w:val="center"/>
              <w:rPr>
                <w:rFonts w:hint="eastAsia"/>
                <w:color w:val="000000"/>
                <w:sz w:val="24"/>
              </w:rPr>
            </w:pPr>
            <w:r>
              <w:rPr>
                <w:color w:val="000000"/>
                <w:sz w:val="24"/>
              </w:rPr>
              <w:t>建设单位</w:t>
            </w:r>
          </w:p>
          <w:p w14:paraId="3C2444A0">
            <w:pPr>
              <w:adjustRightInd w:val="0"/>
              <w:snapToGrid w:val="0"/>
              <w:jc w:val="center"/>
              <w:rPr>
                <w:color w:val="000000"/>
                <w:sz w:val="24"/>
              </w:rPr>
            </w:pPr>
            <w:r>
              <w:rPr>
                <w:color w:val="000000"/>
                <w:sz w:val="24"/>
              </w:rPr>
              <w:t>联系人</w:t>
            </w:r>
          </w:p>
        </w:tc>
        <w:tc>
          <w:tcPr>
            <w:tcW w:w="1632" w:type="pct"/>
            <w:noWrap w:val="0"/>
            <w:vAlign w:val="center"/>
          </w:tcPr>
          <w:p w14:paraId="647A859C">
            <w:pPr>
              <w:adjustRightInd w:val="0"/>
              <w:snapToGrid w:val="0"/>
              <w:jc w:val="center"/>
              <w:rPr>
                <w:rFonts w:hint="eastAsia" w:eastAsia="宋体"/>
                <w:color w:val="000000"/>
                <w:sz w:val="24"/>
                <w:lang w:val="en-US" w:eastAsia="zh-CN"/>
              </w:rPr>
            </w:pPr>
            <w:r>
              <w:rPr>
                <w:rFonts w:hint="eastAsia" w:eastAsia="宋体"/>
                <w:color w:val="000000"/>
                <w:sz w:val="24"/>
                <w:lang w:val="en-US" w:eastAsia="zh-CN"/>
              </w:rPr>
              <w:t>张道周</w:t>
            </w:r>
          </w:p>
        </w:tc>
        <w:tc>
          <w:tcPr>
            <w:tcW w:w="1102" w:type="pct"/>
            <w:noWrap w:val="0"/>
            <w:vAlign w:val="center"/>
          </w:tcPr>
          <w:p w14:paraId="58A6219B">
            <w:pPr>
              <w:adjustRightInd w:val="0"/>
              <w:snapToGrid w:val="0"/>
              <w:jc w:val="center"/>
              <w:rPr>
                <w:color w:val="000000"/>
                <w:sz w:val="24"/>
              </w:rPr>
            </w:pPr>
            <w:r>
              <w:rPr>
                <w:color w:val="000000"/>
                <w:sz w:val="24"/>
              </w:rPr>
              <w:t>联系方式</w:t>
            </w:r>
          </w:p>
        </w:tc>
        <w:tc>
          <w:tcPr>
            <w:tcW w:w="1647" w:type="pct"/>
            <w:noWrap w:val="0"/>
            <w:vAlign w:val="center"/>
          </w:tcPr>
          <w:p w14:paraId="3DBACF6A">
            <w:pPr>
              <w:adjustRightInd w:val="0"/>
              <w:snapToGrid w:val="0"/>
              <w:jc w:val="center"/>
              <w:rPr>
                <w:rFonts w:hint="default" w:eastAsia="宋体"/>
                <w:color w:val="000000"/>
                <w:sz w:val="24"/>
                <w:lang w:val="en-US" w:eastAsia="zh-CN"/>
              </w:rPr>
            </w:pPr>
            <w:r>
              <w:rPr>
                <w:rFonts w:hint="default" w:eastAsia="宋体"/>
                <w:color w:val="000000"/>
                <w:sz w:val="24"/>
                <w:lang w:val="en-US" w:eastAsia="zh-CN"/>
              </w:rPr>
              <w:t>18337757727</w:t>
            </w:r>
          </w:p>
        </w:tc>
      </w:tr>
      <w:tr w14:paraId="1E67E4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13BA75E2">
            <w:pPr>
              <w:adjustRightInd w:val="0"/>
              <w:snapToGrid w:val="0"/>
              <w:jc w:val="center"/>
              <w:rPr>
                <w:color w:val="000000"/>
                <w:sz w:val="24"/>
              </w:rPr>
            </w:pPr>
            <w:r>
              <w:rPr>
                <w:color w:val="000000"/>
                <w:sz w:val="24"/>
              </w:rPr>
              <w:t>建设地点</w:t>
            </w:r>
          </w:p>
        </w:tc>
        <w:tc>
          <w:tcPr>
            <w:tcW w:w="4381" w:type="pct"/>
            <w:gridSpan w:val="3"/>
            <w:noWrap w:val="0"/>
            <w:vAlign w:val="center"/>
          </w:tcPr>
          <w:p w14:paraId="2277A3A5">
            <w:pPr>
              <w:adjustRightInd w:val="0"/>
              <w:snapToGrid w:val="0"/>
              <w:jc w:val="center"/>
              <w:rPr>
                <w:color w:val="000000"/>
                <w:sz w:val="24"/>
              </w:rPr>
            </w:pPr>
            <w:r>
              <w:rPr>
                <w:rFonts w:hint="eastAsia"/>
                <w:color w:val="000000"/>
                <w:sz w:val="24"/>
                <w:highlight w:val="none"/>
                <w:lang w:val="en-US" w:eastAsia="zh-CN"/>
              </w:rPr>
              <w:t>南阳市镇平</w:t>
            </w:r>
            <w:commentRangeStart w:id="0"/>
            <w:r>
              <w:rPr>
                <w:rFonts w:hint="eastAsia"/>
                <w:color w:val="000000"/>
                <w:sz w:val="24"/>
                <w:highlight w:val="none"/>
                <w:lang w:val="en-US" w:eastAsia="zh-CN"/>
              </w:rPr>
              <w:t>县乡村</w:t>
            </w:r>
            <w:commentRangeEnd w:id="0"/>
            <w:r>
              <w:commentReference w:id="0"/>
            </w:r>
            <w:r>
              <w:rPr>
                <w:rFonts w:hint="eastAsia"/>
                <w:color w:val="000000"/>
                <w:sz w:val="24"/>
                <w:highlight w:val="none"/>
                <w:lang w:val="en-US" w:eastAsia="zh-CN"/>
              </w:rPr>
              <w:t>振兴创业园4号楼1楼南</w:t>
            </w:r>
          </w:p>
        </w:tc>
      </w:tr>
      <w:tr w14:paraId="585FB1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3F92AF4A">
            <w:pPr>
              <w:adjustRightInd w:val="0"/>
              <w:snapToGrid w:val="0"/>
              <w:jc w:val="center"/>
              <w:rPr>
                <w:color w:val="000000"/>
                <w:sz w:val="24"/>
              </w:rPr>
            </w:pPr>
            <w:r>
              <w:rPr>
                <w:color w:val="000000"/>
                <w:sz w:val="24"/>
              </w:rPr>
              <w:t>地理坐标</w:t>
            </w:r>
          </w:p>
        </w:tc>
        <w:tc>
          <w:tcPr>
            <w:tcW w:w="4381" w:type="pct"/>
            <w:gridSpan w:val="3"/>
            <w:noWrap w:val="0"/>
            <w:vAlign w:val="center"/>
          </w:tcPr>
          <w:p w14:paraId="0BA1E12D">
            <w:pPr>
              <w:jc w:val="center"/>
              <w:rPr>
                <w:color w:val="000000"/>
                <w:sz w:val="24"/>
              </w:rPr>
            </w:pPr>
            <w:r>
              <w:rPr>
                <w:color w:val="000000"/>
                <w:sz w:val="24"/>
              </w:rPr>
              <w:t>（</w:t>
            </w:r>
            <w:r>
              <w:rPr>
                <w:color w:val="000000"/>
                <w:sz w:val="24"/>
                <w:u w:val="single"/>
              </w:rPr>
              <w:t>112</w:t>
            </w:r>
            <w:r>
              <w:rPr>
                <w:color w:val="000000"/>
                <w:sz w:val="24"/>
              </w:rPr>
              <w:t>度</w:t>
            </w:r>
            <w:r>
              <w:rPr>
                <w:rFonts w:hint="eastAsia"/>
                <w:color w:val="000000"/>
                <w:sz w:val="24"/>
                <w:u w:val="single"/>
                <w:lang w:val="en-US" w:eastAsia="zh-CN"/>
              </w:rPr>
              <w:t>12</w:t>
            </w:r>
            <w:r>
              <w:rPr>
                <w:color w:val="000000"/>
                <w:sz w:val="24"/>
              </w:rPr>
              <w:t>分</w:t>
            </w:r>
            <w:r>
              <w:rPr>
                <w:rFonts w:hint="eastAsia"/>
                <w:color w:val="000000"/>
                <w:sz w:val="24"/>
                <w:u w:val="single"/>
                <w:lang w:val="en-US" w:eastAsia="zh-CN"/>
              </w:rPr>
              <w:t>32.912</w:t>
            </w:r>
            <w:r>
              <w:rPr>
                <w:color w:val="000000"/>
                <w:sz w:val="24"/>
              </w:rPr>
              <w:t>秒，</w:t>
            </w:r>
            <w:r>
              <w:rPr>
                <w:color w:val="000000"/>
                <w:sz w:val="24"/>
                <w:u w:val="single"/>
              </w:rPr>
              <w:t>3</w:t>
            </w:r>
            <w:r>
              <w:rPr>
                <w:rFonts w:hint="eastAsia"/>
                <w:color w:val="000000"/>
                <w:sz w:val="24"/>
                <w:u w:val="single"/>
                <w:lang w:val="en-US" w:eastAsia="zh-CN"/>
              </w:rPr>
              <w:t>3</w:t>
            </w:r>
            <w:r>
              <w:rPr>
                <w:color w:val="000000"/>
                <w:sz w:val="24"/>
              </w:rPr>
              <w:t>度</w:t>
            </w:r>
            <w:r>
              <w:rPr>
                <w:rFonts w:hint="eastAsia"/>
                <w:color w:val="000000"/>
                <w:sz w:val="24"/>
                <w:u w:val="single"/>
                <w:lang w:val="en-US" w:eastAsia="zh-CN"/>
              </w:rPr>
              <w:t>03</w:t>
            </w:r>
            <w:r>
              <w:rPr>
                <w:color w:val="000000"/>
                <w:sz w:val="24"/>
              </w:rPr>
              <w:t>分</w:t>
            </w:r>
            <w:r>
              <w:rPr>
                <w:rFonts w:hint="eastAsia"/>
                <w:color w:val="000000"/>
                <w:sz w:val="24"/>
                <w:u w:val="single"/>
                <w:lang w:val="en-US" w:eastAsia="zh-CN"/>
              </w:rPr>
              <w:t>41.717</w:t>
            </w:r>
            <w:r>
              <w:rPr>
                <w:color w:val="000000"/>
                <w:sz w:val="24"/>
              </w:rPr>
              <w:t>秒）</w:t>
            </w:r>
          </w:p>
        </w:tc>
      </w:tr>
      <w:tr w14:paraId="5A6513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4671F667">
            <w:pPr>
              <w:adjustRightInd w:val="0"/>
              <w:snapToGrid w:val="0"/>
              <w:jc w:val="center"/>
              <w:rPr>
                <w:color w:val="000000"/>
                <w:sz w:val="24"/>
              </w:rPr>
            </w:pPr>
            <w:r>
              <w:rPr>
                <w:color w:val="000000"/>
                <w:sz w:val="24"/>
              </w:rPr>
              <w:t>国民经济行业类别</w:t>
            </w:r>
          </w:p>
        </w:tc>
        <w:tc>
          <w:tcPr>
            <w:tcW w:w="1632" w:type="pct"/>
            <w:noWrap w:val="0"/>
            <w:vAlign w:val="center"/>
          </w:tcPr>
          <w:p w14:paraId="1F5FD606">
            <w:pPr>
              <w:adjustRightInd w:val="0"/>
              <w:snapToGrid w:val="0"/>
              <w:jc w:val="both"/>
              <w:rPr>
                <w:rFonts w:hint="default" w:eastAsia="宋体"/>
                <w:color w:val="000000"/>
                <w:sz w:val="24"/>
                <w:lang w:val="en-US" w:eastAsia="zh-CN"/>
              </w:rPr>
            </w:pPr>
            <w:r>
              <w:rPr>
                <w:rFonts w:hint="eastAsia"/>
                <w:color w:val="000000"/>
                <w:sz w:val="24"/>
                <w:highlight w:val="none"/>
                <w:lang w:val="en-US" w:eastAsia="zh-CN"/>
              </w:rPr>
              <w:t>C</w:t>
            </w:r>
            <w:commentRangeStart w:id="1"/>
            <w:r>
              <w:rPr>
                <w:rFonts w:hint="eastAsia"/>
                <w:color w:val="000000"/>
                <w:sz w:val="24"/>
                <w:highlight w:val="none"/>
                <w:lang w:val="en-US" w:eastAsia="zh-CN"/>
              </w:rPr>
              <w:t>1439</w:t>
            </w:r>
            <w:commentRangeEnd w:id="1"/>
            <w:r>
              <w:commentReference w:id="1"/>
            </w:r>
            <w:r>
              <w:rPr>
                <w:rFonts w:hint="eastAsia"/>
                <w:color w:val="000000"/>
                <w:sz w:val="24"/>
                <w:highlight w:val="none"/>
                <w:lang w:val="en-US" w:eastAsia="zh-CN"/>
              </w:rPr>
              <w:t xml:space="preserve"> 其他方便食品制造</w:t>
            </w:r>
          </w:p>
        </w:tc>
        <w:tc>
          <w:tcPr>
            <w:tcW w:w="1102" w:type="pct"/>
            <w:noWrap w:val="0"/>
            <w:vAlign w:val="center"/>
          </w:tcPr>
          <w:p w14:paraId="74FB80CF">
            <w:pPr>
              <w:adjustRightInd w:val="0"/>
              <w:snapToGrid w:val="0"/>
              <w:jc w:val="center"/>
              <w:rPr>
                <w:color w:val="000000"/>
                <w:sz w:val="24"/>
              </w:rPr>
            </w:pPr>
            <w:bookmarkStart w:id="5" w:name="_Hlk49843745"/>
            <w:r>
              <w:rPr>
                <w:color w:val="000000"/>
                <w:sz w:val="24"/>
              </w:rPr>
              <w:t>建设项目行业类别</w:t>
            </w:r>
            <w:bookmarkEnd w:id="5"/>
          </w:p>
        </w:tc>
        <w:tc>
          <w:tcPr>
            <w:tcW w:w="1647" w:type="pct"/>
            <w:noWrap w:val="0"/>
            <w:vAlign w:val="center"/>
          </w:tcPr>
          <w:p w14:paraId="265CB220">
            <w:pPr>
              <w:adjustRightInd w:val="0"/>
              <w:snapToGrid w:val="0"/>
              <w:jc w:val="both"/>
              <w:rPr>
                <w:rFonts w:hint="default" w:eastAsia="宋体"/>
                <w:color w:val="000000"/>
                <w:sz w:val="24"/>
                <w:lang w:val="en-US" w:eastAsia="zh-CN"/>
              </w:rPr>
            </w:pPr>
            <w:r>
              <w:rPr>
                <w:rFonts w:hint="default" w:eastAsia="宋体"/>
                <w:color w:val="000000"/>
                <w:sz w:val="24"/>
                <w:highlight w:val="none"/>
                <w:lang w:val="en-US" w:eastAsia="zh-CN"/>
              </w:rPr>
              <w:t>十一、食品制造业14</w:t>
            </w:r>
            <w:r>
              <w:rPr>
                <w:rFonts w:hint="eastAsia"/>
                <w:color w:val="000000"/>
                <w:sz w:val="24"/>
                <w:highlight w:val="none"/>
                <w:lang w:val="en-US" w:eastAsia="zh-CN"/>
              </w:rPr>
              <w:t>—21糖果、巧克力及蜜饯制造 142*；方便食品制造 143*；罐头食品制造145*—除单纯分装外的</w:t>
            </w:r>
          </w:p>
        </w:tc>
      </w:tr>
      <w:tr w14:paraId="47DF6D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2810E328">
            <w:pPr>
              <w:adjustRightInd w:val="0"/>
              <w:snapToGrid w:val="0"/>
              <w:jc w:val="center"/>
              <w:rPr>
                <w:color w:val="000000"/>
                <w:sz w:val="24"/>
              </w:rPr>
            </w:pPr>
            <w:r>
              <w:rPr>
                <w:color w:val="000000"/>
                <w:sz w:val="24"/>
              </w:rPr>
              <w:t>建设性质</w:t>
            </w:r>
          </w:p>
        </w:tc>
        <w:tc>
          <w:tcPr>
            <w:tcW w:w="1632" w:type="pct"/>
            <w:noWrap w:val="0"/>
            <w:vAlign w:val="center"/>
          </w:tcPr>
          <w:p w14:paraId="0FAA41E2">
            <w:pPr>
              <w:jc w:val="left"/>
              <w:rPr>
                <w:color w:val="000000"/>
                <w:sz w:val="24"/>
              </w:rPr>
            </w:pPr>
            <w:r>
              <w:rPr>
                <w:rFonts w:hint="eastAsia"/>
                <w:color w:val="000000"/>
                <w:sz w:val="24"/>
                <w:lang w:eastAsia="zh-CN"/>
              </w:rPr>
              <w:t>☑</w:t>
            </w:r>
            <w:r>
              <w:rPr>
                <w:color w:val="000000"/>
                <w:sz w:val="24"/>
              </w:rPr>
              <w:t>新建（迁建）</w:t>
            </w:r>
          </w:p>
          <w:p w14:paraId="590F516D">
            <w:pPr>
              <w:jc w:val="left"/>
              <w:rPr>
                <w:color w:val="000000"/>
                <w:sz w:val="24"/>
              </w:rPr>
            </w:pPr>
            <w:r>
              <w:rPr>
                <w:rFonts w:hint="eastAsia"/>
                <w:color w:val="000000"/>
                <w:sz w:val="24"/>
                <w:lang w:eastAsia="zh-CN"/>
              </w:rPr>
              <w:t>□</w:t>
            </w:r>
            <w:r>
              <w:rPr>
                <w:color w:val="000000"/>
                <w:sz w:val="24"/>
              </w:rPr>
              <w:t>改建</w:t>
            </w:r>
          </w:p>
          <w:p w14:paraId="371385B2">
            <w:pPr>
              <w:jc w:val="left"/>
              <w:rPr>
                <w:color w:val="000000"/>
                <w:sz w:val="24"/>
              </w:rPr>
            </w:pPr>
            <w:r>
              <w:rPr>
                <w:rFonts w:hint="eastAsia"/>
                <w:color w:val="000000"/>
                <w:sz w:val="24"/>
                <w:lang w:eastAsia="zh-CN"/>
              </w:rPr>
              <w:t>□</w:t>
            </w:r>
            <w:r>
              <w:rPr>
                <w:color w:val="000000"/>
                <w:sz w:val="24"/>
              </w:rPr>
              <w:t>扩建</w:t>
            </w:r>
          </w:p>
          <w:p w14:paraId="5A890A24">
            <w:pPr>
              <w:jc w:val="left"/>
              <w:rPr>
                <w:color w:val="000000"/>
                <w:sz w:val="24"/>
              </w:rPr>
            </w:pPr>
            <w:r>
              <w:rPr>
                <w:rFonts w:hint="eastAsia"/>
                <w:color w:val="000000"/>
                <w:sz w:val="24"/>
                <w:lang w:eastAsia="zh-CN"/>
              </w:rPr>
              <w:t>□</w:t>
            </w:r>
            <w:r>
              <w:rPr>
                <w:color w:val="000000"/>
                <w:sz w:val="24"/>
              </w:rPr>
              <w:t>技术改造</w:t>
            </w:r>
          </w:p>
        </w:tc>
        <w:tc>
          <w:tcPr>
            <w:tcW w:w="1102" w:type="pct"/>
            <w:noWrap w:val="0"/>
            <w:vAlign w:val="center"/>
          </w:tcPr>
          <w:p w14:paraId="65E54804">
            <w:pPr>
              <w:adjustRightInd w:val="0"/>
              <w:snapToGrid w:val="0"/>
              <w:jc w:val="center"/>
              <w:rPr>
                <w:color w:val="000000"/>
                <w:sz w:val="24"/>
              </w:rPr>
            </w:pPr>
            <w:r>
              <w:rPr>
                <w:color w:val="000000"/>
                <w:sz w:val="24"/>
              </w:rPr>
              <w:t>建设项目申报情形</w:t>
            </w:r>
          </w:p>
        </w:tc>
        <w:tc>
          <w:tcPr>
            <w:tcW w:w="1647" w:type="pct"/>
            <w:noWrap w:val="0"/>
            <w:vAlign w:val="center"/>
          </w:tcPr>
          <w:p w14:paraId="44E6E20D">
            <w:pPr>
              <w:jc w:val="left"/>
              <w:rPr>
                <w:color w:val="000000"/>
                <w:sz w:val="24"/>
              </w:rPr>
            </w:pPr>
            <w:r>
              <w:rPr>
                <w:rFonts w:hint="eastAsia"/>
                <w:color w:val="000000"/>
                <w:sz w:val="24"/>
                <w:lang w:eastAsia="zh-CN"/>
              </w:rPr>
              <w:t>☑</w:t>
            </w:r>
            <w:r>
              <w:rPr>
                <w:color w:val="000000"/>
                <w:sz w:val="24"/>
              </w:rPr>
              <w:t>首次申报项目</w:t>
            </w:r>
          </w:p>
          <w:p w14:paraId="19CAF9C2">
            <w:pPr>
              <w:jc w:val="left"/>
              <w:rPr>
                <w:color w:val="000000"/>
                <w:sz w:val="24"/>
              </w:rPr>
            </w:pPr>
            <w:r>
              <w:rPr>
                <w:rFonts w:hint="eastAsia"/>
                <w:color w:val="000000"/>
                <w:sz w:val="24"/>
                <w:lang w:eastAsia="zh-CN"/>
              </w:rPr>
              <w:t>□</w:t>
            </w:r>
            <w:r>
              <w:rPr>
                <w:color w:val="000000"/>
                <w:sz w:val="24"/>
              </w:rPr>
              <w:t>不予批准后再次申报项目</w:t>
            </w:r>
          </w:p>
          <w:p w14:paraId="06BDEBDD">
            <w:pPr>
              <w:jc w:val="left"/>
              <w:rPr>
                <w:color w:val="000000"/>
                <w:sz w:val="24"/>
              </w:rPr>
            </w:pPr>
            <w:r>
              <w:rPr>
                <w:rFonts w:hint="eastAsia"/>
                <w:color w:val="000000"/>
                <w:sz w:val="24"/>
                <w:lang w:eastAsia="zh-CN"/>
              </w:rPr>
              <w:t>□</w:t>
            </w:r>
            <w:r>
              <w:rPr>
                <w:color w:val="000000"/>
                <w:sz w:val="24"/>
              </w:rPr>
              <w:t>超五年重新审核项目</w:t>
            </w:r>
          </w:p>
          <w:p w14:paraId="66137ED2">
            <w:pPr>
              <w:jc w:val="left"/>
              <w:rPr>
                <w:color w:val="000000"/>
                <w:sz w:val="24"/>
              </w:rPr>
            </w:pPr>
            <w:r>
              <w:rPr>
                <w:rFonts w:hint="eastAsia"/>
                <w:color w:val="000000"/>
                <w:sz w:val="24"/>
                <w:lang w:eastAsia="zh-CN"/>
              </w:rPr>
              <w:t>□</w:t>
            </w:r>
            <w:r>
              <w:rPr>
                <w:color w:val="000000"/>
                <w:sz w:val="24"/>
              </w:rPr>
              <w:t>重大变动重新报批项目</w:t>
            </w:r>
          </w:p>
        </w:tc>
      </w:tr>
      <w:tr w14:paraId="658B11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3132CE65">
            <w:pPr>
              <w:adjustRightInd w:val="0"/>
              <w:snapToGrid w:val="0"/>
              <w:jc w:val="center"/>
              <w:rPr>
                <w:color w:val="000000"/>
                <w:sz w:val="24"/>
              </w:rPr>
            </w:pPr>
            <w:r>
              <w:rPr>
                <w:color w:val="000000"/>
                <w:sz w:val="24"/>
              </w:rPr>
              <w:t>项目审批（核准/备案）部门</w:t>
            </w:r>
          </w:p>
        </w:tc>
        <w:tc>
          <w:tcPr>
            <w:tcW w:w="1632" w:type="pct"/>
            <w:noWrap w:val="0"/>
            <w:vAlign w:val="center"/>
          </w:tcPr>
          <w:p w14:paraId="7258D2D1">
            <w:pPr>
              <w:adjustRightInd w:val="0"/>
              <w:snapToGrid w:val="0"/>
              <w:jc w:val="center"/>
              <w:rPr>
                <w:color w:val="000000"/>
                <w:sz w:val="24"/>
              </w:rPr>
            </w:pPr>
            <w:r>
              <w:rPr>
                <w:color w:val="000000"/>
                <w:sz w:val="24"/>
              </w:rPr>
              <w:t>镇平县发展和改革委员会</w:t>
            </w:r>
          </w:p>
        </w:tc>
        <w:tc>
          <w:tcPr>
            <w:tcW w:w="1102" w:type="pct"/>
            <w:noWrap w:val="0"/>
            <w:vAlign w:val="center"/>
          </w:tcPr>
          <w:p w14:paraId="0A788A4C">
            <w:pPr>
              <w:adjustRightInd w:val="0"/>
              <w:snapToGrid w:val="0"/>
              <w:jc w:val="center"/>
              <w:rPr>
                <w:color w:val="000000"/>
                <w:sz w:val="24"/>
              </w:rPr>
            </w:pPr>
            <w:r>
              <w:rPr>
                <w:color w:val="000000"/>
                <w:sz w:val="24"/>
              </w:rPr>
              <w:t>项目审批（核准/备案）文号</w:t>
            </w:r>
          </w:p>
        </w:tc>
        <w:tc>
          <w:tcPr>
            <w:tcW w:w="1647" w:type="pct"/>
            <w:noWrap w:val="0"/>
            <w:vAlign w:val="center"/>
          </w:tcPr>
          <w:p w14:paraId="332EF2EA">
            <w:pPr>
              <w:adjustRightInd w:val="0"/>
              <w:snapToGrid w:val="0"/>
              <w:jc w:val="center"/>
              <w:rPr>
                <w:color w:val="000000"/>
                <w:sz w:val="24"/>
              </w:rPr>
            </w:pPr>
            <w:r>
              <w:rPr>
                <w:rFonts w:hint="eastAsia"/>
                <w:color w:val="000000"/>
                <w:sz w:val="24"/>
                <w:lang w:val="en-US" w:eastAsia="zh-CN"/>
              </w:rPr>
              <w:t>2509-411324-04-01-233608</w:t>
            </w:r>
          </w:p>
        </w:tc>
      </w:tr>
      <w:tr w14:paraId="47094F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52C4F866">
            <w:pPr>
              <w:adjustRightInd w:val="0"/>
              <w:snapToGrid w:val="0"/>
              <w:jc w:val="center"/>
              <w:rPr>
                <w:rFonts w:hint="eastAsia"/>
                <w:color w:val="000000"/>
                <w:sz w:val="24"/>
              </w:rPr>
            </w:pPr>
            <w:r>
              <w:rPr>
                <w:color w:val="000000"/>
                <w:sz w:val="24"/>
              </w:rPr>
              <w:t>总投资</w:t>
            </w:r>
          </w:p>
          <w:p w14:paraId="142168BD">
            <w:pPr>
              <w:adjustRightInd w:val="0"/>
              <w:snapToGrid w:val="0"/>
              <w:jc w:val="center"/>
              <w:rPr>
                <w:color w:val="000000"/>
                <w:sz w:val="24"/>
              </w:rPr>
            </w:pPr>
            <w:r>
              <w:rPr>
                <w:color w:val="000000"/>
                <w:sz w:val="24"/>
              </w:rPr>
              <w:t>（万元）</w:t>
            </w:r>
          </w:p>
        </w:tc>
        <w:tc>
          <w:tcPr>
            <w:tcW w:w="1632" w:type="pct"/>
            <w:noWrap w:val="0"/>
            <w:vAlign w:val="center"/>
          </w:tcPr>
          <w:p w14:paraId="3C7C6CF8">
            <w:pPr>
              <w:adjustRightInd w:val="0"/>
              <w:snapToGrid w:val="0"/>
              <w:jc w:val="center"/>
              <w:rPr>
                <w:rFonts w:hint="default" w:eastAsia="宋体"/>
                <w:color w:val="000000"/>
                <w:sz w:val="24"/>
                <w:lang w:val="en-US" w:eastAsia="zh-CN"/>
              </w:rPr>
            </w:pPr>
            <w:r>
              <w:rPr>
                <w:rFonts w:hint="eastAsia"/>
                <w:color w:val="000000"/>
                <w:sz w:val="24"/>
                <w:lang w:val="en-US" w:eastAsia="zh-CN"/>
              </w:rPr>
              <w:t>3000</w:t>
            </w:r>
          </w:p>
        </w:tc>
        <w:tc>
          <w:tcPr>
            <w:tcW w:w="1102" w:type="pct"/>
            <w:noWrap w:val="0"/>
            <w:tcMar>
              <w:top w:w="16" w:type="dxa"/>
              <w:left w:w="16" w:type="dxa"/>
              <w:right w:w="16" w:type="dxa"/>
            </w:tcMar>
            <w:vAlign w:val="center"/>
          </w:tcPr>
          <w:p w14:paraId="576B1A9F">
            <w:pPr>
              <w:adjustRightInd w:val="0"/>
              <w:snapToGrid w:val="0"/>
              <w:jc w:val="center"/>
              <w:rPr>
                <w:color w:val="000000"/>
                <w:sz w:val="24"/>
              </w:rPr>
            </w:pPr>
            <w:r>
              <w:rPr>
                <w:color w:val="000000"/>
                <w:sz w:val="24"/>
              </w:rPr>
              <w:t>环保投资（万元）</w:t>
            </w:r>
          </w:p>
        </w:tc>
        <w:tc>
          <w:tcPr>
            <w:tcW w:w="1647" w:type="pct"/>
            <w:noWrap w:val="0"/>
            <w:vAlign w:val="center"/>
          </w:tcPr>
          <w:p w14:paraId="5984166E">
            <w:pPr>
              <w:adjustRightInd w:val="0"/>
              <w:snapToGrid w:val="0"/>
              <w:jc w:val="center"/>
              <w:rPr>
                <w:rFonts w:hint="default" w:eastAsia="宋体"/>
                <w:color w:val="000000"/>
                <w:sz w:val="24"/>
                <w:lang w:val="en-US" w:eastAsia="zh-CN"/>
              </w:rPr>
            </w:pPr>
            <w:r>
              <w:rPr>
                <w:rFonts w:hint="eastAsia"/>
                <w:color w:val="000000"/>
                <w:sz w:val="24"/>
                <w:lang w:val="en-US" w:eastAsia="zh-CN"/>
              </w:rPr>
              <w:t>125.5</w:t>
            </w:r>
          </w:p>
        </w:tc>
      </w:tr>
      <w:tr w14:paraId="25C2F3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23F37C62">
            <w:pPr>
              <w:adjustRightInd w:val="0"/>
              <w:snapToGrid w:val="0"/>
              <w:jc w:val="center"/>
              <w:rPr>
                <w:color w:val="000000"/>
                <w:sz w:val="24"/>
              </w:rPr>
            </w:pPr>
            <w:r>
              <w:rPr>
                <w:color w:val="000000"/>
                <w:sz w:val="24"/>
              </w:rPr>
              <w:t>环保投资占比（%）</w:t>
            </w:r>
          </w:p>
        </w:tc>
        <w:tc>
          <w:tcPr>
            <w:tcW w:w="1632" w:type="pct"/>
            <w:noWrap w:val="0"/>
            <w:vAlign w:val="center"/>
          </w:tcPr>
          <w:p w14:paraId="4ED32E9A">
            <w:pPr>
              <w:adjustRightInd w:val="0"/>
              <w:snapToGrid w:val="0"/>
              <w:jc w:val="center"/>
              <w:rPr>
                <w:rFonts w:hint="default" w:eastAsia="宋体"/>
                <w:color w:val="000000"/>
                <w:sz w:val="24"/>
                <w:lang w:val="en-US" w:eastAsia="zh-CN"/>
              </w:rPr>
            </w:pPr>
            <w:r>
              <w:rPr>
                <w:rFonts w:hint="eastAsia"/>
                <w:color w:val="000000"/>
                <w:sz w:val="24"/>
                <w:lang w:val="en-US" w:eastAsia="zh-CN"/>
              </w:rPr>
              <w:t>4.18</w:t>
            </w:r>
          </w:p>
        </w:tc>
        <w:tc>
          <w:tcPr>
            <w:tcW w:w="1102" w:type="pct"/>
            <w:noWrap w:val="0"/>
            <w:tcMar>
              <w:top w:w="16" w:type="dxa"/>
              <w:left w:w="16" w:type="dxa"/>
              <w:right w:w="16" w:type="dxa"/>
            </w:tcMar>
            <w:vAlign w:val="center"/>
          </w:tcPr>
          <w:p w14:paraId="1C87614E">
            <w:pPr>
              <w:adjustRightInd w:val="0"/>
              <w:snapToGrid w:val="0"/>
              <w:jc w:val="center"/>
              <w:rPr>
                <w:color w:val="000000"/>
                <w:sz w:val="24"/>
              </w:rPr>
            </w:pPr>
            <w:r>
              <w:rPr>
                <w:color w:val="000000"/>
                <w:sz w:val="24"/>
              </w:rPr>
              <w:t>施工工期</w:t>
            </w:r>
          </w:p>
        </w:tc>
        <w:tc>
          <w:tcPr>
            <w:tcW w:w="1647" w:type="pct"/>
            <w:noWrap w:val="0"/>
            <w:vAlign w:val="center"/>
          </w:tcPr>
          <w:p w14:paraId="0520D23E">
            <w:pPr>
              <w:adjustRightInd w:val="0"/>
              <w:snapToGrid w:val="0"/>
              <w:jc w:val="center"/>
              <w:rPr>
                <w:color w:val="000000"/>
                <w:sz w:val="24"/>
              </w:rPr>
            </w:pPr>
            <w:r>
              <w:rPr>
                <w:rFonts w:hint="eastAsia"/>
                <w:color w:val="000000"/>
                <w:sz w:val="24"/>
                <w:lang w:val="en-US" w:eastAsia="zh-CN"/>
              </w:rPr>
              <w:t>3</w:t>
            </w:r>
            <w:r>
              <w:rPr>
                <w:rFonts w:hint="eastAsia"/>
                <w:color w:val="000000"/>
                <w:sz w:val="24"/>
              </w:rPr>
              <w:t>个月</w:t>
            </w:r>
          </w:p>
        </w:tc>
      </w:tr>
      <w:tr w14:paraId="6983D4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noWrap w:val="0"/>
            <w:tcMar>
              <w:top w:w="16" w:type="dxa"/>
              <w:left w:w="16" w:type="dxa"/>
              <w:right w:w="16" w:type="dxa"/>
            </w:tcMar>
            <w:vAlign w:val="center"/>
          </w:tcPr>
          <w:p w14:paraId="6412E609">
            <w:pPr>
              <w:adjustRightInd w:val="0"/>
              <w:snapToGrid w:val="0"/>
              <w:jc w:val="center"/>
              <w:rPr>
                <w:rFonts w:hint="eastAsia"/>
                <w:color w:val="000000"/>
                <w:sz w:val="24"/>
              </w:rPr>
            </w:pPr>
            <w:r>
              <w:rPr>
                <w:color w:val="000000"/>
                <w:sz w:val="24"/>
              </w:rPr>
              <w:t>是否开工</w:t>
            </w:r>
          </w:p>
          <w:p w14:paraId="44B5468D">
            <w:pPr>
              <w:adjustRightInd w:val="0"/>
              <w:snapToGrid w:val="0"/>
              <w:jc w:val="center"/>
              <w:rPr>
                <w:color w:val="000000"/>
                <w:sz w:val="24"/>
              </w:rPr>
            </w:pPr>
            <w:r>
              <w:rPr>
                <w:color w:val="000000"/>
                <w:sz w:val="24"/>
              </w:rPr>
              <w:t>建设</w:t>
            </w:r>
          </w:p>
        </w:tc>
        <w:tc>
          <w:tcPr>
            <w:tcW w:w="1632" w:type="pct"/>
            <w:noWrap w:val="0"/>
            <w:vAlign w:val="center"/>
          </w:tcPr>
          <w:p w14:paraId="6A087C7B">
            <w:pPr>
              <w:adjustRightInd w:val="0"/>
              <w:snapToGrid w:val="0"/>
              <w:rPr>
                <w:color w:val="000000"/>
                <w:sz w:val="24"/>
              </w:rPr>
            </w:pPr>
            <w:r>
              <w:rPr>
                <w:color w:val="000000"/>
                <w:sz w:val="24"/>
              </w:rPr>
              <w:t>■否</w:t>
            </w:r>
          </w:p>
          <w:p w14:paraId="7061DECE">
            <w:pPr>
              <w:adjustRightInd w:val="0"/>
              <w:snapToGrid w:val="0"/>
              <w:rPr>
                <w:color w:val="000000"/>
                <w:sz w:val="24"/>
              </w:rPr>
            </w:pPr>
            <w:r>
              <w:rPr>
                <w:color w:val="000000"/>
                <w:sz w:val="24"/>
              </w:rPr>
              <w:t>□是：</w:t>
            </w:r>
            <w:r>
              <w:rPr>
                <w:color w:val="000000"/>
                <w:sz w:val="24"/>
                <w:u w:val="single"/>
              </w:rPr>
              <w:t xml:space="preserve">          </w:t>
            </w:r>
          </w:p>
        </w:tc>
        <w:tc>
          <w:tcPr>
            <w:tcW w:w="1102" w:type="pct"/>
            <w:noWrap w:val="0"/>
            <w:tcMar>
              <w:top w:w="16" w:type="dxa"/>
              <w:left w:w="16" w:type="dxa"/>
              <w:right w:w="16" w:type="dxa"/>
            </w:tcMar>
            <w:vAlign w:val="center"/>
          </w:tcPr>
          <w:p w14:paraId="221743C6">
            <w:pPr>
              <w:adjustRightInd w:val="0"/>
              <w:snapToGrid w:val="0"/>
              <w:jc w:val="center"/>
              <w:rPr>
                <w:color w:val="000000"/>
                <w:sz w:val="24"/>
              </w:rPr>
            </w:pPr>
            <w:r>
              <w:rPr>
                <w:color w:val="000000"/>
                <w:spacing w:val="-6"/>
                <w:sz w:val="24"/>
              </w:rPr>
              <w:t>用地面积（m</w:t>
            </w:r>
            <w:r>
              <w:rPr>
                <w:color w:val="000000"/>
                <w:spacing w:val="-6"/>
                <w:sz w:val="24"/>
                <w:vertAlign w:val="superscript"/>
              </w:rPr>
              <w:t>2</w:t>
            </w:r>
            <w:r>
              <w:rPr>
                <w:color w:val="000000"/>
                <w:spacing w:val="-6"/>
                <w:sz w:val="24"/>
              </w:rPr>
              <w:t>）</w:t>
            </w:r>
          </w:p>
        </w:tc>
        <w:tc>
          <w:tcPr>
            <w:tcW w:w="1647" w:type="pct"/>
            <w:noWrap w:val="0"/>
            <w:vAlign w:val="center"/>
          </w:tcPr>
          <w:p w14:paraId="08C63F81">
            <w:pPr>
              <w:adjustRightInd w:val="0"/>
              <w:snapToGrid w:val="0"/>
              <w:jc w:val="center"/>
              <w:rPr>
                <w:rFonts w:hint="default" w:eastAsia="宋体"/>
                <w:color w:val="000000"/>
                <w:sz w:val="24"/>
                <w:lang w:val="en-US" w:eastAsia="zh-CN"/>
              </w:rPr>
            </w:pPr>
            <w:r>
              <w:rPr>
                <w:rFonts w:hint="default" w:eastAsia="宋体"/>
                <w:color w:val="000000"/>
                <w:sz w:val="24"/>
                <w:lang w:val="en-US" w:eastAsia="zh-CN"/>
              </w:rPr>
              <w:t>3672.2</w:t>
            </w:r>
          </w:p>
        </w:tc>
      </w:tr>
      <w:tr w14:paraId="28F7D3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noWrap w:val="0"/>
            <w:vAlign w:val="center"/>
          </w:tcPr>
          <w:p w14:paraId="6D5682D8">
            <w:pPr>
              <w:autoSpaceDE w:val="0"/>
              <w:autoSpaceDN w:val="0"/>
              <w:adjustRightInd w:val="0"/>
              <w:snapToGrid w:val="0"/>
              <w:jc w:val="center"/>
              <w:rPr>
                <w:color w:val="000000"/>
                <w:kern w:val="0"/>
                <w:sz w:val="24"/>
              </w:rPr>
            </w:pPr>
            <w:r>
              <w:rPr>
                <w:color w:val="000000"/>
                <w:kern w:val="0"/>
                <w:sz w:val="24"/>
              </w:rPr>
              <w:t>专项评价设置情况</w:t>
            </w:r>
          </w:p>
        </w:tc>
        <w:tc>
          <w:tcPr>
            <w:tcW w:w="4381" w:type="pct"/>
            <w:gridSpan w:val="3"/>
            <w:noWrap w:val="0"/>
            <w:vAlign w:val="center"/>
          </w:tcPr>
          <w:p w14:paraId="1415EF0E">
            <w:pPr>
              <w:autoSpaceDE w:val="0"/>
              <w:autoSpaceDN w:val="0"/>
              <w:adjustRightInd w:val="0"/>
              <w:snapToGrid w:val="0"/>
              <w:jc w:val="center"/>
              <w:rPr>
                <w:color w:val="000000"/>
                <w:kern w:val="0"/>
                <w:sz w:val="24"/>
              </w:rPr>
            </w:pPr>
            <w:r>
              <w:rPr>
                <w:rFonts w:hint="eastAsia"/>
                <w:color w:val="000000"/>
                <w:sz w:val="24"/>
              </w:rPr>
              <w:t>无</w:t>
            </w:r>
          </w:p>
        </w:tc>
      </w:tr>
      <w:tr w14:paraId="227E00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noWrap w:val="0"/>
            <w:vAlign w:val="center"/>
          </w:tcPr>
          <w:p w14:paraId="257A5A53">
            <w:pPr>
              <w:autoSpaceDE w:val="0"/>
              <w:autoSpaceDN w:val="0"/>
              <w:adjustRightInd w:val="0"/>
              <w:snapToGrid w:val="0"/>
              <w:jc w:val="center"/>
              <w:rPr>
                <w:color w:val="000000"/>
                <w:kern w:val="0"/>
                <w:sz w:val="24"/>
              </w:rPr>
            </w:pPr>
            <w:r>
              <w:rPr>
                <w:color w:val="000000"/>
                <w:sz w:val="24"/>
              </w:rPr>
              <w:t>规划情况</w:t>
            </w:r>
          </w:p>
        </w:tc>
        <w:tc>
          <w:tcPr>
            <w:tcW w:w="4381" w:type="pct"/>
            <w:gridSpan w:val="3"/>
            <w:noWrap w:val="0"/>
            <w:vAlign w:val="center"/>
          </w:tcPr>
          <w:p w14:paraId="56BEFCD4">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规划名称：《镇平县先进制造业开发区发展规划（2022-2035）环境影响报告书》</w:t>
            </w:r>
          </w:p>
          <w:p w14:paraId="2DB3FF69">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审批机关：河南省发展和改革委员会</w:t>
            </w:r>
          </w:p>
          <w:p w14:paraId="0D6DF343">
            <w:pPr>
              <w:autoSpaceDE w:val="0"/>
              <w:autoSpaceDN w:val="0"/>
              <w:adjustRightInd w:val="0"/>
              <w:snapToGrid w:val="0"/>
              <w:jc w:val="left"/>
              <w:rPr>
                <w:color w:val="000000"/>
                <w:sz w:val="24"/>
              </w:rPr>
            </w:pPr>
            <w:r>
              <w:rPr>
                <w:rFonts w:hint="eastAsia"/>
                <w:color w:val="000000" w:themeColor="text1"/>
                <w:kern w:val="21"/>
                <w:sz w:val="24"/>
                <w14:textFill>
                  <w14:solidFill>
                    <w14:schemeClr w14:val="tx1"/>
                  </w14:solidFill>
                </w14:textFill>
              </w:rPr>
              <w:t>审批文件名称及文号：《河南省发展和改革委员会关于同意南阳市开发区整合方案的函》（豫发改工业函〔2022〕23号）</w:t>
            </w:r>
          </w:p>
        </w:tc>
      </w:tr>
      <w:tr w14:paraId="7E6346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noWrap w:val="0"/>
            <w:vAlign w:val="center"/>
          </w:tcPr>
          <w:p w14:paraId="23A1A8E5">
            <w:pPr>
              <w:adjustRightInd w:val="0"/>
              <w:snapToGrid w:val="0"/>
              <w:jc w:val="center"/>
              <w:rPr>
                <w:color w:val="000000"/>
                <w:kern w:val="0"/>
                <w:sz w:val="24"/>
              </w:rPr>
            </w:pPr>
            <w:r>
              <w:rPr>
                <w:color w:val="000000"/>
                <w:sz w:val="24"/>
              </w:rPr>
              <w:t>规划环境影响评价情况</w:t>
            </w:r>
          </w:p>
        </w:tc>
        <w:tc>
          <w:tcPr>
            <w:tcW w:w="4381" w:type="pct"/>
            <w:gridSpan w:val="3"/>
            <w:noWrap w:val="0"/>
            <w:vAlign w:val="center"/>
          </w:tcPr>
          <w:p w14:paraId="50B02952">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规划环评文件：《镇平县先进制造业开发区发展规划（2022-2035）环境影响报告书》</w:t>
            </w:r>
          </w:p>
          <w:p w14:paraId="23AEDB6A">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召集审查机关：河南省生态环境厅</w:t>
            </w:r>
          </w:p>
          <w:p w14:paraId="70E0F9EA">
            <w:pPr>
              <w:autoSpaceDE w:val="0"/>
              <w:autoSpaceDN w:val="0"/>
              <w:adjustRightInd w:val="0"/>
              <w:snapToGrid w:val="0"/>
              <w:jc w:val="left"/>
              <w:rPr>
                <w:color w:val="000000"/>
                <w:sz w:val="24"/>
              </w:rPr>
            </w:pPr>
            <w:r>
              <w:rPr>
                <w:rFonts w:hint="eastAsia"/>
                <w:color w:val="000000" w:themeColor="text1"/>
                <w:kern w:val="21"/>
                <w:sz w:val="24"/>
                <w14:textFill>
                  <w14:solidFill>
                    <w14:schemeClr w14:val="tx1"/>
                  </w14:solidFill>
                </w14:textFill>
              </w:rPr>
              <w:t>审查文件名称及文号：河南省生态环境厅关于《镇平县先进制造业开发区发展规划（2022-2035）环境影响报告书》的审查意见（豫环函〔2024〕128号）</w:t>
            </w:r>
          </w:p>
        </w:tc>
      </w:tr>
      <w:tr w14:paraId="23B3F6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noWrap w:val="0"/>
            <w:vAlign w:val="center"/>
          </w:tcPr>
          <w:p w14:paraId="66A47B6E">
            <w:pPr>
              <w:autoSpaceDE w:val="0"/>
              <w:autoSpaceDN w:val="0"/>
              <w:adjustRightInd w:val="0"/>
              <w:snapToGrid w:val="0"/>
              <w:jc w:val="center"/>
              <w:rPr>
                <w:color w:val="000000"/>
                <w:kern w:val="0"/>
                <w:sz w:val="24"/>
              </w:rPr>
            </w:pPr>
            <w:r>
              <w:rPr>
                <w:color w:val="000000"/>
                <w:kern w:val="0"/>
                <w:sz w:val="24"/>
              </w:rPr>
              <w:t>规划及规划环境影响评价符合性分析</w:t>
            </w:r>
          </w:p>
        </w:tc>
        <w:tc>
          <w:tcPr>
            <w:tcW w:w="4381" w:type="pct"/>
            <w:gridSpan w:val="3"/>
            <w:noWrap w:val="0"/>
            <w:vAlign w:val="top"/>
          </w:tcPr>
          <w:p w14:paraId="75A71D1B">
            <w:pPr>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1、《镇平县先进制造业开发区发展规划（2022-2035）》规划符合性分析</w:t>
            </w:r>
          </w:p>
          <w:p w14:paraId="3948AF5C">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（1）规划范围</w:t>
            </w:r>
          </w:p>
          <w:p w14:paraId="3300496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四至边界：本次规划范围为经省政府同意并批复的镇平县先进制造业开发区整合后的四至边界，总面积12.04km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共分三个片区，片区1（铁路北片区）：东至航天大道，西至玉龙路，南至宁西铁路，北至S330、北环路，边界规模605.57ha；片区2（铁路南片区）：东至航天大道、天工路，西至玉源路，南至南外环路，北至杏山大道，边界规模451.70ha；片区3（东部片区）：东至东外环路，西至东三里河，南至平安大道，北至建设大道，边界规模146.77ha。</w:t>
            </w:r>
          </w:p>
          <w:p w14:paraId="5EBD5983">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（2）规划时限</w:t>
            </w:r>
          </w:p>
          <w:p w14:paraId="5B6F3D1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规划期限为2022~2035年，近期至2025年，远期至2035年。</w:t>
            </w:r>
          </w:p>
          <w:p w14:paraId="427C058D">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（3）发展定位</w:t>
            </w:r>
          </w:p>
          <w:p w14:paraId="38C47CD8">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结合镇平县实际，未来开发区将成为中部地区重要的装备制造基地、豫西南绿色食品加工产业</w:t>
            </w:r>
            <w:commentRangeStart w:id="2"/>
            <w:r>
              <w:rPr>
                <w:color w:val="000000" w:themeColor="text1"/>
                <w:sz w:val="24"/>
                <w14:textFill>
                  <w14:solidFill>
                    <w14:schemeClr w14:val="tx1"/>
                  </w14:solidFill>
                </w14:textFill>
              </w:rPr>
              <w:t>园、</w:t>
            </w:r>
            <w:commentRangeEnd w:id="2"/>
            <w:r>
              <w:commentReference w:id="2"/>
            </w:r>
            <w:r>
              <w:rPr>
                <w:color w:val="000000" w:themeColor="text1"/>
                <w:sz w:val="24"/>
                <w14:textFill>
                  <w14:solidFill>
                    <w14:schemeClr w14:val="tx1"/>
                  </w14:solidFill>
                </w14:textFill>
              </w:rPr>
              <w:t>豫西南重要的非金属制品产业基地。</w:t>
            </w:r>
          </w:p>
          <w:p w14:paraId="3760D273">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（4）功能结构</w:t>
            </w:r>
          </w:p>
          <w:p w14:paraId="29991678">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结合开发区的功能要求和产业布局，本着统筹兼顾、综合协调的原则确定了</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一轴一心七组团</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的空间结构。</w:t>
            </w:r>
          </w:p>
          <w:p w14:paraId="22CFBCD7">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轴：即产业发展轴。规划沿玉都大道串联各个产业园区，结合便利交通优势，形成县城开发区优势明显、特色突出的产业发展轴；同时，对接周边县市发展，形成差异发展优势，避免同类竞争，提升园区持续发展竞争力。</w:t>
            </w:r>
          </w:p>
          <w:p w14:paraId="2D842902">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一心：即是县城开发区综合服务中心。在建设大道以北、玉都大道以东，结合 现状规划一处综合综合服务中心，安排科研中心、便民服务中心、商务办公、商业金融站等重要功能性用地，形成园区功能核心。</w:t>
            </w:r>
          </w:p>
          <w:p w14:paraId="01E10251">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七组团：即开发区根据不同的功能需求和工业门类的需求，以及用地内自然条件与交通设施的分割，将开发区划分成六大功能分区，即新型建材产业园、玉石智 谷产业园、优质提升园区、高端装备制造产业园、绿色食品产业园、医药健康产业园、产城融合区。</w:t>
            </w:r>
          </w:p>
          <w:p w14:paraId="1A66303F">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（5）功能分区</w:t>
            </w:r>
          </w:p>
          <w:p w14:paraId="58B666D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开发区形成以新型建材产业园、高端装备制造产业园、绿色食品产业园、玉石智谷产业园和医药健康产业园五个主要园区，配套产城融合区和优化提升产业园（现状建成为主），形成</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5+2</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区中园布局。做强主导、培育现代新兴，突出镇平特色；重点发展新型建材、方便食品制造、新型电子元器件及装备制造，淘汰落后产能。支持传统玉文化、纺织针织品牌建设。积极发展现代服务业、培育高端服务业，推进创新转型。</w:t>
            </w:r>
          </w:p>
          <w:p w14:paraId="3BD80826">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（6）主导产业选择</w:t>
            </w:r>
          </w:p>
          <w:p w14:paraId="510E6013">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2022年2月，省发改委《关于同意南阳市开发区整合方案的函》（豫发改工业函〔2022〕23号）同意镇平县先进制造业开发区的整合方案，在原镇平县产业集聚区范围上进行整合，绿色食品、高端装备制造、非金属矿物制品为主导产业。</w:t>
            </w:r>
          </w:p>
          <w:p w14:paraId="1E1C4F1A">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（7）规划符合性分析</w:t>
            </w:r>
          </w:p>
          <w:p w14:paraId="66C8FBC0">
            <w:pPr>
              <w:spacing w:line="360" w:lineRule="auto"/>
              <w:ind w:firstLine="480" w:firstLineChars="200"/>
              <w:rPr>
                <w:color w:val="000000" w:themeColor="text1"/>
                <w:sz w:val="24"/>
                <w:highlight w:val="yellow"/>
                <w14:textFill>
                  <w14:solidFill>
                    <w14:schemeClr w14:val="tx1"/>
                  </w14:solidFill>
                </w14:textFill>
              </w:rPr>
            </w:pPr>
            <w:commentRangeStart w:id="3"/>
            <w:r>
              <w:rPr>
                <w:color w:val="000000" w:themeColor="text1"/>
                <w:sz w:val="24"/>
                <w14:textFill>
                  <w14:solidFill>
                    <w14:schemeClr w14:val="tx1"/>
                  </w14:solidFill>
                </w14:textFill>
              </w:rPr>
              <w:t>本项目属</w:t>
            </w:r>
            <w:commentRangeEnd w:id="3"/>
            <w:r>
              <w:commentReference w:id="3"/>
            </w:r>
            <w:r>
              <w:rPr>
                <w:color w:val="000000" w:themeColor="text1"/>
                <w:sz w:val="24"/>
                <w14:textFill>
                  <w14:solidFill>
                    <w14:schemeClr w14:val="tx1"/>
                  </w14:solidFill>
                </w14:textFill>
              </w:rPr>
              <w:t>于</w:t>
            </w:r>
            <w:r>
              <w:rPr>
                <w:rFonts w:hint="eastAsia"/>
                <w:color w:val="000000" w:themeColor="text1"/>
                <w:sz w:val="24"/>
                <w:lang w:val="en-US" w:eastAsia="zh-CN"/>
                <w14:textFill>
                  <w14:solidFill>
                    <w14:schemeClr w14:val="tx1"/>
                  </w14:solidFill>
                </w14:textFill>
              </w:rPr>
              <w:t>其他方便食品制造</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项目位于</w:t>
            </w:r>
            <w:r>
              <w:rPr>
                <w:rFonts w:hint="eastAsia"/>
                <w:color w:val="000000" w:themeColor="text1"/>
                <w:sz w:val="24"/>
                <w:lang w:val="en-US" w:eastAsia="zh-CN"/>
                <w14:textFill>
                  <w14:solidFill>
                    <w14:schemeClr w14:val="tx1"/>
                  </w14:solidFill>
                </w14:textFill>
              </w:rPr>
              <w:t>南阳市镇平县乡村振兴创业园4号楼1楼南</w:t>
            </w:r>
            <w:r>
              <w:rPr>
                <w:color w:val="000000" w:themeColor="text1"/>
                <w:sz w:val="24"/>
                <w14:textFill>
                  <w14:solidFill>
                    <w14:schemeClr w14:val="tx1"/>
                  </w14:solidFill>
                </w14:textFill>
              </w:rPr>
              <w:t>，经对照镇平县先进制造业开发区发展规划，项目选址属于规划中的</w:t>
            </w:r>
            <w:r>
              <w:rPr>
                <w:rFonts w:hint="eastAsia"/>
                <w:color w:val="000000" w:themeColor="text1"/>
                <w:sz w:val="24"/>
                <w:lang w:val="en-US" w:eastAsia="zh-CN"/>
                <w14:textFill>
                  <w14:solidFill>
                    <w14:schemeClr w14:val="tx1"/>
                  </w14:solidFill>
                </w14:textFill>
              </w:rPr>
              <w:t>绿色食品</w:t>
            </w:r>
            <w:r>
              <w:rPr>
                <w:color w:val="000000" w:themeColor="text1"/>
                <w:sz w:val="24"/>
                <w14:textFill>
                  <w14:solidFill>
                    <w14:schemeClr w14:val="tx1"/>
                  </w14:solidFill>
                </w14:textFill>
              </w:rPr>
              <w:t>产业园（</w:t>
            </w:r>
            <w:r>
              <w:rPr>
                <w:rFonts w:hint="eastAsia"/>
                <w:color w:val="000000" w:themeColor="text1"/>
                <w:sz w:val="24"/>
                <w:lang w:val="en-US" w:eastAsia="zh-CN"/>
                <w14:textFill>
                  <w14:solidFill>
                    <w14:schemeClr w14:val="tx1"/>
                  </w14:solidFill>
                </w14:textFill>
              </w:rPr>
              <w:t>米、面制品</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速冻食品</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其他方面制品</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（见附图5）</w:t>
            </w:r>
            <w:r>
              <w:rPr>
                <w:color w:val="000000" w:themeColor="text1"/>
                <w:sz w:val="24"/>
                <w14:textFill>
                  <w14:solidFill>
                    <w14:schemeClr w14:val="tx1"/>
                  </w14:solidFill>
                </w14:textFill>
              </w:rPr>
              <w:t>，用地性质为工业用地，项目属于园区主导产业，属于开发区规划范围，用地性质属于工业用地</w:t>
            </w:r>
            <w:r>
              <w:rPr>
                <w:rFonts w:hint="eastAsia"/>
                <w:color w:val="000000" w:themeColor="text1"/>
                <w:sz w:val="24"/>
                <w14:textFill>
                  <w14:solidFill>
                    <w14:schemeClr w14:val="tx1"/>
                  </w14:solidFill>
                </w14:textFill>
              </w:rPr>
              <w:t>，且已取得</w:t>
            </w:r>
            <w:r>
              <w:rPr>
                <w:color w:val="000000" w:themeColor="text1"/>
                <w:sz w:val="24"/>
                <w14:textFill>
                  <w14:solidFill>
                    <w14:schemeClr w14:val="tx1"/>
                  </w14:solidFill>
                </w14:textFill>
              </w:rPr>
              <w:t>镇平县</w:t>
            </w:r>
            <w:r>
              <w:rPr>
                <w:rFonts w:hint="eastAsia"/>
                <w:color w:val="000000" w:themeColor="text1"/>
                <w:sz w:val="24"/>
                <w14:textFill>
                  <w14:solidFill>
                    <w14:schemeClr w14:val="tx1"/>
                  </w14:solidFill>
                </w14:textFill>
              </w:rPr>
              <w:t>先进制造业开发区管理委员会出具的入驻证明，因此本项目建设符合镇平县先进制造业开发区规划要求。</w:t>
            </w:r>
          </w:p>
          <w:p w14:paraId="77F02756">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w:t>
            </w:r>
            <w:r>
              <w:rPr>
                <w:b/>
                <w:bCs/>
                <w:color w:val="000000" w:themeColor="text1"/>
                <w:sz w:val="24"/>
                <w14:textFill>
                  <w14:solidFill>
                    <w14:schemeClr w14:val="tx1"/>
                  </w14:solidFill>
                </w14:textFill>
              </w:rPr>
              <w:t>、《镇平县先进制造业开发区发展规划（2022-2035）环境影响报告书》符合性分析</w:t>
            </w:r>
          </w:p>
          <w:p w14:paraId="5EABD89C">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2.1、</w:t>
            </w:r>
            <w:r>
              <w:rPr>
                <w:b/>
                <w:bCs/>
                <w:color w:val="000000" w:themeColor="text1"/>
                <w:sz w:val="24"/>
                <w14:textFill>
                  <w14:solidFill>
                    <w14:schemeClr w14:val="tx1"/>
                  </w14:solidFill>
                </w14:textFill>
              </w:rPr>
              <w:t>项目与镇平县先进制造业开发区差别化环境准入条件符合性分析详见下表。</w:t>
            </w:r>
          </w:p>
          <w:p w14:paraId="73E1A7FF">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表1-</w:t>
            </w:r>
            <w:r>
              <w:rPr>
                <w:rFonts w:hint="eastAsia"/>
                <w:b/>
                <w:bCs/>
                <w:color w:val="000000" w:themeColor="text1"/>
                <w:sz w:val="24"/>
                <w14:textFill>
                  <w14:solidFill>
                    <w14:schemeClr w14:val="tx1"/>
                  </w14:solidFill>
                </w14:textFill>
              </w:rPr>
              <w:t>1</w:t>
            </w:r>
            <w:r>
              <w:rPr>
                <w:b/>
                <w:bCs/>
                <w:color w:val="000000" w:themeColor="text1"/>
                <w:sz w:val="24"/>
                <w14:textFill>
                  <w14:solidFill>
                    <w14:schemeClr w14:val="tx1"/>
                  </w14:solidFill>
                </w14:textFill>
              </w:rPr>
              <w:t xml:space="preserve">  项目与镇平县先进制造业开发区差别化环境准入条件符合性分析</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
              <w:gridCol w:w="623"/>
              <w:gridCol w:w="669"/>
              <w:gridCol w:w="3349"/>
              <w:gridCol w:w="2492"/>
              <w:gridCol w:w="696"/>
            </w:tblGrid>
            <w:tr w14:paraId="1F8E6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2" w:type="pct"/>
                  <w:gridSpan w:val="2"/>
                  <w:vAlign w:val="center"/>
                </w:tcPr>
                <w:p w14:paraId="68C9DAA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管控类 型</w:t>
                  </w:r>
                </w:p>
              </w:tc>
              <w:tc>
                <w:tcPr>
                  <w:tcW w:w="2419" w:type="pct"/>
                  <w:gridSpan w:val="2"/>
                  <w:vAlign w:val="center"/>
                </w:tcPr>
                <w:p w14:paraId="6248283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管控要求</w:t>
                  </w:r>
                </w:p>
              </w:tc>
              <w:tc>
                <w:tcPr>
                  <w:tcW w:w="1500" w:type="pct"/>
                  <w:vAlign w:val="center"/>
                </w:tcPr>
                <w:p w14:paraId="7B61338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417" w:type="pct"/>
                  <w:vAlign w:val="center"/>
                </w:tcPr>
                <w:p w14:paraId="62B68F4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符合性</w:t>
                  </w:r>
                </w:p>
              </w:tc>
            </w:tr>
            <w:tr w14:paraId="17703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restart"/>
                  <w:vAlign w:val="center"/>
                </w:tcPr>
                <w:p w14:paraId="484E162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基本要求</w:t>
                  </w:r>
                </w:p>
              </w:tc>
              <w:tc>
                <w:tcPr>
                  <w:tcW w:w="375" w:type="pct"/>
                  <w:vMerge w:val="restart"/>
                  <w:vAlign w:val="center"/>
                </w:tcPr>
                <w:p w14:paraId="05A8DC8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403" w:type="pct"/>
                  <w:vAlign w:val="center"/>
                </w:tcPr>
                <w:p w14:paraId="0EC542A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禁止开发建设活动</w:t>
                  </w:r>
                </w:p>
              </w:tc>
              <w:tc>
                <w:tcPr>
                  <w:tcW w:w="2015" w:type="pct"/>
                  <w:vAlign w:val="center"/>
                </w:tcPr>
                <w:p w14:paraId="28F51298">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1、禁止新建与园区主导产业不相符或不在园区规划发展产业链上的</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项目；入驻的</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项目必须符合主导产业或在园区规划产业链上</w:t>
                  </w:r>
                </w:p>
                <w:p w14:paraId="1217871E">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2、禁止新建、改扩建与园区主导产业不相符的重污染或国家、省绩效分级重点行业项目；</w:t>
                  </w:r>
                </w:p>
                <w:p w14:paraId="7C598C21">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3、禁止新建集中电镀项目（配套电镀工序企业除外*），入驻电镀项目需满足《河南省电镀建设项目环境影响评价文件审查审批原则要求（试行）》</w:t>
                  </w:r>
                </w:p>
                <w:p w14:paraId="3E637526">
                  <w:pPr>
                    <w:rPr>
                      <w:color w:val="000000" w:themeColor="text1"/>
                      <w:szCs w:val="21"/>
                      <w14:textFill>
                        <w14:solidFill>
                          <w14:schemeClr w14:val="tx1"/>
                        </w14:solidFill>
                      </w14:textFill>
                    </w:rPr>
                  </w:pPr>
                  <w:r>
                    <w:rPr>
                      <w:color w:val="000000" w:themeColor="text1"/>
                      <w:szCs w:val="21"/>
                      <w14:textFill>
                        <w14:solidFill>
                          <w14:schemeClr w14:val="tx1"/>
                        </w14:solidFill>
                      </w14:textFill>
                    </w:rPr>
                    <w:t>4 、禁止新建含化学合成的化工项目及产品</w:t>
                  </w:r>
                </w:p>
              </w:tc>
              <w:tc>
                <w:tcPr>
                  <w:tcW w:w="1500" w:type="pct"/>
                  <w:vAlign w:val="center"/>
                </w:tcPr>
                <w:p w14:paraId="14F7AA95">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本项目为属于</w:t>
                  </w:r>
                  <w:r>
                    <w:rPr>
                      <w:rFonts w:hint="default"/>
                      <w:color w:val="000000" w:themeColor="text1"/>
                      <w:szCs w:val="21"/>
                      <w:lang w:val="en-US" w:eastAsia="zh-CN"/>
                      <w14:textFill>
                        <w14:solidFill>
                          <w14:schemeClr w14:val="tx1"/>
                        </w14:solidFill>
                      </w14:textFill>
                    </w:rPr>
                    <w:t>食品制造业</w:t>
                  </w:r>
                  <w:r>
                    <w:rPr>
                      <w:color w:val="000000" w:themeColor="text1"/>
                      <w:szCs w:val="21"/>
                      <w14:textFill>
                        <w14:solidFill>
                          <w14:schemeClr w14:val="tx1"/>
                        </w14:solidFill>
                      </w14:textFill>
                    </w:rPr>
                    <w:t>，不属于</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w:t>
                  </w:r>
                  <w:r>
                    <w:rPr>
                      <w:rFonts w:hint="eastAsia"/>
                      <w:color w:val="000000" w:themeColor="text1"/>
                      <w:szCs w:val="21"/>
                      <w14:textFill>
                        <w14:solidFill>
                          <w14:schemeClr w14:val="tx1"/>
                        </w14:solidFill>
                      </w14:textFill>
                    </w:rPr>
                    <w:t>；</w:t>
                  </w:r>
                </w:p>
                <w:p w14:paraId="3EECA87F">
                  <w:pP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r>
                    <w:rPr>
                      <w:color w:val="000000" w:themeColor="text1"/>
                      <w:sz w:val="21"/>
                      <w:szCs w:val="21"/>
                      <w14:textFill>
                        <w14:solidFill>
                          <w14:schemeClr w14:val="tx1"/>
                        </w14:solidFill>
                      </w14:textFill>
                    </w:rPr>
                    <w:t>、本项目属于</w:t>
                  </w:r>
                  <w:r>
                    <w:rPr>
                      <w:rFonts w:hint="eastAsia"/>
                      <w:color w:val="000000" w:themeColor="text1"/>
                      <w:sz w:val="21"/>
                      <w:szCs w:val="21"/>
                      <w:lang w:val="en-US" w:eastAsia="zh-CN"/>
                      <w14:textFill>
                        <w14:solidFill>
                          <w14:schemeClr w14:val="tx1"/>
                        </w14:solidFill>
                      </w14:textFill>
                    </w:rPr>
                    <w:t>其他方便食品制造</w:t>
                  </w:r>
                  <w:r>
                    <w:rPr>
                      <w:rFonts w:hint="eastAsia"/>
                      <w:color w:val="000000" w:themeColor="text1"/>
                      <w:sz w:val="21"/>
                      <w:szCs w:val="21"/>
                      <w:lang w:eastAsia="zh-CN"/>
                      <w14:textFill>
                        <w14:solidFill>
                          <w14:schemeClr w14:val="tx1"/>
                        </w14:solidFill>
                      </w14:textFill>
                    </w:rPr>
                    <w:t>，属于</w:t>
                  </w:r>
                  <w:r>
                    <w:rPr>
                      <w:rFonts w:hint="eastAsia"/>
                      <w:color w:val="000000" w:themeColor="text1"/>
                      <w:sz w:val="21"/>
                      <w:szCs w:val="21"/>
                      <w:lang w:val="en-US" w:eastAsia="zh-CN"/>
                      <w14:textFill>
                        <w14:solidFill>
                          <w14:schemeClr w14:val="tx1"/>
                        </w14:solidFill>
                      </w14:textFill>
                    </w:rPr>
                    <w:t>食品制造业</w:t>
                  </w:r>
                  <w:r>
                    <w:rPr>
                      <w:rFonts w:hint="eastAsia"/>
                      <w:color w:val="000000" w:themeColor="text1"/>
                      <w:sz w:val="21"/>
                      <w:szCs w:val="21"/>
                      <w:lang w:eastAsia="zh-CN"/>
                      <w14:textFill>
                        <w14:solidFill>
                          <w14:schemeClr w14:val="tx1"/>
                        </w14:solidFill>
                      </w14:textFill>
                    </w:rPr>
                    <w:t>，符合园区主导产业要求；</w:t>
                  </w:r>
                </w:p>
                <w:p w14:paraId="7ECB27FC">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3、本项目</w:t>
                  </w:r>
                  <w:r>
                    <w:rPr>
                      <w:color w:val="000000" w:themeColor="text1"/>
                      <w:szCs w:val="21"/>
                      <w14:textFill>
                        <w14:solidFill>
                          <w14:schemeClr w14:val="tx1"/>
                        </w14:solidFill>
                      </w14:textFill>
                    </w:rPr>
                    <w:t>不涉及电镀，不属于集中电镀项目</w:t>
                  </w:r>
                  <w:r>
                    <w:rPr>
                      <w:rFonts w:hint="eastAsia"/>
                      <w:color w:val="000000" w:themeColor="text1"/>
                      <w:szCs w:val="21"/>
                      <w14:textFill>
                        <w14:solidFill>
                          <w14:schemeClr w14:val="tx1"/>
                        </w14:solidFill>
                      </w14:textFill>
                    </w:rPr>
                    <w:t>；</w:t>
                  </w:r>
                </w:p>
                <w:p w14:paraId="25A2A394">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4、本项目</w:t>
                  </w:r>
                  <w:r>
                    <w:rPr>
                      <w:color w:val="000000" w:themeColor="text1"/>
                      <w:szCs w:val="21"/>
                      <w14:textFill>
                        <w14:solidFill>
                          <w14:schemeClr w14:val="tx1"/>
                        </w14:solidFill>
                      </w14:textFill>
                    </w:rPr>
                    <w:t>不属于含化学合成的化工项目；</w:t>
                  </w:r>
                </w:p>
              </w:tc>
              <w:tc>
                <w:tcPr>
                  <w:tcW w:w="417" w:type="pct"/>
                  <w:vAlign w:val="center"/>
                </w:tcPr>
                <w:p w14:paraId="26167D47">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8682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4CDA2240">
                  <w:pPr>
                    <w:rPr>
                      <w:color w:val="000000" w:themeColor="text1"/>
                      <w:szCs w:val="21"/>
                      <w14:textFill>
                        <w14:solidFill>
                          <w14:schemeClr w14:val="tx1"/>
                        </w14:solidFill>
                      </w14:textFill>
                    </w:rPr>
                  </w:pPr>
                </w:p>
              </w:tc>
              <w:tc>
                <w:tcPr>
                  <w:tcW w:w="375" w:type="pct"/>
                  <w:vMerge w:val="continue"/>
                  <w:vAlign w:val="center"/>
                </w:tcPr>
                <w:p w14:paraId="2305AD21">
                  <w:pPr>
                    <w:rPr>
                      <w:color w:val="000000" w:themeColor="text1"/>
                      <w:szCs w:val="21"/>
                      <w14:textFill>
                        <w14:solidFill>
                          <w14:schemeClr w14:val="tx1"/>
                        </w14:solidFill>
                      </w14:textFill>
                    </w:rPr>
                  </w:pPr>
                </w:p>
              </w:tc>
              <w:tc>
                <w:tcPr>
                  <w:tcW w:w="403" w:type="pct"/>
                  <w:vAlign w:val="center"/>
                </w:tcPr>
                <w:p w14:paraId="65DE226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限制开发建设活动</w:t>
                  </w:r>
                </w:p>
              </w:tc>
              <w:tc>
                <w:tcPr>
                  <w:tcW w:w="2015" w:type="pct"/>
                  <w:vAlign w:val="center"/>
                </w:tcPr>
                <w:p w14:paraId="491882A3">
                  <w:pPr>
                    <w:rPr>
                      <w:color w:val="000000" w:themeColor="text1"/>
                      <w:szCs w:val="21"/>
                      <w14:textFill>
                        <w14:solidFill>
                          <w14:schemeClr w14:val="tx1"/>
                        </w14:solidFill>
                      </w14:textFill>
                    </w:rPr>
                  </w:pPr>
                  <w:r>
                    <w:rPr>
                      <w:color w:val="000000" w:themeColor="text1"/>
                      <w:szCs w:val="21"/>
                      <w14:textFill>
                        <w14:solidFill>
                          <w14:schemeClr w14:val="tx1"/>
                        </w14:solidFill>
                      </w14:textFill>
                    </w:rPr>
                    <w:t>限制《产业结构调整指导目录（2024年本）》中限制类项目</w:t>
                  </w:r>
                </w:p>
              </w:tc>
              <w:tc>
                <w:tcPr>
                  <w:tcW w:w="1500" w:type="pct"/>
                  <w:vAlign w:val="center"/>
                </w:tcPr>
                <w:p w14:paraId="32A92B5E">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项目不属于《产业结构调整指导目录（2024年本）》中限制类项目</w:t>
                  </w:r>
                  <w:r>
                    <w:rPr>
                      <w:rFonts w:hint="eastAsia"/>
                      <w:color w:val="000000" w:themeColor="text1"/>
                      <w:szCs w:val="21"/>
                      <w14:textFill>
                        <w14:solidFill>
                          <w14:schemeClr w14:val="tx1"/>
                        </w14:solidFill>
                      </w14:textFill>
                    </w:rPr>
                    <w:t>。</w:t>
                  </w:r>
                </w:p>
              </w:tc>
              <w:tc>
                <w:tcPr>
                  <w:tcW w:w="417" w:type="pct"/>
                  <w:vAlign w:val="center"/>
                </w:tcPr>
                <w:p w14:paraId="7D7E7F68">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8196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65224A92">
                  <w:pPr>
                    <w:rPr>
                      <w:color w:val="000000" w:themeColor="text1"/>
                      <w:szCs w:val="21"/>
                      <w14:textFill>
                        <w14:solidFill>
                          <w14:schemeClr w14:val="tx1"/>
                        </w14:solidFill>
                      </w14:textFill>
                    </w:rPr>
                  </w:pPr>
                </w:p>
              </w:tc>
              <w:tc>
                <w:tcPr>
                  <w:tcW w:w="375" w:type="pct"/>
                  <w:vMerge w:val="continue"/>
                  <w:vAlign w:val="center"/>
                </w:tcPr>
                <w:p w14:paraId="36B0747D">
                  <w:pPr>
                    <w:rPr>
                      <w:color w:val="000000" w:themeColor="text1"/>
                      <w:szCs w:val="21"/>
                      <w14:textFill>
                        <w14:solidFill>
                          <w14:schemeClr w14:val="tx1"/>
                        </w14:solidFill>
                      </w14:textFill>
                    </w:rPr>
                  </w:pPr>
                </w:p>
              </w:tc>
              <w:tc>
                <w:tcPr>
                  <w:tcW w:w="403" w:type="pct"/>
                  <w:vAlign w:val="center"/>
                </w:tcPr>
                <w:p w14:paraId="13F8D89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不符合规划园区空间布局的退出要求</w:t>
                  </w:r>
                </w:p>
              </w:tc>
              <w:tc>
                <w:tcPr>
                  <w:tcW w:w="2015" w:type="pct"/>
                  <w:vAlign w:val="center"/>
                </w:tcPr>
                <w:p w14:paraId="226462DA">
                  <w:pPr>
                    <w:rPr>
                      <w:color w:val="000000" w:themeColor="text1"/>
                      <w:szCs w:val="21"/>
                      <w14:textFill>
                        <w14:solidFill>
                          <w14:schemeClr w14:val="tx1"/>
                        </w14:solidFill>
                      </w14:textFill>
                    </w:rPr>
                  </w:pPr>
                  <w:r>
                    <w:rPr>
                      <w:color w:val="000000" w:themeColor="text1"/>
                      <w:szCs w:val="21"/>
                      <w14:textFill>
                        <w14:solidFill>
                          <w14:schemeClr w14:val="tx1"/>
                        </w14:solidFill>
                      </w14:textFill>
                    </w:rPr>
                    <w:t>现有化工项目，限制新增发展用地，污染物排放总量只降不增；允许在厂内通过技术改造、改建等进一步提升现有的清洁生产水平或逐步转变产品结构，发展与园区主导产业形成补链或配套的项目；禁止新增或扩建含化学合成的化工项目及产品产能，禁止增加新的含化学合成的化工产品种类</w:t>
                  </w:r>
                </w:p>
              </w:tc>
              <w:tc>
                <w:tcPr>
                  <w:tcW w:w="1500" w:type="pct"/>
                  <w:vAlign w:val="center"/>
                </w:tcPr>
                <w:p w14:paraId="6AF436C8">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项目不属于化工项目</w:t>
                  </w:r>
                  <w:r>
                    <w:rPr>
                      <w:rFonts w:hint="eastAsia"/>
                      <w:color w:val="000000" w:themeColor="text1"/>
                      <w:szCs w:val="21"/>
                      <w14:textFill>
                        <w14:solidFill>
                          <w14:schemeClr w14:val="tx1"/>
                        </w14:solidFill>
                      </w14:textFill>
                    </w:rPr>
                    <w:t>。</w:t>
                  </w:r>
                </w:p>
              </w:tc>
              <w:tc>
                <w:tcPr>
                  <w:tcW w:w="417" w:type="pct"/>
                  <w:vAlign w:val="center"/>
                </w:tcPr>
                <w:p w14:paraId="647007F0">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CFE4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7" w:type="pct"/>
                  <w:vMerge w:val="continue"/>
                  <w:vAlign w:val="center"/>
                </w:tcPr>
                <w:p w14:paraId="4EA45FF0">
                  <w:pPr>
                    <w:rPr>
                      <w:color w:val="000000" w:themeColor="text1"/>
                      <w:szCs w:val="21"/>
                      <w14:textFill>
                        <w14:solidFill>
                          <w14:schemeClr w14:val="tx1"/>
                        </w14:solidFill>
                      </w14:textFill>
                    </w:rPr>
                  </w:pPr>
                </w:p>
              </w:tc>
              <w:tc>
                <w:tcPr>
                  <w:tcW w:w="375" w:type="pct"/>
                  <w:vMerge w:val="restart"/>
                  <w:vAlign w:val="center"/>
                </w:tcPr>
                <w:p w14:paraId="4B24151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403" w:type="pct"/>
                  <w:vAlign w:val="center"/>
                </w:tcPr>
                <w:p w14:paraId="11AD5A5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现有源提标升级改造</w:t>
                  </w:r>
                </w:p>
              </w:tc>
              <w:tc>
                <w:tcPr>
                  <w:tcW w:w="2015" w:type="pct"/>
                  <w:vAlign w:val="center"/>
                </w:tcPr>
                <w:p w14:paraId="7D8BA42D">
                  <w:pPr>
                    <w:rPr>
                      <w:color w:val="000000" w:themeColor="text1"/>
                      <w:szCs w:val="21"/>
                      <w14:textFill>
                        <w14:solidFill>
                          <w14:schemeClr w14:val="tx1"/>
                        </w14:solidFill>
                      </w14:textFill>
                    </w:rPr>
                  </w:pPr>
                  <w:r>
                    <w:rPr>
                      <w:color w:val="000000" w:themeColor="text1"/>
                      <w:szCs w:val="21"/>
                      <w14:textFill>
                        <w14:solidFill>
                          <w14:schemeClr w14:val="tx1"/>
                        </w14:solidFill>
                      </w14:textFill>
                    </w:rPr>
                    <w:t>鼓励现有属于国家、省环保绩效分级重点行业项目按照地方管理文件要求开展提标升级改造工作，废气污染物排放逐步达到特别排放限值</w:t>
                  </w:r>
                </w:p>
              </w:tc>
              <w:tc>
                <w:tcPr>
                  <w:tcW w:w="1500" w:type="pct"/>
                  <w:vAlign w:val="center"/>
                </w:tcPr>
                <w:p w14:paraId="4BB9DD15">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w:t>
                  </w:r>
                  <w:r>
                    <w:rPr>
                      <w:rFonts w:hint="eastAsia"/>
                      <w:color w:val="000000" w:themeColor="text1"/>
                      <w:szCs w:val="21"/>
                      <w14:textFill>
                        <w14:solidFill>
                          <w14:schemeClr w14:val="tx1"/>
                        </w14:solidFill>
                      </w14:textFill>
                    </w:rPr>
                    <w:t>。</w:t>
                  </w:r>
                </w:p>
              </w:tc>
              <w:tc>
                <w:tcPr>
                  <w:tcW w:w="417" w:type="pct"/>
                  <w:vAlign w:val="center"/>
                </w:tcPr>
                <w:p w14:paraId="4FC91717">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099BB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7BFDA4E3">
                  <w:pPr>
                    <w:rPr>
                      <w:color w:val="000000" w:themeColor="text1"/>
                      <w:szCs w:val="21"/>
                      <w14:textFill>
                        <w14:solidFill>
                          <w14:schemeClr w14:val="tx1"/>
                        </w14:solidFill>
                      </w14:textFill>
                    </w:rPr>
                  </w:pPr>
                </w:p>
              </w:tc>
              <w:tc>
                <w:tcPr>
                  <w:tcW w:w="375" w:type="pct"/>
                  <w:vMerge w:val="continue"/>
                  <w:vAlign w:val="center"/>
                </w:tcPr>
                <w:p w14:paraId="5A64AB30">
                  <w:pPr>
                    <w:rPr>
                      <w:color w:val="000000" w:themeColor="text1"/>
                      <w:szCs w:val="21"/>
                      <w14:textFill>
                        <w14:solidFill>
                          <w14:schemeClr w14:val="tx1"/>
                        </w14:solidFill>
                      </w14:textFill>
                    </w:rPr>
                  </w:pPr>
                </w:p>
              </w:tc>
              <w:tc>
                <w:tcPr>
                  <w:tcW w:w="403" w:type="pct"/>
                  <w:vAlign w:val="center"/>
                </w:tcPr>
                <w:p w14:paraId="5ADA18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新增源等量或倍量替代</w:t>
                  </w:r>
                </w:p>
              </w:tc>
              <w:tc>
                <w:tcPr>
                  <w:tcW w:w="2015" w:type="pct"/>
                  <w:vAlign w:val="center"/>
                </w:tcPr>
                <w:p w14:paraId="602DB9A8">
                  <w:pPr>
                    <w:rPr>
                      <w:color w:val="000000" w:themeColor="text1"/>
                      <w:szCs w:val="21"/>
                      <w14:textFill>
                        <w14:solidFill>
                          <w14:schemeClr w14:val="tx1"/>
                        </w14:solidFill>
                      </w14:textFill>
                    </w:rPr>
                  </w:pPr>
                  <w:r>
                    <w:rPr>
                      <w:color w:val="000000" w:themeColor="text1"/>
                      <w:szCs w:val="21"/>
                      <w14:textFill>
                        <w14:solidFill>
                          <w14:schemeClr w14:val="tx1"/>
                        </w14:solidFill>
                      </w14:textFill>
                    </w:rPr>
                    <w:t>新建、扩建项目新增废气总量控制因子实施污染物倍量替代削减；</w:t>
                  </w:r>
                </w:p>
                <w:p w14:paraId="71E9BA71">
                  <w:pPr>
                    <w:rPr>
                      <w:color w:val="000000" w:themeColor="text1"/>
                      <w:szCs w:val="21"/>
                      <w14:textFill>
                        <w14:solidFill>
                          <w14:schemeClr w14:val="tx1"/>
                        </w14:solidFill>
                      </w14:textFill>
                    </w:rPr>
                  </w:pPr>
                  <w:r>
                    <w:rPr>
                      <w:color w:val="000000" w:themeColor="text1"/>
                      <w:szCs w:val="21"/>
                      <w14:textFill>
                        <w14:solidFill>
                          <w14:schemeClr w14:val="tx1"/>
                        </w14:solidFill>
                      </w14:textFill>
                    </w:rPr>
                    <w:t>新建、扩建项目新增废水总量控制因子实施污染物等量替代削减</w:t>
                  </w:r>
                </w:p>
              </w:tc>
              <w:tc>
                <w:tcPr>
                  <w:tcW w:w="1500" w:type="pct"/>
                  <w:vAlign w:val="center"/>
                </w:tcPr>
                <w:p w14:paraId="2C0B42C5">
                  <w:pPr>
                    <w:rPr>
                      <w:color w:val="000000" w:themeColor="text1"/>
                      <w:sz w:val="21"/>
                      <w:szCs w:val="21"/>
                      <w14:textFill>
                        <w14:solidFill>
                          <w14:schemeClr w14:val="tx1"/>
                        </w14:solidFill>
                      </w14:textFill>
                    </w:rPr>
                  </w:pPr>
                  <w:r>
                    <w:rPr>
                      <w:color w:val="000000" w:themeColor="text1"/>
                      <w:sz w:val="21"/>
                      <w:szCs w:val="21"/>
                      <w:highlight w:val="none"/>
                      <w14:textFill>
                        <w14:solidFill>
                          <w14:schemeClr w14:val="tx1"/>
                        </w14:solidFill>
                      </w14:textFill>
                    </w:rPr>
                    <w:t>项目新增废气总量控制因子</w:t>
                  </w:r>
                  <w:commentRangeStart w:id="4"/>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油烟、</w:t>
                  </w:r>
                  <w:commentRangeEnd w:id="4"/>
                  <w:r>
                    <w:commentReference w:id="4"/>
                  </w: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非甲烷总烃</w:t>
                  </w: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w:t>
                  </w:r>
                  <w:r>
                    <w:rPr>
                      <w:color w:val="000000" w:themeColor="text1"/>
                      <w:sz w:val="21"/>
                      <w:szCs w:val="21"/>
                      <w:highlight w:val="none"/>
                      <w14:textFill>
                        <w14:solidFill>
                          <w14:schemeClr w14:val="tx1"/>
                        </w14:solidFill>
                      </w14:textFill>
                    </w:rPr>
                    <w:t>颗粒物</w:t>
                  </w:r>
                  <w:r>
                    <w:rPr>
                      <w:rFonts w:hint="eastAsia" w:ascii="Times New Roman" w:hAnsi="Times New Roman" w:cs="Times New Roman"/>
                      <w:color w:val="auto"/>
                      <w:kern w:val="0"/>
                      <w:sz w:val="21"/>
                      <w:szCs w:val="21"/>
                      <w:highlight w:val="none"/>
                      <w:u w:val="none"/>
                      <w:lang w:val="en-US" w:eastAsia="zh-CN" w:bidi="ar"/>
                    </w:rPr>
                    <w:t>、</w:t>
                  </w:r>
                  <w:r>
                    <w:rPr>
                      <w:rFonts w:hint="eastAsia"/>
                      <w:color w:val="000000" w:themeColor="text1"/>
                      <w:sz w:val="21"/>
                      <w:szCs w:val="21"/>
                      <w:highlight w:val="none"/>
                      <w:u w:val="none"/>
                      <w14:textFill>
                        <w14:solidFill>
                          <w14:schemeClr w14:val="tx1"/>
                        </w14:solidFill>
                      </w14:textFill>
                    </w:rPr>
                    <w:t>SO</w:t>
                  </w:r>
                  <w:r>
                    <w:rPr>
                      <w:rFonts w:hint="eastAsia"/>
                      <w:color w:val="000000" w:themeColor="text1"/>
                      <w:sz w:val="21"/>
                      <w:szCs w:val="21"/>
                      <w:highlight w:val="none"/>
                      <w:u w:val="none"/>
                      <w:vertAlign w:val="subscript"/>
                      <w14:textFill>
                        <w14:solidFill>
                          <w14:schemeClr w14:val="tx1"/>
                        </w14:solidFill>
                      </w14:textFill>
                    </w:rPr>
                    <w:t>2</w:t>
                  </w:r>
                  <w:r>
                    <w:rPr>
                      <w:rFonts w:hint="eastAsia" w:ascii="Times New Roman" w:hAnsi="Times New Roman" w:cs="Times New Roman"/>
                      <w:color w:val="auto"/>
                      <w:kern w:val="0"/>
                      <w:sz w:val="21"/>
                      <w:szCs w:val="21"/>
                      <w:highlight w:val="none"/>
                      <w:u w:val="none"/>
                      <w:lang w:val="en-US" w:eastAsia="zh-CN" w:bidi="ar"/>
                    </w:rPr>
                    <w:t>、</w:t>
                  </w:r>
                  <w:r>
                    <w:rPr>
                      <w:rFonts w:hint="eastAsia"/>
                      <w:color w:val="000000" w:themeColor="text1"/>
                      <w:sz w:val="21"/>
                      <w:szCs w:val="21"/>
                      <w:highlight w:val="none"/>
                      <w:u w:val="none"/>
                      <w14:textFill>
                        <w14:solidFill>
                          <w14:schemeClr w14:val="tx1"/>
                        </w14:solidFill>
                      </w14:textFill>
                    </w:rPr>
                    <w:t>NOx</w:t>
                  </w:r>
                  <w:r>
                    <w:rPr>
                      <w:color w:val="000000" w:themeColor="text1"/>
                      <w:sz w:val="21"/>
                      <w:szCs w:val="21"/>
                      <w:highlight w:val="none"/>
                      <w14:textFill>
                        <w14:solidFill>
                          <w14:schemeClr w14:val="tx1"/>
                        </w14:solidFill>
                      </w14:textFill>
                    </w:rPr>
                    <w:t>等实施污染物倍量替代削减；项目新增废水总量控制因子COD、NH</w:t>
                  </w:r>
                  <w:r>
                    <w:rPr>
                      <w:color w:val="000000" w:themeColor="text1"/>
                      <w:sz w:val="21"/>
                      <w:szCs w:val="21"/>
                      <w:highlight w:val="none"/>
                      <w:vertAlign w:val="subscript"/>
                      <w14:textFill>
                        <w14:solidFill>
                          <w14:schemeClr w14:val="tx1"/>
                        </w14:solidFill>
                      </w14:textFill>
                    </w:rPr>
                    <w:t>3</w:t>
                  </w:r>
                  <w:r>
                    <w:rPr>
                      <w:color w:val="000000" w:themeColor="text1"/>
                      <w:sz w:val="21"/>
                      <w:szCs w:val="21"/>
                      <w:highlight w:val="none"/>
                      <w14:textFill>
                        <w14:solidFill>
                          <w14:schemeClr w14:val="tx1"/>
                        </w14:solidFill>
                      </w14:textFill>
                    </w:rPr>
                    <w:t>-N实施污染物等量替代削减。</w:t>
                  </w:r>
                </w:p>
              </w:tc>
              <w:tc>
                <w:tcPr>
                  <w:tcW w:w="417" w:type="pct"/>
                  <w:vAlign w:val="center"/>
                </w:tcPr>
                <w:p w14:paraId="1EE8C176">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4C172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31BAEC66">
                  <w:pPr>
                    <w:rPr>
                      <w:color w:val="000000" w:themeColor="text1"/>
                      <w:szCs w:val="21"/>
                      <w14:textFill>
                        <w14:solidFill>
                          <w14:schemeClr w14:val="tx1"/>
                        </w14:solidFill>
                      </w14:textFill>
                    </w:rPr>
                  </w:pPr>
                </w:p>
              </w:tc>
              <w:tc>
                <w:tcPr>
                  <w:tcW w:w="375" w:type="pct"/>
                  <w:vMerge w:val="continue"/>
                  <w:vAlign w:val="center"/>
                </w:tcPr>
                <w:p w14:paraId="13765B62">
                  <w:pPr>
                    <w:rPr>
                      <w:color w:val="000000" w:themeColor="text1"/>
                      <w:szCs w:val="21"/>
                      <w14:textFill>
                        <w14:solidFill>
                          <w14:schemeClr w14:val="tx1"/>
                        </w14:solidFill>
                      </w14:textFill>
                    </w:rPr>
                  </w:pPr>
                </w:p>
              </w:tc>
              <w:tc>
                <w:tcPr>
                  <w:tcW w:w="403" w:type="pct"/>
                  <w:vAlign w:val="center"/>
                </w:tcPr>
                <w:p w14:paraId="0E1ED3F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新增污染源排放标准限值</w:t>
                  </w:r>
                </w:p>
              </w:tc>
              <w:tc>
                <w:tcPr>
                  <w:tcW w:w="2015" w:type="pct"/>
                  <w:vAlign w:val="center"/>
                </w:tcPr>
                <w:p w14:paraId="4B48E6FF">
                  <w:pPr>
                    <w:rPr>
                      <w:color w:val="000000" w:themeColor="text1"/>
                      <w:szCs w:val="21"/>
                      <w14:textFill>
                        <w14:solidFill>
                          <w14:schemeClr w14:val="tx1"/>
                        </w14:solidFill>
                      </w14:textFill>
                    </w:rPr>
                  </w:pPr>
                  <w:r>
                    <w:rPr>
                      <w:color w:val="000000" w:themeColor="text1"/>
                      <w:szCs w:val="21"/>
                      <w14:textFill>
                        <w14:solidFill>
                          <w14:schemeClr w14:val="tx1"/>
                        </w14:solidFill>
                      </w14:textFill>
                    </w:rPr>
                    <w:t>新建符合园区主导产业或产业链发展要求的国家、省环保绩效分级重点行业项目需满足国家、地方污染物排放标准要求</w:t>
                  </w:r>
                </w:p>
              </w:tc>
              <w:tc>
                <w:tcPr>
                  <w:tcW w:w="1500" w:type="pct"/>
                  <w:vAlign w:val="center"/>
                </w:tcPr>
                <w:p w14:paraId="31E1595E">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经比对</w:t>
                  </w:r>
                  <w:r>
                    <w:rPr>
                      <w:color w:val="000000" w:themeColor="text1"/>
                      <w:szCs w:val="21"/>
                      <w14:textFill>
                        <w14:solidFill>
                          <w14:schemeClr w14:val="tx1"/>
                        </w14:solidFill>
                      </w14:textFill>
                    </w:rPr>
                    <w:t>《河南省重污染天气重点行业应急减排措施制定技术指南》（202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w:t>
                  </w:r>
                  <w:commentRangeStart w:id="5"/>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w:t>
                  </w:r>
                  <w:commentRangeEnd w:id="5"/>
                  <w:r>
                    <w:commentReference w:id="5"/>
                  </w:r>
                  <w:r>
                    <w:rPr>
                      <w:rFonts w:hint="eastAsia"/>
                      <w:color w:val="000000" w:themeColor="text1"/>
                      <w:szCs w:val="21"/>
                      <w14:textFill>
                        <w14:solidFill>
                          <w14:schemeClr w14:val="tx1"/>
                        </w14:solidFill>
                      </w14:textFill>
                    </w:rPr>
                    <w:t>项目不属于其中的重点行业</w:t>
                  </w:r>
                  <w:r>
                    <w:rPr>
                      <w:rStyle w:val="24"/>
                      <w:rFonts w:hint="eastAsia"/>
                      <w:color w:val="000000" w:themeColor="text1"/>
                      <w:lang w:eastAsia="zh-CN"/>
                      <w14:textFill>
                        <w14:solidFill>
                          <w14:schemeClr w14:val="tx1"/>
                        </w14:solidFill>
                      </w14:textFill>
                    </w:rPr>
                    <w:t>，符合通用行业基本要求</w:t>
                  </w:r>
                  <w:r>
                    <w:rPr>
                      <w:color w:val="000000" w:themeColor="text1"/>
                      <w:szCs w:val="21"/>
                      <w14:textFill>
                        <w14:solidFill>
                          <w14:schemeClr w14:val="tx1"/>
                        </w14:solidFill>
                      </w14:textFill>
                    </w:rPr>
                    <w:t>。</w:t>
                  </w:r>
                </w:p>
              </w:tc>
              <w:tc>
                <w:tcPr>
                  <w:tcW w:w="417" w:type="pct"/>
                  <w:vAlign w:val="center"/>
                </w:tcPr>
                <w:p w14:paraId="6C78808A">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ED44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7AE34158">
                  <w:pPr>
                    <w:rPr>
                      <w:color w:val="000000" w:themeColor="text1"/>
                      <w:szCs w:val="21"/>
                      <w14:textFill>
                        <w14:solidFill>
                          <w14:schemeClr w14:val="tx1"/>
                        </w14:solidFill>
                      </w14:textFill>
                    </w:rPr>
                  </w:pPr>
                </w:p>
              </w:tc>
              <w:tc>
                <w:tcPr>
                  <w:tcW w:w="375" w:type="pct"/>
                  <w:vMerge w:val="continue"/>
                  <w:vAlign w:val="center"/>
                </w:tcPr>
                <w:p w14:paraId="1D5C7E7F">
                  <w:pPr>
                    <w:rPr>
                      <w:color w:val="000000" w:themeColor="text1"/>
                      <w:szCs w:val="21"/>
                      <w14:textFill>
                        <w14:solidFill>
                          <w14:schemeClr w14:val="tx1"/>
                        </w14:solidFill>
                      </w14:textFill>
                    </w:rPr>
                  </w:pPr>
                </w:p>
              </w:tc>
              <w:tc>
                <w:tcPr>
                  <w:tcW w:w="403" w:type="pct"/>
                  <w:vAlign w:val="center"/>
                </w:tcPr>
                <w:p w14:paraId="6986168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污染物排放环保绩效水平准</w:t>
                  </w:r>
                </w:p>
                <w:p w14:paraId="0F13D1A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入</w:t>
                  </w:r>
                </w:p>
              </w:tc>
              <w:tc>
                <w:tcPr>
                  <w:tcW w:w="2015" w:type="pct"/>
                  <w:vAlign w:val="center"/>
                </w:tcPr>
                <w:p w14:paraId="4BCF579C">
                  <w:pPr>
                    <w:rPr>
                      <w:color w:val="000000" w:themeColor="text1"/>
                      <w:szCs w:val="21"/>
                      <w14:textFill>
                        <w14:solidFill>
                          <w14:schemeClr w14:val="tx1"/>
                        </w14:solidFill>
                      </w14:textFill>
                    </w:rPr>
                  </w:pPr>
                  <w:r>
                    <w:rPr>
                      <w:color w:val="000000" w:themeColor="text1"/>
                      <w:szCs w:val="21"/>
                      <w14:textFill>
                        <w14:solidFill>
                          <w14:schemeClr w14:val="tx1"/>
                        </w14:solidFill>
                      </w14:textFill>
                    </w:rPr>
                    <w:t>入园的新建、扩建金属表面处理及热处理加工、商砼（沥青）搅拌站环保绩效分级需达到A级绩效水平，改建项目达到B级绩效水平</w:t>
                  </w:r>
                </w:p>
              </w:tc>
              <w:tc>
                <w:tcPr>
                  <w:tcW w:w="1500" w:type="pct"/>
                  <w:vAlign w:val="center"/>
                </w:tcPr>
                <w:p w14:paraId="2914D558">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项目不属于金属表面处理及热处理加工、商砼（沥青）搅拌站等行业</w:t>
                  </w:r>
                  <w:r>
                    <w:rPr>
                      <w:rStyle w:val="24"/>
                      <w:rFonts w:hint="eastAsia"/>
                      <w:color w:val="000000" w:themeColor="text1"/>
                      <w:lang w:eastAsia="zh-CN"/>
                      <w14:textFill>
                        <w14:solidFill>
                          <w14:schemeClr w14:val="tx1"/>
                        </w14:solidFill>
                      </w14:textFill>
                    </w:rPr>
                    <w:t>，符合通用行业基本要求</w:t>
                  </w:r>
                  <w:r>
                    <w:rPr>
                      <w:rFonts w:hint="eastAsia"/>
                      <w:color w:val="000000" w:themeColor="text1"/>
                      <w:szCs w:val="21"/>
                      <w14:textFill>
                        <w14:solidFill>
                          <w14:schemeClr w14:val="tx1"/>
                        </w14:solidFill>
                      </w14:textFill>
                    </w:rPr>
                    <w:t>。</w:t>
                  </w:r>
                </w:p>
              </w:tc>
              <w:tc>
                <w:tcPr>
                  <w:tcW w:w="417" w:type="pct"/>
                  <w:vAlign w:val="center"/>
                </w:tcPr>
                <w:p w14:paraId="742D9FD9">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66B53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6AE5753B">
                  <w:pPr>
                    <w:rPr>
                      <w:color w:val="000000" w:themeColor="text1"/>
                      <w:szCs w:val="21"/>
                      <w14:textFill>
                        <w14:solidFill>
                          <w14:schemeClr w14:val="tx1"/>
                        </w14:solidFill>
                      </w14:textFill>
                    </w:rPr>
                  </w:pPr>
                </w:p>
              </w:tc>
              <w:tc>
                <w:tcPr>
                  <w:tcW w:w="375" w:type="pct"/>
                  <w:vMerge w:val="restart"/>
                  <w:vAlign w:val="center"/>
                </w:tcPr>
                <w:p w14:paraId="4BE1152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环境风险防控</w:t>
                  </w:r>
                </w:p>
              </w:tc>
              <w:tc>
                <w:tcPr>
                  <w:tcW w:w="403" w:type="pct"/>
                  <w:vAlign w:val="center"/>
                </w:tcPr>
                <w:p w14:paraId="6A200F8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用地环境风险防控</w:t>
                  </w:r>
                </w:p>
              </w:tc>
              <w:tc>
                <w:tcPr>
                  <w:tcW w:w="2015" w:type="pct"/>
                  <w:vAlign w:val="center"/>
                </w:tcPr>
                <w:p w14:paraId="4C40C106">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1、对列入疑似污染地块名单的地块，未经土壤污染状况调查确定为未污染地块的，不得进入用地程序；</w:t>
                  </w:r>
                </w:p>
                <w:p w14:paraId="246DA1C6">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2、已污染地块，应当依法开展土壤污染状况调查、治理与修复，符合规划利用土地性质土壤环境质量 要求后，方可进入用地程序</w:t>
                  </w:r>
                </w:p>
              </w:tc>
              <w:tc>
                <w:tcPr>
                  <w:tcW w:w="1500" w:type="pct"/>
                  <w:vAlign w:val="center"/>
                </w:tcPr>
                <w:p w14:paraId="2A0085BB">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项目厂区用地不属于疑似污染地块、已污染地块</w:t>
                  </w:r>
                  <w:r>
                    <w:rPr>
                      <w:rFonts w:hint="eastAsia"/>
                      <w:color w:val="000000" w:themeColor="text1"/>
                      <w:szCs w:val="21"/>
                      <w14:textFill>
                        <w14:solidFill>
                          <w14:schemeClr w14:val="tx1"/>
                        </w14:solidFill>
                      </w14:textFill>
                    </w:rPr>
                    <w:t>。</w:t>
                  </w:r>
                </w:p>
              </w:tc>
              <w:tc>
                <w:tcPr>
                  <w:tcW w:w="417" w:type="pct"/>
                  <w:vAlign w:val="center"/>
                </w:tcPr>
                <w:p w14:paraId="5350661B">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B5F4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1A9BF9FA">
                  <w:pPr>
                    <w:rPr>
                      <w:color w:val="000000" w:themeColor="text1"/>
                      <w:szCs w:val="21"/>
                      <w14:textFill>
                        <w14:solidFill>
                          <w14:schemeClr w14:val="tx1"/>
                        </w14:solidFill>
                      </w14:textFill>
                    </w:rPr>
                  </w:pPr>
                </w:p>
              </w:tc>
              <w:tc>
                <w:tcPr>
                  <w:tcW w:w="375" w:type="pct"/>
                  <w:vMerge w:val="continue"/>
                  <w:vAlign w:val="center"/>
                </w:tcPr>
                <w:p w14:paraId="6D858134">
                  <w:pPr>
                    <w:jc w:val="center"/>
                    <w:rPr>
                      <w:color w:val="000000" w:themeColor="text1"/>
                      <w:szCs w:val="21"/>
                      <w14:textFill>
                        <w14:solidFill>
                          <w14:schemeClr w14:val="tx1"/>
                        </w14:solidFill>
                      </w14:textFill>
                    </w:rPr>
                  </w:pPr>
                </w:p>
              </w:tc>
              <w:tc>
                <w:tcPr>
                  <w:tcW w:w="403" w:type="pct"/>
                  <w:vAlign w:val="center"/>
                </w:tcPr>
                <w:p w14:paraId="4A2C3513">
                  <w:pP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企业环境风险防控</w:t>
                  </w:r>
                </w:p>
              </w:tc>
              <w:tc>
                <w:tcPr>
                  <w:tcW w:w="2015" w:type="pct"/>
                  <w:vAlign w:val="center"/>
                </w:tcPr>
                <w:p w14:paraId="63B28C95">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1、禁止生产、使用《危险化学品目录》中的剧毒化学品</w:t>
                  </w:r>
                </w:p>
                <w:p w14:paraId="265B0FF0">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2、禁止建设采用国家重点监管的危险化工工艺项目</w:t>
                  </w:r>
                </w:p>
              </w:tc>
              <w:tc>
                <w:tcPr>
                  <w:tcW w:w="1500" w:type="pct"/>
                  <w:vAlign w:val="center"/>
                </w:tcPr>
                <w:p w14:paraId="0D8421C5">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本项目不生产和使用《危险化学品目录》中的剧毒化学品</w:t>
                  </w:r>
                  <w:r>
                    <w:rPr>
                      <w:rFonts w:hint="eastAsia"/>
                      <w:color w:val="000000" w:themeColor="text1"/>
                      <w:szCs w:val="21"/>
                      <w14:textFill>
                        <w14:solidFill>
                          <w14:schemeClr w14:val="tx1"/>
                        </w14:solidFill>
                      </w14:textFill>
                    </w:rPr>
                    <w:t>；</w:t>
                  </w:r>
                </w:p>
                <w:p w14:paraId="697CA67E">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2、本项目</w:t>
                  </w:r>
                  <w:r>
                    <w:rPr>
                      <w:color w:val="000000" w:themeColor="text1"/>
                      <w:szCs w:val="21"/>
                      <w14:textFill>
                        <w14:solidFill>
                          <w14:schemeClr w14:val="tx1"/>
                        </w14:solidFill>
                      </w14:textFill>
                    </w:rPr>
                    <w:t>不属于国家重点监管的危险化工工艺项目</w:t>
                  </w:r>
                  <w:r>
                    <w:rPr>
                      <w:rFonts w:hint="eastAsia"/>
                      <w:color w:val="000000" w:themeColor="text1"/>
                      <w:szCs w:val="21"/>
                      <w14:textFill>
                        <w14:solidFill>
                          <w14:schemeClr w14:val="tx1"/>
                        </w14:solidFill>
                      </w14:textFill>
                    </w:rPr>
                    <w:t>。</w:t>
                  </w:r>
                </w:p>
              </w:tc>
              <w:tc>
                <w:tcPr>
                  <w:tcW w:w="417" w:type="pct"/>
                  <w:vAlign w:val="center"/>
                </w:tcPr>
                <w:p w14:paraId="7206E05D">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074D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5CE65CCF">
                  <w:pPr>
                    <w:rPr>
                      <w:color w:val="000000" w:themeColor="text1"/>
                      <w:szCs w:val="21"/>
                      <w14:textFill>
                        <w14:solidFill>
                          <w14:schemeClr w14:val="tx1"/>
                        </w14:solidFill>
                      </w14:textFill>
                    </w:rPr>
                  </w:pPr>
                </w:p>
              </w:tc>
              <w:tc>
                <w:tcPr>
                  <w:tcW w:w="375" w:type="pct"/>
                  <w:vMerge w:val="restart"/>
                  <w:vAlign w:val="center"/>
                </w:tcPr>
                <w:p w14:paraId="00DF4A8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资源利用效率</w:t>
                  </w:r>
                </w:p>
              </w:tc>
              <w:tc>
                <w:tcPr>
                  <w:tcW w:w="403" w:type="pct"/>
                  <w:vAlign w:val="center"/>
                </w:tcPr>
                <w:p w14:paraId="6F1D1A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水资源利用效率要求</w:t>
                  </w:r>
                </w:p>
              </w:tc>
              <w:tc>
                <w:tcPr>
                  <w:tcW w:w="2015" w:type="pct"/>
                  <w:vAlign w:val="center"/>
                </w:tcPr>
                <w:p w14:paraId="22C97987">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1、禁止入驻印染、制革等高耗水项目</w:t>
                  </w:r>
                </w:p>
                <w:p w14:paraId="5070EA12">
                  <w:pPr>
                    <w:rPr>
                      <w:color w:val="000000" w:themeColor="text1"/>
                      <w:szCs w:val="21"/>
                      <w14:textFill>
                        <w14:solidFill>
                          <w14:schemeClr w14:val="tx1"/>
                        </w14:solidFill>
                      </w14:textFill>
                    </w:rPr>
                  </w:pPr>
                  <w:r>
                    <w:rPr>
                      <w:color w:val="000000" w:themeColor="text1"/>
                      <w:szCs w:val="21"/>
                      <w14:textFill>
                        <w14:solidFill>
                          <w14:schemeClr w14:val="tx1"/>
                        </w14:solidFill>
                      </w14:textFill>
                    </w:rPr>
                    <w:t>2、限制工业发展使用优质南水北调水源</w:t>
                  </w:r>
                </w:p>
                <w:p w14:paraId="4ACBE698">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3、开发区中水回用率不低于30%</w:t>
                  </w:r>
                </w:p>
              </w:tc>
              <w:tc>
                <w:tcPr>
                  <w:tcW w:w="1500" w:type="pct"/>
                  <w:vAlign w:val="center"/>
                </w:tcPr>
                <w:p w14:paraId="23B10B4C">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项目不属于印染、制革等高耗水项目</w:t>
                  </w:r>
                  <w:r>
                    <w:rPr>
                      <w:rFonts w:hint="eastAsia"/>
                      <w:color w:val="000000" w:themeColor="text1"/>
                      <w:szCs w:val="21"/>
                      <w14:textFill>
                        <w14:solidFill>
                          <w14:schemeClr w14:val="tx1"/>
                        </w14:solidFill>
                      </w14:textFill>
                    </w:rPr>
                    <w:t>；</w:t>
                  </w:r>
                </w:p>
                <w:p w14:paraId="37CF9442">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项目用水来源于市政供水</w:t>
                  </w:r>
                  <w:r>
                    <w:rPr>
                      <w:rFonts w:hint="eastAsia"/>
                      <w:color w:val="000000" w:themeColor="text1"/>
                      <w:szCs w:val="21"/>
                      <w14:textFill>
                        <w14:solidFill>
                          <w14:schemeClr w14:val="tx1"/>
                        </w14:solidFill>
                      </w14:textFill>
                    </w:rPr>
                    <w:t>；</w:t>
                  </w:r>
                </w:p>
                <w:p w14:paraId="4E80FE7E">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3、本项目不涉及。</w:t>
                  </w:r>
                </w:p>
              </w:tc>
              <w:tc>
                <w:tcPr>
                  <w:tcW w:w="417" w:type="pct"/>
                  <w:vAlign w:val="center"/>
                </w:tcPr>
                <w:p w14:paraId="58C14C7D">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5242D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125DAF11">
                  <w:pPr>
                    <w:rPr>
                      <w:color w:val="000000" w:themeColor="text1"/>
                      <w:szCs w:val="21"/>
                      <w14:textFill>
                        <w14:solidFill>
                          <w14:schemeClr w14:val="tx1"/>
                        </w14:solidFill>
                      </w14:textFill>
                    </w:rPr>
                  </w:pPr>
                </w:p>
              </w:tc>
              <w:tc>
                <w:tcPr>
                  <w:tcW w:w="375" w:type="pct"/>
                  <w:vMerge w:val="continue"/>
                  <w:vAlign w:val="center"/>
                </w:tcPr>
                <w:p w14:paraId="1EDDDBFA">
                  <w:pPr>
                    <w:rPr>
                      <w:color w:val="000000" w:themeColor="text1"/>
                      <w:szCs w:val="21"/>
                      <w14:textFill>
                        <w14:solidFill>
                          <w14:schemeClr w14:val="tx1"/>
                        </w14:solidFill>
                      </w14:textFill>
                    </w:rPr>
                  </w:pPr>
                </w:p>
              </w:tc>
              <w:tc>
                <w:tcPr>
                  <w:tcW w:w="403" w:type="pct"/>
                  <w:vAlign w:val="center"/>
                </w:tcPr>
                <w:p w14:paraId="33B3E61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地下水开采要求</w:t>
                  </w:r>
                </w:p>
              </w:tc>
              <w:tc>
                <w:tcPr>
                  <w:tcW w:w="2015" w:type="pct"/>
                  <w:vAlign w:val="center"/>
                </w:tcPr>
                <w:p w14:paraId="4703A274">
                  <w:pPr>
                    <w:rPr>
                      <w:color w:val="000000" w:themeColor="text1"/>
                      <w:szCs w:val="21"/>
                      <w14:textFill>
                        <w14:solidFill>
                          <w14:schemeClr w14:val="tx1"/>
                        </w14:solidFill>
                      </w14:textFill>
                    </w:rPr>
                  </w:pPr>
                  <w:r>
                    <w:rPr>
                      <w:color w:val="000000" w:themeColor="text1"/>
                      <w:szCs w:val="21"/>
                      <w14:textFill>
                        <w14:solidFill>
                          <w14:schemeClr w14:val="tx1"/>
                        </w14:solidFill>
                      </w14:textFill>
                    </w:rPr>
                    <w:t>禁止工业发展新增地下水开采量</w:t>
                  </w:r>
                </w:p>
              </w:tc>
              <w:tc>
                <w:tcPr>
                  <w:tcW w:w="1500" w:type="pct"/>
                  <w:vAlign w:val="center"/>
                </w:tcPr>
                <w:p w14:paraId="627946EC">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项目用水来源于市政供水</w:t>
                  </w:r>
                  <w:r>
                    <w:rPr>
                      <w:rFonts w:hint="eastAsia"/>
                      <w:color w:val="000000" w:themeColor="text1"/>
                      <w:szCs w:val="21"/>
                      <w14:textFill>
                        <w14:solidFill>
                          <w14:schemeClr w14:val="tx1"/>
                        </w14:solidFill>
                      </w14:textFill>
                    </w:rPr>
                    <w:t>。</w:t>
                  </w:r>
                </w:p>
              </w:tc>
              <w:tc>
                <w:tcPr>
                  <w:tcW w:w="417" w:type="pct"/>
                  <w:vAlign w:val="center"/>
                </w:tcPr>
                <w:p w14:paraId="48D5D40A">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4F7F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restart"/>
                  <w:vAlign w:val="center"/>
                </w:tcPr>
                <w:p w14:paraId="0C279B0D">
                  <w:pPr>
                    <w:rPr>
                      <w:color w:val="000000" w:themeColor="text1"/>
                      <w:szCs w:val="21"/>
                      <w14:textFill>
                        <w14:solidFill>
                          <w14:schemeClr w14:val="tx1"/>
                        </w14:solidFill>
                      </w14:textFill>
                    </w:rPr>
                  </w:pPr>
                  <w:r>
                    <w:rPr>
                      <w:color w:val="000000" w:themeColor="text1"/>
                      <w:szCs w:val="21"/>
                      <w14:textFill>
                        <w14:solidFill>
                          <w14:schemeClr w14:val="tx1"/>
                        </w14:solidFill>
                      </w14:textFill>
                    </w:rPr>
                    <w:t>其他方面</w:t>
                  </w:r>
                </w:p>
              </w:tc>
              <w:tc>
                <w:tcPr>
                  <w:tcW w:w="375" w:type="pct"/>
                  <w:vMerge w:val="restart"/>
                  <w:vAlign w:val="center"/>
                </w:tcPr>
                <w:p w14:paraId="67F07C0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产业 政策</w:t>
                  </w:r>
                </w:p>
              </w:tc>
              <w:tc>
                <w:tcPr>
                  <w:tcW w:w="403" w:type="pct"/>
                  <w:vAlign w:val="center"/>
                </w:tcPr>
                <w:p w14:paraId="2857349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鼓励类</w:t>
                  </w:r>
                </w:p>
              </w:tc>
              <w:tc>
                <w:tcPr>
                  <w:tcW w:w="2015" w:type="pct"/>
                  <w:vAlign w:val="center"/>
                </w:tcPr>
                <w:p w14:paraId="30100A1C">
                  <w:pPr>
                    <w:rPr>
                      <w:color w:val="000000" w:themeColor="text1"/>
                      <w:szCs w:val="21"/>
                      <w14:textFill>
                        <w14:solidFill>
                          <w14:schemeClr w14:val="tx1"/>
                        </w14:solidFill>
                      </w14:textFill>
                    </w:rPr>
                  </w:pPr>
                  <w:r>
                    <w:rPr>
                      <w:color w:val="000000" w:themeColor="text1"/>
                      <w:szCs w:val="21"/>
                      <w14:textFill>
                        <w14:solidFill>
                          <w14:schemeClr w14:val="tx1"/>
                        </w14:solidFill>
                      </w14:textFill>
                    </w:rPr>
                    <w:t>1、鼓励园区市政基础设施项目、集中供热中心热电联产扩建项目</w:t>
                  </w:r>
                </w:p>
                <w:p w14:paraId="0CD918F5">
                  <w:pPr>
                    <w:rPr>
                      <w:color w:val="000000" w:themeColor="text1"/>
                      <w:szCs w:val="21"/>
                      <w14:textFill>
                        <w14:solidFill>
                          <w14:schemeClr w14:val="tx1"/>
                        </w14:solidFill>
                      </w14:textFill>
                    </w:rPr>
                  </w:pPr>
                  <w:r>
                    <w:rPr>
                      <w:color w:val="000000" w:themeColor="text1"/>
                      <w:szCs w:val="21"/>
                      <w14:textFill>
                        <w14:solidFill>
                          <w14:schemeClr w14:val="tx1"/>
                        </w14:solidFill>
                      </w14:textFill>
                    </w:rPr>
                    <w:t>2、鼓励属于《产业结构调整指导目录（2024 年本）》中鼓励类项目、且环境影响较小的项目入驻</w:t>
                  </w:r>
                </w:p>
              </w:tc>
              <w:tc>
                <w:tcPr>
                  <w:tcW w:w="1500" w:type="pct"/>
                  <w:vAlign w:val="center"/>
                </w:tcPr>
                <w:p w14:paraId="1744A286">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项目属于《产业结构调整指导目录（2024年本）》</w:t>
                  </w:r>
                  <w:r>
                    <w:rPr>
                      <w:rFonts w:hint="eastAsia"/>
                      <w:color w:val="000000" w:themeColor="text1"/>
                      <w:szCs w:val="21"/>
                      <w14:textFill>
                        <w14:solidFill>
                          <w14:schemeClr w14:val="tx1"/>
                        </w14:solidFill>
                      </w14:textFill>
                    </w:rPr>
                    <w:t>中</w:t>
                  </w:r>
                  <w:r>
                    <w:rPr>
                      <w:rFonts w:hint="eastAsia"/>
                      <w:color w:val="000000" w:themeColor="text1"/>
                      <w:szCs w:val="21"/>
                      <w:highlight w:val="none"/>
                      <w:lang w:val="en-US" w:eastAsia="zh-CN"/>
                      <w14:textFill>
                        <w14:solidFill>
                          <w14:schemeClr w14:val="tx1"/>
                        </w14:solidFill>
                      </w14:textFill>
                    </w:rPr>
                    <w:t>鼓励</w:t>
                  </w:r>
                  <w:r>
                    <w:rPr>
                      <w:color w:val="000000" w:themeColor="text1"/>
                      <w:szCs w:val="21"/>
                      <w:highlight w:val="none"/>
                      <w14:textFill>
                        <w14:solidFill>
                          <w14:schemeClr w14:val="tx1"/>
                        </w14:solidFill>
                      </w14:textFill>
                    </w:rPr>
                    <w:t>类</w:t>
                  </w:r>
                  <w:r>
                    <w:rPr>
                      <w:color w:val="000000" w:themeColor="text1"/>
                      <w:szCs w:val="21"/>
                      <w14:textFill>
                        <w14:solidFill>
                          <w14:schemeClr w14:val="tx1"/>
                        </w14:solidFill>
                      </w14:textFill>
                    </w:rPr>
                    <w:t>，在严格落实各项污染防治措施基础上预计对环境影响较小</w:t>
                  </w:r>
                  <w:r>
                    <w:rPr>
                      <w:rFonts w:hint="eastAsia"/>
                      <w:color w:val="000000" w:themeColor="text1"/>
                      <w:szCs w:val="21"/>
                      <w14:textFill>
                        <w14:solidFill>
                          <w14:schemeClr w14:val="tx1"/>
                        </w14:solidFill>
                      </w14:textFill>
                    </w:rPr>
                    <w:t>。</w:t>
                  </w:r>
                </w:p>
              </w:tc>
              <w:tc>
                <w:tcPr>
                  <w:tcW w:w="417" w:type="pct"/>
                  <w:vAlign w:val="center"/>
                </w:tcPr>
                <w:p w14:paraId="6EFB8705">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CC11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4DA0CA11">
                  <w:pPr>
                    <w:rPr>
                      <w:color w:val="000000" w:themeColor="text1"/>
                      <w:szCs w:val="21"/>
                      <w14:textFill>
                        <w14:solidFill>
                          <w14:schemeClr w14:val="tx1"/>
                        </w14:solidFill>
                      </w14:textFill>
                    </w:rPr>
                  </w:pPr>
                </w:p>
              </w:tc>
              <w:tc>
                <w:tcPr>
                  <w:tcW w:w="375" w:type="pct"/>
                  <w:vMerge w:val="continue"/>
                  <w:vAlign w:val="center"/>
                </w:tcPr>
                <w:p w14:paraId="7A9F3AF7">
                  <w:pPr>
                    <w:rPr>
                      <w:color w:val="000000" w:themeColor="text1"/>
                      <w:szCs w:val="21"/>
                      <w14:textFill>
                        <w14:solidFill>
                          <w14:schemeClr w14:val="tx1"/>
                        </w14:solidFill>
                      </w14:textFill>
                    </w:rPr>
                  </w:pPr>
                </w:p>
              </w:tc>
              <w:tc>
                <w:tcPr>
                  <w:tcW w:w="403" w:type="pct"/>
                  <w:vAlign w:val="center"/>
                </w:tcPr>
                <w:p w14:paraId="59D1272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限制类</w:t>
                  </w:r>
                </w:p>
              </w:tc>
              <w:tc>
                <w:tcPr>
                  <w:tcW w:w="2015" w:type="pct"/>
                  <w:vAlign w:val="center"/>
                </w:tcPr>
                <w:p w14:paraId="1850A7B5">
                  <w:pPr>
                    <w:rPr>
                      <w:color w:val="000000" w:themeColor="text1"/>
                      <w:szCs w:val="21"/>
                      <w14:textFill>
                        <w14:solidFill>
                          <w14:schemeClr w14:val="tx1"/>
                        </w14:solidFill>
                      </w14:textFill>
                    </w:rPr>
                  </w:pPr>
                  <w:r>
                    <w:rPr>
                      <w:color w:val="000000" w:themeColor="text1"/>
                      <w:szCs w:val="21"/>
                      <w14:textFill>
                        <w14:solidFill>
                          <w14:schemeClr w14:val="tx1"/>
                        </w14:solidFill>
                      </w14:textFill>
                    </w:rPr>
                    <w:t>1、《产业结构调整指导目录（2024 年本）》中限制类项目</w:t>
                  </w:r>
                </w:p>
                <w:p w14:paraId="2146239F">
                  <w:pPr>
                    <w:rPr>
                      <w:color w:val="000000" w:themeColor="text1"/>
                      <w:szCs w:val="21"/>
                      <w14:textFill>
                        <w14:solidFill>
                          <w14:schemeClr w14:val="tx1"/>
                        </w14:solidFill>
                      </w14:textFill>
                    </w:rPr>
                  </w:pPr>
                  <w:r>
                    <w:rPr>
                      <w:color w:val="000000" w:themeColor="text1"/>
                      <w:szCs w:val="21"/>
                      <w14:textFill>
                        <w14:solidFill>
                          <w14:schemeClr w14:val="tx1"/>
                        </w14:solidFill>
                      </w14:textFill>
                    </w:rPr>
                    <w:t>2、《产业发展与转移指导目录（2018年本）》中，中部地区引导逐步调整退出的产业</w:t>
                  </w:r>
                </w:p>
              </w:tc>
              <w:tc>
                <w:tcPr>
                  <w:tcW w:w="1500" w:type="pct"/>
                  <w:vAlign w:val="center"/>
                </w:tcPr>
                <w:p w14:paraId="6492CA64">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项目不属于《产业结构调整指导目录（2024 年本）》中限制类项目</w:t>
                  </w:r>
                  <w:r>
                    <w:rPr>
                      <w:rFonts w:hint="eastAsia"/>
                      <w:color w:val="000000" w:themeColor="text1"/>
                      <w:szCs w:val="21"/>
                      <w14:textFill>
                        <w14:solidFill>
                          <w14:schemeClr w14:val="tx1"/>
                        </w14:solidFill>
                      </w14:textFill>
                    </w:rPr>
                    <w:t>；</w:t>
                  </w:r>
                </w:p>
                <w:p w14:paraId="0DB0533A">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2、本项目不属于</w:t>
                  </w:r>
                  <w:r>
                    <w:rPr>
                      <w:color w:val="000000" w:themeColor="text1"/>
                      <w:szCs w:val="21"/>
                      <w14:textFill>
                        <w14:solidFill>
                          <w14:schemeClr w14:val="tx1"/>
                        </w14:solidFill>
                      </w14:textFill>
                    </w:rPr>
                    <w:t>《产业发展与转移指导目录（2018年本）》中，中部地区引导逐步调整退出的产业</w:t>
                  </w:r>
                  <w:r>
                    <w:rPr>
                      <w:rFonts w:hint="eastAsia"/>
                      <w:color w:val="000000" w:themeColor="text1"/>
                      <w:szCs w:val="21"/>
                      <w14:textFill>
                        <w14:solidFill>
                          <w14:schemeClr w14:val="tx1"/>
                        </w14:solidFill>
                      </w14:textFill>
                    </w:rPr>
                    <w:t>。</w:t>
                  </w:r>
                </w:p>
              </w:tc>
              <w:tc>
                <w:tcPr>
                  <w:tcW w:w="417" w:type="pct"/>
                  <w:vAlign w:val="center"/>
                </w:tcPr>
                <w:p w14:paraId="2AB8EA36">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5D23E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331BF6EC">
                  <w:pPr>
                    <w:rPr>
                      <w:color w:val="000000" w:themeColor="text1"/>
                      <w:szCs w:val="21"/>
                      <w14:textFill>
                        <w14:solidFill>
                          <w14:schemeClr w14:val="tx1"/>
                        </w14:solidFill>
                      </w14:textFill>
                    </w:rPr>
                  </w:pPr>
                </w:p>
              </w:tc>
              <w:tc>
                <w:tcPr>
                  <w:tcW w:w="375" w:type="pct"/>
                  <w:vMerge w:val="continue"/>
                  <w:vAlign w:val="center"/>
                </w:tcPr>
                <w:p w14:paraId="37209331">
                  <w:pPr>
                    <w:rPr>
                      <w:color w:val="000000" w:themeColor="text1"/>
                      <w:szCs w:val="21"/>
                      <w14:textFill>
                        <w14:solidFill>
                          <w14:schemeClr w14:val="tx1"/>
                        </w14:solidFill>
                      </w14:textFill>
                    </w:rPr>
                  </w:pPr>
                </w:p>
              </w:tc>
              <w:tc>
                <w:tcPr>
                  <w:tcW w:w="403" w:type="pct"/>
                  <w:vAlign w:val="center"/>
                </w:tcPr>
                <w:p w14:paraId="4D78138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禁止类</w:t>
                  </w:r>
                </w:p>
              </w:tc>
              <w:tc>
                <w:tcPr>
                  <w:tcW w:w="2015" w:type="pct"/>
                  <w:vAlign w:val="center"/>
                </w:tcPr>
                <w:p w14:paraId="1F0D821F">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1、禁止建设《河南省承接化工产业转移</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禁限控</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目录》（豫发改工业[2022]610号）中项目</w:t>
                  </w:r>
                </w:p>
                <w:p w14:paraId="43247FC9">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2、禁止建设《产业结构调整指导目录（2023年本）》中淘汰类、限制类项目</w:t>
                  </w:r>
                </w:p>
                <w:p w14:paraId="2363DB4B">
                  <w:pPr>
                    <w:rPr>
                      <w:color w:val="000000" w:themeColor="text1"/>
                      <w:szCs w:val="21"/>
                      <w14:textFill>
                        <w14:solidFill>
                          <w14:schemeClr w14:val="tx1"/>
                        </w14:solidFill>
                      </w14:textFill>
                    </w:rPr>
                  </w:pPr>
                  <w:r>
                    <w:rPr>
                      <w:color w:val="000000" w:themeColor="text1"/>
                      <w:szCs w:val="21"/>
                      <w14:textFill>
                        <w14:solidFill>
                          <w14:schemeClr w14:val="tx1"/>
                        </w14:solidFill>
                      </w14:textFill>
                    </w:rPr>
                    <w:t>3、《产业发展与转移指导目录（2018 年本）》中，中部地区引导不再承接的产业</w:t>
                  </w:r>
                </w:p>
                <w:p w14:paraId="4DC9C1D6">
                  <w:pPr>
                    <w:rPr>
                      <w:color w:val="000000" w:themeColor="text1"/>
                      <w:szCs w:val="21"/>
                      <w14:textFill>
                        <w14:solidFill>
                          <w14:schemeClr w14:val="tx1"/>
                        </w14:solidFill>
                      </w14:textFill>
                    </w:rPr>
                  </w:pPr>
                  <w:r>
                    <w:rPr>
                      <w:color w:val="000000" w:themeColor="text1"/>
                      <w:szCs w:val="21"/>
                      <w14:textFill>
                        <w14:solidFill>
                          <w14:schemeClr w14:val="tx1"/>
                        </w14:solidFill>
                      </w14:textFill>
                    </w:rPr>
                    <w:t>4、东部片区禁止入驻化学原料药、医药中间体等医药化工；根据高端装备制造产业链分析，高端装备制造产业链中的初级形态塑料及合成树脂制造属于国民经济中“化学原料和化学制品制造业”，因此建议禁止入驻该类项目；评价结合当地环境条件及行业发展情况，限制单纯新增发展平板玻璃、水泥等产能过剩项目</w:t>
                  </w:r>
                </w:p>
              </w:tc>
              <w:tc>
                <w:tcPr>
                  <w:tcW w:w="1500" w:type="pct"/>
                  <w:vAlign w:val="center"/>
                </w:tcPr>
                <w:p w14:paraId="3CCFE2E1">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1、本项目不属于《河南省承接化工产业转移</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禁限控</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目录》（豫发改工业[2022]610号）中项目；</w:t>
                  </w:r>
                </w:p>
                <w:p w14:paraId="68AE9EA6">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2、本项目属于《产业结构调整指导目录（2024年本）》中</w:t>
                  </w:r>
                  <w:r>
                    <w:rPr>
                      <w:rFonts w:hint="eastAsia"/>
                      <w:color w:val="000000" w:themeColor="text1"/>
                      <w:szCs w:val="21"/>
                      <w:highlight w:val="none"/>
                      <w:lang w:val="en-US" w:eastAsia="zh-CN"/>
                      <w14:textFill>
                        <w14:solidFill>
                          <w14:schemeClr w14:val="tx1"/>
                        </w14:solidFill>
                      </w14:textFill>
                    </w:rPr>
                    <w:t>鼓励</w:t>
                  </w:r>
                  <w:r>
                    <w:rPr>
                      <w:color w:val="000000" w:themeColor="text1"/>
                      <w:szCs w:val="21"/>
                      <w:highlight w:val="none"/>
                      <w14:textFill>
                        <w14:solidFill>
                          <w14:schemeClr w14:val="tx1"/>
                        </w14:solidFill>
                      </w14:textFill>
                    </w:rPr>
                    <w:t>类</w:t>
                  </w:r>
                  <w:r>
                    <w:rPr>
                      <w:color w:val="000000" w:themeColor="text1"/>
                      <w:szCs w:val="21"/>
                      <w14:textFill>
                        <w14:solidFill>
                          <w14:schemeClr w14:val="tx1"/>
                        </w14:solidFill>
                      </w14:textFill>
                    </w:rPr>
                    <w:t>项目，不属于淘汰类、限制类项目；</w:t>
                  </w:r>
                </w:p>
                <w:p w14:paraId="7B495B37">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3、本项目不属于《产业发展与转移指导目录（2018年本）》中，中部地区引导不再承接的产业；</w:t>
                  </w:r>
                </w:p>
                <w:p w14:paraId="57762291">
                  <w:pPr>
                    <w:rPr>
                      <w:color w:val="000000" w:themeColor="text1"/>
                      <w:szCs w:val="21"/>
                      <w14:textFill>
                        <w14:solidFill>
                          <w14:schemeClr w14:val="tx1"/>
                        </w14:solidFill>
                      </w14:textFill>
                    </w:rPr>
                  </w:pPr>
                  <w:r>
                    <w:rPr>
                      <w:color w:val="000000" w:themeColor="text1"/>
                      <w:szCs w:val="21"/>
                      <w14:textFill>
                        <w14:solidFill>
                          <w14:schemeClr w14:val="tx1"/>
                        </w14:solidFill>
                      </w14:textFill>
                    </w:rPr>
                    <w:t>4、本项目不属于化学原料和化学制品制造业、平板玻璃、水泥等产能项目</w:t>
                  </w:r>
                  <w:r>
                    <w:rPr>
                      <w:rFonts w:hint="eastAsia"/>
                      <w:color w:val="000000" w:themeColor="text1"/>
                      <w:szCs w:val="21"/>
                      <w14:textFill>
                        <w14:solidFill>
                          <w14:schemeClr w14:val="tx1"/>
                        </w14:solidFill>
                      </w14:textFill>
                    </w:rPr>
                    <w:t>。</w:t>
                  </w:r>
                </w:p>
              </w:tc>
              <w:tc>
                <w:tcPr>
                  <w:tcW w:w="417" w:type="pct"/>
                  <w:vAlign w:val="center"/>
                </w:tcPr>
                <w:p w14:paraId="4F80C93C">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3A60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1FCB60F1">
                  <w:pPr>
                    <w:rPr>
                      <w:color w:val="000000" w:themeColor="text1"/>
                      <w:szCs w:val="21"/>
                      <w14:textFill>
                        <w14:solidFill>
                          <w14:schemeClr w14:val="tx1"/>
                        </w14:solidFill>
                      </w14:textFill>
                    </w:rPr>
                  </w:pPr>
                </w:p>
              </w:tc>
              <w:tc>
                <w:tcPr>
                  <w:tcW w:w="778" w:type="pct"/>
                  <w:gridSpan w:val="2"/>
                  <w:vAlign w:val="center"/>
                </w:tcPr>
                <w:p w14:paraId="557B25C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生产规模和工艺装备水平</w:t>
                  </w:r>
                </w:p>
              </w:tc>
              <w:tc>
                <w:tcPr>
                  <w:tcW w:w="2015" w:type="pct"/>
                  <w:vAlign w:val="center"/>
                </w:tcPr>
                <w:p w14:paraId="4112F854">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1、入园项目必须达到国内同行业领先水平或具备国际先进水平</w:t>
                  </w:r>
                </w:p>
                <w:p w14:paraId="4801208D">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2、入园企业建设规模应符合国家相关行业准入条件中的经济、产品规模和生产工艺、污染治理、污染 物排放的相关要求</w:t>
                  </w:r>
                </w:p>
              </w:tc>
              <w:tc>
                <w:tcPr>
                  <w:tcW w:w="1500" w:type="pct"/>
                  <w:vAlign w:val="center"/>
                </w:tcPr>
                <w:p w14:paraId="0992BAA8">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项目达到国内同行业领先水平；项目生产工艺、污染防治措施及污染物排放满足相关标准要求</w:t>
                  </w:r>
                  <w:r>
                    <w:rPr>
                      <w:rFonts w:hint="eastAsia"/>
                      <w:color w:val="000000" w:themeColor="text1"/>
                      <w:szCs w:val="21"/>
                      <w14:textFill>
                        <w14:solidFill>
                          <w14:schemeClr w14:val="tx1"/>
                        </w14:solidFill>
                      </w14:textFill>
                    </w:rPr>
                    <w:t>。</w:t>
                  </w:r>
                </w:p>
              </w:tc>
              <w:tc>
                <w:tcPr>
                  <w:tcW w:w="417" w:type="pct"/>
                  <w:vAlign w:val="center"/>
                </w:tcPr>
                <w:p w14:paraId="737F820B">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68D9C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421654A6">
                  <w:pPr>
                    <w:rPr>
                      <w:color w:val="000000" w:themeColor="text1"/>
                      <w:szCs w:val="21"/>
                      <w14:textFill>
                        <w14:solidFill>
                          <w14:schemeClr w14:val="tx1"/>
                        </w14:solidFill>
                      </w14:textFill>
                    </w:rPr>
                  </w:pPr>
                </w:p>
              </w:tc>
              <w:tc>
                <w:tcPr>
                  <w:tcW w:w="778" w:type="pct"/>
                  <w:gridSpan w:val="2"/>
                  <w:vAlign w:val="center"/>
                </w:tcPr>
                <w:p w14:paraId="1589B5A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清洁生产</w:t>
                  </w:r>
                </w:p>
              </w:tc>
              <w:tc>
                <w:tcPr>
                  <w:tcW w:w="2015" w:type="pct"/>
                  <w:vAlign w:val="center"/>
                </w:tcPr>
                <w:p w14:paraId="673759D0">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1、应选择使用原料和产品为环境友好型的项目，避免园区大规模建设造成的不良辐射效应，诱使国家明令禁止项目在园区周边出现</w:t>
                  </w:r>
                </w:p>
                <w:p w14:paraId="07677428">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2、入园项目在单位产品水耗、能耗、污染物排放量等清洁生产指标应达到国内同类行业先进水平；</w:t>
                  </w:r>
                </w:p>
                <w:p w14:paraId="4985599E">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3、按照循环经济发展之路，评价建议能够与园区定位发展产业形成良好循环经济链条的项目可优先入 园</w:t>
                  </w:r>
                </w:p>
              </w:tc>
              <w:tc>
                <w:tcPr>
                  <w:tcW w:w="1500" w:type="pct"/>
                  <w:vAlign w:val="center"/>
                </w:tcPr>
                <w:p w14:paraId="10E85DE3">
                  <w:pPr>
                    <w:rPr>
                      <w:color w:val="000000" w:themeColor="text1"/>
                      <w:szCs w:val="21"/>
                      <w14:textFill>
                        <w14:solidFill>
                          <w14:schemeClr w14:val="tx1"/>
                        </w14:solidFill>
                      </w14:textFill>
                    </w:rPr>
                  </w:pPr>
                  <w:r>
                    <w:rPr>
                      <w:color w:val="000000" w:themeColor="text1"/>
                      <w:szCs w:val="21"/>
                      <w14:textFill>
                        <w14:solidFill>
                          <w14:schemeClr w14:val="tx1"/>
                        </w14:solidFill>
                      </w14:textFill>
                    </w:rPr>
                    <w:t>预计项目清洁生产可达到国内先进水平</w:t>
                  </w:r>
                  <w:r>
                    <w:rPr>
                      <w:rFonts w:hint="eastAsia"/>
                      <w:color w:val="000000" w:themeColor="text1"/>
                      <w:szCs w:val="21"/>
                      <w14:textFill>
                        <w14:solidFill>
                          <w14:schemeClr w14:val="tx1"/>
                        </w14:solidFill>
                      </w14:textFill>
                    </w:rPr>
                    <w:t>。</w:t>
                  </w:r>
                </w:p>
              </w:tc>
              <w:tc>
                <w:tcPr>
                  <w:tcW w:w="417" w:type="pct"/>
                  <w:vAlign w:val="center"/>
                </w:tcPr>
                <w:p w14:paraId="289DE350">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4CF9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65BF2458">
                  <w:pPr>
                    <w:rPr>
                      <w:color w:val="000000" w:themeColor="text1"/>
                      <w:szCs w:val="21"/>
                      <w14:textFill>
                        <w14:solidFill>
                          <w14:schemeClr w14:val="tx1"/>
                        </w14:solidFill>
                      </w14:textFill>
                    </w:rPr>
                  </w:pPr>
                </w:p>
              </w:tc>
              <w:tc>
                <w:tcPr>
                  <w:tcW w:w="778" w:type="pct"/>
                  <w:gridSpan w:val="2"/>
                  <w:vAlign w:val="center"/>
                </w:tcPr>
                <w:p w14:paraId="3DB82240">
                  <w:pPr>
                    <w:rPr>
                      <w:color w:val="000000" w:themeColor="text1"/>
                      <w:szCs w:val="21"/>
                      <w14:textFill>
                        <w14:solidFill>
                          <w14:schemeClr w14:val="tx1"/>
                        </w14:solidFill>
                      </w14:textFill>
                    </w:rPr>
                  </w:pPr>
                  <w:r>
                    <w:rPr>
                      <w:color w:val="000000" w:themeColor="text1"/>
                      <w:szCs w:val="21"/>
                      <w14:textFill>
                        <w14:solidFill>
                          <w14:schemeClr w14:val="tx1"/>
                        </w14:solidFill>
                      </w14:textFill>
                    </w:rPr>
                    <w:t>土地利用</w:t>
                  </w:r>
                </w:p>
              </w:tc>
              <w:tc>
                <w:tcPr>
                  <w:tcW w:w="2015" w:type="pct"/>
                  <w:vAlign w:val="center"/>
                </w:tcPr>
                <w:p w14:paraId="7C834BC9">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1、入园项目投资强度满足《工业项目建设用地控制指标》的要求和《河南省人民政府办公厅关于实施开发区土地利用综合评价促进节约集约高效用地的意见》（豫政办[2023]13号）文件要求</w:t>
                  </w:r>
                </w:p>
                <w:p w14:paraId="7693EEE0">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2、入园项目用地必须符合园区土地利用规划要求</w:t>
                  </w:r>
                </w:p>
                <w:p w14:paraId="37FB1E49">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3、入园项目必须符合园区产业布局要求</w:t>
                  </w:r>
                </w:p>
              </w:tc>
              <w:tc>
                <w:tcPr>
                  <w:tcW w:w="1500" w:type="pct"/>
                  <w:vAlign w:val="center"/>
                </w:tcPr>
                <w:p w14:paraId="7D1912B9">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本项目符合园区土地利用规划要求</w:t>
                  </w:r>
                  <w:r>
                    <w:rPr>
                      <w:rFonts w:hint="eastAsia"/>
                      <w:color w:val="000000" w:themeColor="text1"/>
                      <w:szCs w:val="21"/>
                      <w14:textFill>
                        <w14:solidFill>
                          <w14:schemeClr w14:val="tx1"/>
                        </w14:solidFill>
                      </w14:textFill>
                    </w:rPr>
                    <w:t>。</w:t>
                  </w:r>
                </w:p>
              </w:tc>
              <w:tc>
                <w:tcPr>
                  <w:tcW w:w="417" w:type="pct"/>
                  <w:vAlign w:val="center"/>
                </w:tcPr>
                <w:p w14:paraId="3078BCE4">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B208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vAlign w:val="center"/>
                </w:tcPr>
                <w:p w14:paraId="0723C658">
                  <w:pPr>
                    <w:rPr>
                      <w:color w:val="000000" w:themeColor="text1"/>
                      <w:szCs w:val="21"/>
                      <w14:textFill>
                        <w14:solidFill>
                          <w14:schemeClr w14:val="tx1"/>
                        </w14:solidFill>
                      </w14:textFill>
                    </w:rPr>
                  </w:pPr>
                  <w:r>
                    <w:rPr>
                      <w:color w:val="000000" w:themeColor="text1"/>
                      <w:szCs w:val="21"/>
                      <w14:textFill>
                        <w14:solidFill>
                          <w14:schemeClr w14:val="tx1"/>
                        </w14:solidFill>
                      </w14:textFill>
                    </w:rPr>
                    <w:t>注：*配套电镀企业是指电镀加工只是企业生产流程中的一道工序。</w:t>
                  </w:r>
                </w:p>
              </w:tc>
            </w:tr>
          </w:tbl>
          <w:p w14:paraId="6ACD578A">
            <w:pPr>
              <w:spacing w:line="360" w:lineRule="auto"/>
              <w:ind w:firstLine="480" w:firstLineChars="200"/>
              <w:rPr>
                <w:bCs/>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bCs/>
                <w:color w:val="000000" w:themeColor="text1"/>
                <w:sz w:val="24"/>
                <w14:textFill>
                  <w14:solidFill>
                    <w14:schemeClr w14:val="tx1"/>
                  </w14:solidFill>
                </w14:textFill>
              </w:rPr>
              <w:t>，本项目建设符合《镇平县先进制造业开发区发展规划（2022-2035）环境影响报告书》中镇平县先进制造业开发区差别化环境准入条件要求。</w:t>
            </w:r>
          </w:p>
          <w:p w14:paraId="73DD9161">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2.2、项目与镇平县先进制造业开发区环境准入负面清单符合性分析详见下表。</w:t>
            </w:r>
          </w:p>
          <w:p w14:paraId="486DC9C3">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表1-</w:t>
            </w:r>
            <w:r>
              <w:rPr>
                <w:rFonts w:hint="eastAsia"/>
                <w:b/>
                <w:bCs/>
                <w:color w:val="000000" w:themeColor="text1"/>
                <w:sz w:val="24"/>
                <w14:textFill>
                  <w14:solidFill>
                    <w14:schemeClr w14:val="tx1"/>
                  </w14:solidFill>
                </w14:textFill>
              </w:rPr>
              <w:t>2</w:t>
            </w:r>
            <w:r>
              <w:rPr>
                <w:b/>
                <w:bCs/>
                <w:color w:val="000000" w:themeColor="text1"/>
                <w:sz w:val="24"/>
                <w14:textFill>
                  <w14:solidFill>
                    <w14:schemeClr w14:val="tx1"/>
                  </w14:solidFill>
                </w14:textFill>
              </w:rPr>
              <w:t xml:space="preserve">  项目与镇平县先进制造业开发区环境准入负面清单符</w:t>
            </w:r>
            <w:commentRangeStart w:id="6"/>
            <w:r>
              <w:rPr>
                <w:b/>
                <w:bCs/>
                <w:color w:val="000000" w:themeColor="text1"/>
                <w:sz w:val="24"/>
                <w14:textFill>
                  <w14:solidFill>
                    <w14:schemeClr w14:val="tx1"/>
                  </w14:solidFill>
                </w14:textFill>
              </w:rPr>
              <w:t>合性分析</w:t>
            </w:r>
            <w:commentRangeEnd w:id="6"/>
            <w:r>
              <w:commentReference w:id="6"/>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4019"/>
              <w:gridCol w:w="2516"/>
              <w:gridCol w:w="678"/>
            </w:tblGrid>
            <w:tr w14:paraId="0DA33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751DEC1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管控类 型</w:t>
                  </w:r>
                </w:p>
              </w:tc>
              <w:tc>
                <w:tcPr>
                  <w:tcW w:w="2419" w:type="pct"/>
                  <w:vAlign w:val="center"/>
                </w:tcPr>
                <w:p w14:paraId="254F7BB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管控要求</w:t>
                  </w:r>
                </w:p>
              </w:tc>
              <w:tc>
                <w:tcPr>
                  <w:tcW w:w="1515" w:type="pct"/>
                  <w:vAlign w:val="center"/>
                </w:tcPr>
                <w:p w14:paraId="4F12829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408" w:type="pct"/>
                  <w:vAlign w:val="center"/>
                </w:tcPr>
                <w:p w14:paraId="284F477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符合性</w:t>
                  </w:r>
                </w:p>
              </w:tc>
            </w:tr>
            <w:tr w14:paraId="0F538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210AC78E">
                  <w:pPr>
                    <w:rPr>
                      <w:color w:val="000000" w:themeColor="text1"/>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2419" w:type="pct"/>
                  <w:vAlign w:val="center"/>
                </w:tcPr>
                <w:p w14:paraId="4AB73A50">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1、禁止投资建设《产业结构调整指导目录（2024年本）》中淘汰类、限制类项目；</w:t>
                  </w:r>
                </w:p>
                <w:p w14:paraId="6FF3E48A">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2、禁止新建、扩建单纯新增产能的钢铁、电解铝、水泥、平板玻璃、煤化工（甲醇、合成氨）、焦化、铝用炭素、耐火材料制品、砖瓦窑、铅锌冶炼（含再生铅）等高耗能、高排放和产能过剩的产业项目；</w:t>
                  </w:r>
                </w:p>
                <w:p w14:paraId="24496169">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3、禁止建设任何燃煤、燃重油设施；</w:t>
                  </w:r>
                </w:p>
                <w:p w14:paraId="11A7EAA9">
                  <w:pPr>
                    <w:rPr>
                      <w:color w:val="000000" w:themeColor="text1"/>
                      <w:szCs w:val="21"/>
                      <w14:textFill>
                        <w14:solidFill>
                          <w14:schemeClr w14:val="tx1"/>
                        </w14:solidFill>
                      </w14:textFill>
                    </w:rPr>
                  </w:pPr>
                  <w:r>
                    <w:rPr>
                      <w:color w:val="000000" w:themeColor="text1"/>
                      <w:szCs w:val="21"/>
                      <w14:textFill>
                        <w14:solidFill>
                          <w14:schemeClr w14:val="tx1"/>
                        </w14:solidFill>
                      </w14:textFill>
                    </w:rPr>
                    <w:t>4、评价结合医药健康产业园的特点，认为东部医药健康产业园总体发展方向是合理的，建议禁止发展化学原料药、医药中间体等医药化工；根据高端装备制造产业链分析，高端装备制造产业链中的初级形态塑料及合成树脂制造属于国民经济中“化学原料和化学制品制造业”，因此建议禁止入驻该类项目；评价结合当地环境条件及行业发展情况，限制单纯新增发展平板玻璃、水泥等产能过剩项目；</w:t>
                  </w:r>
                </w:p>
                <w:p w14:paraId="5E5685E0">
                  <w:pPr>
                    <w:rPr>
                      <w:color w:val="000000" w:themeColor="text1"/>
                      <w:szCs w:val="21"/>
                      <w14:textFill>
                        <w14:solidFill>
                          <w14:schemeClr w14:val="tx1"/>
                        </w14:solidFill>
                      </w14:textFill>
                    </w:rPr>
                  </w:pPr>
                  <w:r>
                    <w:rPr>
                      <w:color w:val="000000" w:themeColor="text1"/>
                      <w:szCs w:val="21"/>
                      <w14:textFill>
                        <w14:solidFill>
                          <w14:schemeClr w14:val="tx1"/>
                        </w14:solidFill>
                      </w14:textFill>
                    </w:rPr>
                    <w:t>5、禁止建设冶金、钢铁、铁合金、制浆造纸、制革及毛皮鞣制项目；</w:t>
                  </w:r>
                </w:p>
                <w:p w14:paraId="3C74D785">
                  <w:pPr>
                    <w:rPr>
                      <w:color w:val="000000" w:themeColor="text1"/>
                      <w:szCs w:val="21"/>
                      <w14:textFill>
                        <w14:solidFill>
                          <w14:schemeClr w14:val="tx1"/>
                        </w14:solidFill>
                      </w14:textFill>
                    </w:rPr>
                  </w:pPr>
                  <w:r>
                    <w:rPr>
                      <w:color w:val="000000" w:themeColor="text1"/>
                      <w:szCs w:val="21"/>
                      <w14:textFill>
                        <w14:solidFill>
                          <w14:schemeClr w14:val="tx1"/>
                        </w14:solidFill>
                      </w14:textFill>
                    </w:rPr>
                    <w:t>6、禁止建设生产和使用高VOCs含量的溶剂型涂料、油墨、胶粘剂等项目；</w:t>
                  </w:r>
                </w:p>
                <w:p w14:paraId="0A5FA8FC">
                  <w:pPr>
                    <w:rPr>
                      <w:color w:val="000000" w:themeColor="text1"/>
                      <w:szCs w:val="21"/>
                      <w14:textFill>
                        <w14:solidFill>
                          <w14:schemeClr w14:val="tx1"/>
                        </w14:solidFill>
                      </w14:textFill>
                    </w:rPr>
                  </w:pPr>
                  <w:r>
                    <w:rPr>
                      <w:color w:val="000000" w:themeColor="text1"/>
                      <w:szCs w:val="21"/>
                      <w14:textFill>
                        <w14:solidFill>
                          <w14:schemeClr w14:val="tx1"/>
                        </w14:solidFill>
                      </w14:textFill>
                    </w:rPr>
                    <w:t>7、禁止生产、使用《危险化学品目录》中的剧毒化学品；禁止引入农药中间体及原料药等涉及毒性较强且具有持久性、积累性影 响的化学品使用或生产项目；</w:t>
                  </w:r>
                </w:p>
                <w:p w14:paraId="087D5FAE">
                  <w:pPr>
                    <w:rPr>
                      <w:color w:val="000000" w:themeColor="text1"/>
                      <w:szCs w:val="21"/>
                      <w14:textFill>
                        <w14:solidFill>
                          <w14:schemeClr w14:val="tx1"/>
                        </w14:solidFill>
                      </w14:textFill>
                    </w:rPr>
                  </w:pPr>
                  <w:r>
                    <w:rPr>
                      <w:color w:val="000000" w:themeColor="text1"/>
                      <w:szCs w:val="21"/>
                      <w14:textFill>
                        <w14:solidFill>
                          <w14:schemeClr w14:val="tx1"/>
                        </w14:solidFill>
                      </w14:textFill>
                    </w:rPr>
                    <w:t>8、禁止引进与园区主导产业不相符的重污染项目；</w:t>
                  </w:r>
                </w:p>
                <w:p w14:paraId="0F7868DD">
                  <w:pPr>
                    <w:rPr>
                      <w:color w:val="000000" w:themeColor="text1"/>
                      <w:szCs w:val="21"/>
                      <w14:textFill>
                        <w14:solidFill>
                          <w14:schemeClr w14:val="tx1"/>
                        </w14:solidFill>
                      </w14:textFill>
                    </w:rPr>
                  </w:pPr>
                  <w:r>
                    <w:rPr>
                      <w:color w:val="000000" w:themeColor="text1"/>
                      <w:szCs w:val="21"/>
                      <w14:textFill>
                        <w14:solidFill>
                          <w14:schemeClr w14:val="tx1"/>
                        </w14:solidFill>
                      </w14:textFill>
                    </w:rPr>
                    <w:t>9、园区严格控制</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项目准入，不符合园区主导产业或不在园区规划发展产业链上的</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项目禁止入园发展；同时，污染物排放总量不能满足区域总量替代削减方案的</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项目也不得入园发展；</w:t>
                  </w:r>
                </w:p>
                <w:p w14:paraId="6B60EB8D">
                  <w:pPr>
                    <w:rPr>
                      <w:color w:val="000000" w:themeColor="text1"/>
                      <w:szCs w:val="21"/>
                      <w14:textFill>
                        <w14:solidFill>
                          <w14:schemeClr w14:val="tx1"/>
                        </w14:solidFill>
                      </w14:textFill>
                    </w:rPr>
                  </w:pPr>
                  <w:r>
                    <w:rPr>
                      <w:color w:val="000000" w:themeColor="text1"/>
                      <w:szCs w:val="21"/>
                      <w14:textFill>
                        <w14:solidFill>
                          <w14:schemeClr w14:val="tx1"/>
                        </w14:solidFill>
                      </w14:textFill>
                    </w:rPr>
                    <w:t>10、允许符合园区准入及环境保护要求、污染物控制要求、风险管控要求、资源开发管控要求的配套产业入驻</w:t>
                  </w:r>
                </w:p>
              </w:tc>
              <w:tc>
                <w:tcPr>
                  <w:tcW w:w="1515" w:type="pct"/>
                  <w:vAlign w:val="center"/>
                </w:tcPr>
                <w:p w14:paraId="142AFEA9">
                  <w:pP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color w:val="000000" w:themeColor="text1"/>
                      <w:szCs w:val="21"/>
                      <w:highlight w:val="none"/>
                      <w14:textFill>
                        <w14:solidFill>
                          <w14:schemeClr w14:val="tx1"/>
                        </w14:solidFill>
                      </w14:textFill>
                    </w:rPr>
                    <w:t>本项目属于《产业结构调整指导目录（2024年本）》中</w:t>
                  </w:r>
                  <w:r>
                    <w:rPr>
                      <w:rFonts w:hint="eastAsia"/>
                      <w:color w:val="000000" w:themeColor="text1"/>
                      <w:szCs w:val="21"/>
                      <w:highlight w:val="none"/>
                      <w:lang w:val="en-US" w:eastAsia="zh-CN"/>
                      <w14:textFill>
                        <w14:solidFill>
                          <w14:schemeClr w14:val="tx1"/>
                        </w14:solidFill>
                      </w14:textFill>
                    </w:rPr>
                    <w:t>鼓励</w:t>
                  </w:r>
                  <w:r>
                    <w:rPr>
                      <w:color w:val="000000" w:themeColor="text1"/>
                      <w:szCs w:val="21"/>
                      <w:highlight w:val="none"/>
                      <w14:textFill>
                        <w14:solidFill>
                          <w14:schemeClr w14:val="tx1"/>
                        </w14:solidFill>
                      </w14:textFill>
                    </w:rPr>
                    <w:t>类项目，不属于《产业结构调整指导目录（2024年本）》中淘汰类、限制类项目</w:t>
                  </w:r>
                  <w:r>
                    <w:rPr>
                      <w:color w:val="000000" w:themeColor="text1"/>
                      <w:szCs w:val="21"/>
                      <w14:textFill>
                        <w14:solidFill>
                          <w14:schemeClr w14:val="tx1"/>
                        </w14:solidFill>
                      </w14:textFill>
                    </w:rPr>
                    <w:t>；</w:t>
                  </w:r>
                </w:p>
                <w:p w14:paraId="1693746F">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2、本项目不属于新增产能的钢铁、电解铝、水泥、平板玻璃、煤化工（甲醇、合成氨）、焦化、铝用炭素、耐火材料制品、砖瓦窑、铅锌冶炼（含再生铅）等高耗能、高排放和产能过剩的产业项目；</w:t>
                  </w:r>
                </w:p>
                <w:p w14:paraId="36F4DFBF">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3、本项目不涉及；</w:t>
                  </w:r>
                </w:p>
                <w:p w14:paraId="596EBDDA">
                  <w:pPr>
                    <w:rPr>
                      <w:color w:val="000000" w:themeColor="text1"/>
                      <w:szCs w:val="21"/>
                      <w14:textFill>
                        <w14:solidFill>
                          <w14:schemeClr w14:val="tx1"/>
                        </w14:solidFill>
                      </w14:textFill>
                    </w:rPr>
                  </w:pPr>
                  <w:r>
                    <w:rPr>
                      <w:color w:val="000000" w:themeColor="text1"/>
                      <w:szCs w:val="21"/>
                      <w14:textFill>
                        <w14:solidFill>
                          <w14:schemeClr w14:val="tx1"/>
                        </w14:solidFill>
                      </w14:textFill>
                    </w:rPr>
                    <w:t>4、本项目不属于化学原料和化学制品制造业、平板玻璃、水泥等产能项目；</w:t>
                  </w:r>
                </w:p>
                <w:p w14:paraId="306C9B8A">
                  <w:pPr>
                    <w:rPr>
                      <w:color w:val="000000" w:themeColor="text1"/>
                      <w:szCs w:val="21"/>
                      <w14:textFill>
                        <w14:solidFill>
                          <w14:schemeClr w14:val="tx1"/>
                        </w14:solidFill>
                      </w14:textFill>
                    </w:rPr>
                  </w:pPr>
                  <w:r>
                    <w:rPr>
                      <w:color w:val="000000" w:themeColor="text1"/>
                      <w:szCs w:val="21"/>
                      <w14:textFill>
                        <w14:solidFill>
                          <w14:schemeClr w14:val="tx1"/>
                        </w14:solidFill>
                      </w14:textFill>
                    </w:rPr>
                    <w:t>5、本项目不属于冶金、钢铁、铁合金、制浆造纸、制革及毛皮鞣制项目；</w:t>
                  </w:r>
                </w:p>
                <w:p w14:paraId="03D29283">
                  <w:pPr>
                    <w:rPr>
                      <w:color w:val="000000" w:themeColor="text1"/>
                      <w:szCs w:val="21"/>
                      <w14:textFill>
                        <w14:solidFill>
                          <w14:schemeClr w14:val="tx1"/>
                        </w14:solidFill>
                      </w14:textFill>
                    </w:rPr>
                  </w:pPr>
                  <w:r>
                    <w:rPr>
                      <w:color w:val="000000" w:themeColor="text1"/>
                      <w:szCs w:val="21"/>
                      <w14:textFill>
                        <w14:solidFill>
                          <w14:schemeClr w14:val="tx1"/>
                        </w14:solidFill>
                      </w14:textFill>
                    </w:rPr>
                    <w:t>6、本项目不属于生产和使用高VOCs含量的溶剂型涂料、油墨、胶粘剂等项目；</w:t>
                  </w:r>
                </w:p>
                <w:p w14:paraId="231F9799">
                  <w:pPr>
                    <w:rPr>
                      <w:color w:val="000000" w:themeColor="text1"/>
                      <w:szCs w:val="21"/>
                      <w14:textFill>
                        <w14:solidFill>
                          <w14:schemeClr w14:val="tx1"/>
                        </w14:solidFill>
                      </w14:textFill>
                    </w:rPr>
                  </w:pPr>
                  <w:r>
                    <w:rPr>
                      <w:color w:val="000000" w:themeColor="text1"/>
                      <w:szCs w:val="21"/>
                      <w14:textFill>
                        <w14:solidFill>
                          <w14:schemeClr w14:val="tx1"/>
                        </w14:solidFill>
                      </w14:textFill>
                    </w:rPr>
                    <w:t>7、本项目不涉及生产、使用《危险化学品目录》中的剧毒化学品，不属于引入农药中间体及原料药等涉及毒性较强且具有持久性、积累性影 响的化学品使用或生产项目；</w:t>
                  </w:r>
                </w:p>
                <w:p w14:paraId="21808F1D">
                  <w:pPr>
                    <w:rPr>
                      <w:color w:val="000000" w:themeColor="text1"/>
                      <w:szCs w:val="21"/>
                      <w14:textFill>
                        <w14:solidFill>
                          <w14:schemeClr w14:val="tx1"/>
                        </w14:solidFill>
                      </w14:textFill>
                    </w:rPr>
                  </w:pPr>
                  <w:r>
                    <w:rPr>
                      <w:color w:val="000000" w:themeColor="text1"/>
                      <w:szCs w:val="21"/>
                      <w14:textFill>
                        <w14:solidFill>
                          <w14:schemeClr w14:val="tx1"/>
                        </w14:solidFill>
                      </w14:textFill>
                    </w:rPr>
                    <w:t>8、本项目属于</w:t>
                  </w:r>
                  <w:r>
                    <w:rPr>
                      <w:rFonts w:hint="default"/>
                      <w:color w:val="000000" w:themeColor="text1"/>
                      <w:szCs w:val="21"/>
                      <w:lang w:val="en-US" w:eastAsia="zh-CN"/>
                      <w14:textFill>
                        <w14:solidFill>
                          <w14:schemeClr w14:val="tx1"/>
                        </w14:solidFill>
                      </w14:textFill>
                    </w:rPr>
                    <w:t>食品制造业</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不属于</w:t>
                  </w:r>
                  <w:r>
                    <w:rPr>
                      <w:color w:val="000000" w:themeColor="text1"/>
                      <w:szCs w:val="21"/>
                      <w14:textFill>
                        <w14:solidFill>
                          <w14:schemeClr w14:val="tx1"/>
                        </w14:solidFill>
                      </w14:textFill>
                    </w:rPr>
                    <w:t>与园区主导产业不相符的重污染项目</w:t>
                  </w:r>
                  <w:r>
                    <w:rPr>
                      <w:rFonts w:hint="eastAsia"/>
                      <w:color w:val="000000" w:themeColor="text1"/>
                      <w:szCs w:val="21"/>
                      <w14:textFill>
                        <w14:solidFill>
                          <w14:schemeClr w14:val="tx1"/>
                        </w14:solidFill>
                      </w14:textFill>
                    </w:rPr>
                    <w:t>；</w:t>
                  </w:r>
                </w:p>
                <w:p w14:paraId="1D7F7BF3">
                  <w:pPr>
                    <w:rPr>
                      <w:color w:val="000000" w:themeColor="text1"/>
                      <w:szCs w:val="21"/>
                      <w14:textFill>
                        <w14:solidFill>
                          <w14:schemeClr w14:val="tx1"/>
                        </w14:solidFill>
                      </w14:textFill>
                    </w:rPr>
                  </w:pPr>
                  <w:r>
                    <w:rPr>
                      <w:color w:val="000000" w:themeColor="text1"/>
                      <w:szCs w:val="21"/>
                      <w14:textFill>
                        <w14:solidFill>
                          <w14:schemeClr w14:val="tx1"/>
                        </w14:solidFill>
                      </w14:textFill>
                    </w:rPr>
                    <w:t>9、本项目不属于</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w:t>
                  </w:r>
                </w:p>
                <w:p w14:paraId="471D9F60">
                  <w:pPr>
                    <w:rPr>
                      <w:color w:val="000000" w:themeColor="text1"/>
                      <w:szCs w:val="21"/>
                      <w14:textFill>
                        <w14:solidFill>
                          <w14:schemeClr w14:val="tx1"/>
                        </w14:solidFill>
                      </w14:textFill>
                    </w:rPr>
                  </w:pPr>
                  <w:r>
                    <w:rPr>
                      <w:color w:val="000000" w:themeColor="text1"/>
                      <w:szCs w:val="21"/>
                      <w14:textFill>
                        <w14:solidFill>
                          <w14:schemeClr w14:val="tx1"/>
                        </w14:solidFill>
                      </w14:textFill>
                    </w:rPr>
                    <w:t>10、本项目符合园区准入及环境保护要求、污染物控制要求、风险管控要求、资源开发管控要求</w:t>
                  </w:r>
                  <w:r>
                    <w:rPr>
                      <w:rFonts w:hint="eastAsia"/>
                      <w:color w:val="000000" w:themeColor="text1"/>
                      <w:szCs w:val="21"/>
                      <w14:textFill>
                        <w14:solidFill>
                          <w14:schemeClr w14:val="tx1"/>
                        </w14:solidFill>
                      </w14:textFill>
                    </w:rPr>
                    <w:t>。</w:t>
                  </w:r>
                </w:p>
              </w:tc>
              <w:tc>
                <w:tcPr>
                  <w:tcW w:w="408" w:type="pct"/>
                  <w:vAlign w:val="center"/>
                </w:tcPr>
                <w:p w14:paraId="55AA8A80">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08085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7D7AD6FD">
                  <w:pP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2419" w:type="pct"/>
                  <w:vAlign w:val="center"/>
                </w:tcPr>
                <w:p w14:paraId="6371F3DD">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1、禁止入园项目排水直接入河；</w:t>
                  </w:r>
                </w:p>
                <w:p w14:paraId="7F7389D9">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2、禁止园区集中供热中心生物质锅炉掺烧煤炭、垃圾、工业固体废物等其他物料；</w:t>
                  </w:r>
                </w:p>
                <w:p w14:paraId="6F058292">
                  <w:pPr>
                    <w:rPr>
                      <w:color w:val="000000" w:themeColor="text1"/>
                      <w:szCs w:val="21"/>
                      <w14:textFill>
                        <w14:solidFill>
                          <w14:schemeClr w14:val="tx1"/>
                        </w14:solidFill>
                      </w14:textFill>
                    </w:rPr>
                  </w:pPr>
                  <w:r>
                    <w:rPr>
                      <w:color w:val="000000" w:themeColor="text1"/>
                      <w:szCs w:val="21"/>
                      <w14:textFill>
                        <w14:solidFill>
                          <w14:schemeClr w14:val="tx1"/>
                        </w14:solidFill>
                      </w14:textFill>
                    </w:rPr>
                    <w:t>3、VOCs废气采用活性炭吸附工艺的，活性炭碘值选择不符合要求、更换不及时的，或治理设施设计不符合《吸附法工业有机废气治理工程技术规范》标准要求的，也认定为低效治理设施；VOCs废气采用RCO或RTO技术的，其治理设施设计不符合《催化燃烧法工业有机废气治理工程技术规范》《蓄热燃烧法工业有机废气治理工程技术规范》相关标准要求的，也认定为低效治理设施；</w:t>
                  </w:r>
                </w:p>
                <w:p w14:paraId="36E898C4">
                  <w:pPr>
                    <w:rPr>
                      <w:color w:val="000000" w:themeColor="text1"/>
                      <w:szCs w:val="21"/>
                      <w14:textFill>
                        <w14:solidFill>
                          <w14:schemeClr w14:val="tx1"/>
                        </w14:solidFill>
                      </w14:textFill>
                    </w:rPr>
                  </w:pPr>
                  <w:r>
                    <w:rPr>
                      <w:color w:val="000000" w:themeColor="text1"/>
                      <w:szCs w:val="21"/>
                      <w14:textFill>
                        <w14:solidFill>
                          <w14:schemeClr w14:val="tx1"/>
                        </w14:solidFill>
                      </w14:textFill>
                    </w:rPr>
                    <w:t>4、入园的新建、扩建金属表面处理及热处理加工、商砼（沥青）搅拌站环保绩效分级需达到A级绩效水平，改建项目达到B级绩效水平</w:t>
                  </w:r>
                </w:p>
              </w:tc>
              <w:tc>
                <w:tcPr>
                  <w:tcW w:w="1515" w:type="pct"/>
                  <w:vAlign w:val="center"/>
                </w:tcPr>
                <w:p w14:paraId="4D774A2C">
                  <w:pP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color w:val="000000" w:themeColor="text1"/>
                      <w:szCs w:val="21"/>
                      <w:highlight w:val="none"/>
                      <w14:textFill>
                        <w14:solidFill>
                          <w14:schemeClr w14:val="tx1"/>
                        </w14:solidFill>
                      </w14:textFill>
                    </w:rPr>
                    <w:t>营运期</w:t>
                  </w:r>
                  <w:r>
                    <w:rPr>
                      <w:color w:val="000000" w:themeColor="text1"/>
                      <w:highlight w:val="none"/>
                      <w14:textFill>
                        <w14:solidFill>
                          <w14:schemeClr w14:val="tx1"/>
                        </w14:solidFill>
                      </w14:textFill>
                    </w:rPr>
                    <w:t>职工</w:t>
                  </w:r>
                  <w:r>
                    <w:rPr>
                      <w:rFonts w:hint="eastAsia"/>
                      <w:color w:val="000000"/>
                      <w:highlight w:val="none"/>
                    </w:rPr>
                    <w:t>生活污水经化粪池处理后</w:t>
                  </w:r>
                  <w:r>
                    <w:rPr>
                      <w:rFonts w:hint="eastAsia"/>
                      <w:color w:val="000000"/>
                      <w:highlight w:val="none"/>
                      <w:lang w:val="en-US" w:eastAsia="zh-CN"/>
                    </w:rPr>
                    <w:t>与</w:t>
                  </w:r>
                  <w:r>
                    <w:rPr>
                      <w:rFonts w:hint="eastAsia" w:ascii="Times New Roman" w:eastAsia="宋体"/>
                      <w:color w:val="000000" w:themeColor="text1"/>
                      <w:szCs w:val="21"/>
                      <w:highlight w:val="none"/>
                      <w:u w:val="none"/>
                      <w:lang w:val="en-US" w:eastAsia="zh-CN"/>
                      <w14:textFill>
                        <w14:solidFill>
                          <w14:schemeClr w14:val="tx1"/>
                        </w14:solidFill>
                      </w14:textFill>
                    </w:rPr>
                    <w:t>生产</w:t>
                  </w:r>
                  <w:r>
                    <w:rPr>
                      <w:rFonts w:hint="eastAsia"/>
                      <w:color w:val="000000" w:themeColor="text1"/>
                      <w:szCs w:val="21"/>
                      <w:highlight w:val="none"/>
                      <w:u w:val="none"/>
                      <w14:textFill>
                        <w14:solidFill>
                          <w14:schemeClr w14:val="tx1"/>
                        </w14:solidFill>
                      </w14:textFill>
                    </w:rPr>
                    <w:t>废水</w:t>
                  </w:r>
                  <w:r>
                    <w:rPr>
                      <w:rFonts w:hint="eastAsia"/>
                      <w:color w:val="000000"/>
                      <w:highlight w:val="none"/>
                    </w:rPr>
                    <w:t>混合后</w:t>
                  </w:r>
                  <w:r>
                    <w:rPr>
                      <w:rFonts w:hint="eastAsia"/>
                      <w:color w:val="000000"/>
                      <w:highlight w:val="none"/>
                      <w:lang w:val="en-US" w:eastAsia="zh-CN"/>
                    </w:rPr>
                    <w:t>经厂区污水处理站处理后</w:t>
                  </w:r>
                  <w:r>
                    <w:rPr>
                      <w:color w:val="000000" w:themeColor="text1"/>
                      <w:highlight w:val="none"/>
                      <w14:textFill>
                        <w14:solidFill>
                          <w14:schemeClr w14:val="tx1"/>
                        </w14:solidFill>
                      </w14:textFill>
                    </w:rPr>
                    <w:t>，出水水质能够满足</w:t>
                  </w:r>
                  <w:r>
                    <w:rPr>
                      <w:rFonts w:hint="eastAsia"/>
                      <w:color w:val="000000" w:themeColor="text1"/>
                      <w:highlight w:val="none"/>
                      <w14:textFill>
                        <w14:solidFill>
                          <w14:schemeClr w14:val="tx1"/>
                        </w14:solidFill>
                      </w14:textFill>
                    </w:rPr>
                    <w:t>《污水综合排放标准》（GB8978-1996）</w:t>
                  </w:r>
                  <w:r>
                    <w:rPr>
                      <w:color w:val="000000" w:themeColor="text1"/>
                      <w:highlight w:val="none"/>
                      <w14:textFill>
                        <w14:solidFill>
                          <w14:schemeClr w14:val="tx1"/>
                        </w14:solidFill>
                      </w14:textFill>
                    </w:rPr>
                    <w:t>及镇平县第二污水处理厂进水水质指标</w:t>
                  </w:r>
                  <w:r>
                    <w:rPr>
                      <w:color w:val="000000" w:themeColor="text1"/>
                      <w:szCs w:val="21"/>
                      <w:highlight w:val="none"/>
                      <w14:textFill>
                        <w14:solidFill>
                          <w14:schemeClr w14:val="tx1"/>
                        </w14:solidFill>
                      </w14:textFill>
                    </w:rPr>
                    <w:t>后经市政污水管网进入镇平县第二污水处理厂进一步处理达到《城镇污水处理厂污染物排放标准》（GB18918-2002）一级A标准后排入赵河</w:t>
                  </w:r>
                  <w:r>
                    <w:rPr>
                      <w:color w:val="000000" w:themeColor="text1"/>
                      <w:szCs w:val="21"/>
                      <w14:textFill>
                        <w14:solidFill>
                          <w14:schemeClr w14:val="tx1"/>
                        </w14:solidFill>
                      </w14:textFill>
                    </w:rPr>
                    <w:t>；</w:t>
                  </w:r>
                </w:p>
                <w:p w14:paraId="6527AFD5">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2、本项目不涉及；</w:t>
                  </w:r>
                </w:p>
                <w:p w14:paraId="2AD42307">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w:t>
                  </w:r>
                  <w:r>
                    <w:rPr>
                      <w:rFonts w:hint="eastAsia"/>
                      <w:color w:val="000000" w:themeColor="text1"/>
                      <w:szCs w:val="21"/>
                      <w:lang w:val="en-US" w:eastAsia="zh-CN"/>
                      <w14:textFill>
                        <w14:solidFill>
                          <w14:schemeClr w14:val="tx1"/>
                        </w14:solidFill>
                      </w14:textFill>
                    </w:rPr>
                    <w:t>不涉及</w:t>
                  </w:r>
                  <w:r>
                    <w:rPr>
                      <w:color w:val="000000" w:themeColor="text1"/>
                      <w:szCs w:val="21"/>
                      <w14:textFill>
                        <w14:solidFill>
                          <w14:schemeClr w14:val="tx1"/>
                        </w14:solidFill>
                      </w14:textFill>
                    </w:rPr>
                    <w:t>；</w:t>
                  </w:r>
                </w:p>
                <w:p w14:paraId="2DBA10EA">
                  <w:pPr>
                    <w:rPr>
                      <w:color w:val="000000" w:themeColor="text1"/>
                      <w:szCs w:val="21"/>
                      <w14:textFill>
                        <w14:solidFill>
                          <w14:schemeClr w14:val="tx1"/>
                        </w14:solidFill>
                      </w14:textFill>
                    </w:rPr>
                  </w:pPr>
                  <w:r>
                    <w:rPr>
                      <w:color w:val="000000" w:themeColor="text1"/>
                      <w:szCs w:val="21"/>
                      <w14:textFill>
                        <w14:solidFill>
                          <w14:schemeClr w14:val="tx1"/>
                        </w14:solidFill>
                      </w14:textFill>
                    </w:rPr>
                    <w:t>4、本项目不属于金属表面处理及热处理加工、商砼（沥青）搅拌站等行业</w:t>
                  </w:r>
                </w:p>
              </w:tc>
              <w:tc>
                <w:tcPr>
                  <w:tcW w:w="408" w:type="pct"/>
                  <w:vAlign w:val="center"/>
                </w:tcPr>
                <w:p w14:paraId="6D398EF4">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247BC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6CD9EAD7">
                  <w:pP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环境风险防控</w:t>
                  </w:r>
                </w:p>
              </w:tc>
              <w:tc>
                <w:tcPr>
                  <w:tcW w:w="2419" w:type="pct"/>
                  <w:vAlign w:val="center"/>
                </w:tcPr>
                <w:p w14:paraId="25B271D7">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1、禁止建设大中型危险化学品库（库房或货场总面积大于550平方米的）；</w:t>
                  </w:r>
                </w:p>
                <w:p w14:paraId="5E2B18FB">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2、各企业加强分区防渗措施；</w:t>
                  </w:r>
                </w:p>
                <w:p w14:paraId="799A5121">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3、禁止集中电镀企业、含化学合成的化工项目（单纯物理分离、物理提纯、混合、分装的除外）入驻</w:t>
                  </w:r>
                  <w:r>
                    <w:rPr>
                      <w:rFonts w:hint="eastAsia"/>
                      <w:color w:val="000000" w:themeColor="text1"/>
                      <w:szCs w:val="21"/>
                      <w14:textFill>
                        <w14:solidFill>
                          <w14:schemeClr w14:val="tx1"/>
                        </w14:solidFill>
                      </w14:textFill>
                    </w:rPr>
                    <w:t>；</w:t>
                  </w:r>
                </w:p>
              </w:tc>
              <w:tc>
                <w:tcPr>
                  <w:tcW w:w="1515" w:type="pct"/>
                  <w:vAlign w:val="center"/>
                </w:tcPr>
                <w:p w14:paraId="659C99EF">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本项目不涉及；</w:t>
                  </w:r>
                </w:p>
                <w:p w14:paraId="3C99EC04">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企业应加强分区防渗措施；</w:t>
                  </w:r>
                </w:p>
                <w:p w14:paraId="504DB540">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本项目不属于电镀、含化学合成的化工项目；</w:t>
                  </w:r>
                </w:p>
              </w:tc>
              <w:tc>
                <w:tcPr>
                  <w:tcW w:w="408" w:type="pct"/>
                  <w:vAlign w:val="center"/>
                </w:tcPr>
                <w:p w14:paraId="624D3472">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F6D5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461936FA">
                  <w:pPr>
                    <w:rPr>
                      <w:color w:val="000000" w:themeColor="text1"/>
                      <w:szCs w:val="21"/>
                      <w14:textFill>
                        <w14:solidFill>
                          <w14:schemeClr w14:val="tx1"/>
                        </w14:solidFill>
                      </w14:textFill>
                    </w:rPr>
                  </w:pPr>
                  <w:r>
                    <w:rPr>
                      <w:color w:val="000000" w:themeColor="text1"/>
                      <w:szCs w:val="21"/>
                      <w14:textFill>
                        <w14:solidFill>
                          <w14:schemeClr w14:val="tx1"/>
                        </w14:solidFill>
                      </w14:textFill>
                    </w:rPr>
                    <w:t>资源开发管控</w:t>
                  </w:r>
                </w:p>
              </w:tc>
              <w:tc>
                <w:tcPr>
                  <w:tcW w:w="2419" w:type="pct"/>
                  <w:vAlign w:val="center"/>
                </w:tcPr>
                <w:p w14:paraId="020597FE">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1、禁止新建项目开采地下水；</w:t>
                  </w:r>
                </w:p>
                <w:p w14:paraId="7DB4FEE1">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2、禁止投资建设列入禁止用地目录、限制用地目录的项目；</w:t>
                  </w:r>
                </w:p>
                <w:p w14:paraId="6BD4746F">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3、入园项目投资强度需满足《工业项目建设用地控制指标》的要求和《河南省人民政府办公厅关于实施开发区土地利用综合评价促进节约集约高效用地的意见》（豫政办[2023]13号）文件要求，否则禁止入园</w:t>
                  </w:r>
                </w:p>
              </w:tc>
              <w:tc>
                <w:tcPr>
                  <w:tcW w:w="1515" w:type="pct"/>
                  <w:vAlign w:val="center"/>
                </w:tcPr>
                <w:p w14:paraId="7A850BB9">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1、本项目用水由市政供水系统供给，不涉及开采地下水；</w:t>
                  </w:r>
                </w:p>
                <w:p w14:paraId="46A94923">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2、本项目不属于列入禁止用地目录、限制用地目录的项目；</w:t>
                  </w:r>
                </w:p>
                <w:p w14:paraId="5B40DC74">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3、本项目投资强度满足《工业项目建设用地控制指标》的要求和《河南省人民政府办公厅关于实施开发区土地利用综合评价促进节约集约高效用地的意见》（豫政办[2023]13号）文件要求；</w:t>
                  </w:r>
                </w:p>
              </w:tc>
              <w:tc>
                <w:tcPr>
                  <w:tcW w:w="408" w:type="pct"/>
                  <w:vAlign w:val="center"/>
                </w:tcPr>
                <w:p w14:paraId="11214728">
                  <w:pPr>
                    <w:rPr>
                      <w:color w:val="000000" w:themeColor="text1"/>
                      <w:szCs w:val="21"/>
                      <w14:textFill>
                        <w14:solidFill>
                          <w14:schemeClr w14:val="tx1"/>
                        </w14:solidFill>
                      </w14:textFill>
                    </w:rPr>
                  </w:pPr>
                </w:p>
              </w:tc>
            </w:tr>
          </w:tbl>
          <w:p w14:paraId="55028B44">
            <w:pPr>
              <w:spacing w:line="360" w:lineRule="auto"/>
              <w:ind w:firstLine="480" w:firstLineChars="200"/>
              <w:rPr>
                <w:bCs/>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bCs/>
                <w:color w:val="000000" w:themeColor="text1"/>
                <w:sz w:val="24"/>
                <w14:textFill>
                  <w14:solidFill>
                    <w14:schemeClr w14:val="tx1"/>
                  </w14:solidFill>
                </w14:textFill>
              </w:rPr>
              <w:t>，本项目建设符合《镇平县先进制造业开发区发展规划（2022-2035）环境影响报告书》中镇平县先进制造业开发区环境准入负面清单要求。</w:t>
            </w:r>
          </w:p>
          <w:p w14:paraId="76FFD422">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3、</w:t>
            </w:r>
            <w:r>
              <w:rPr>
                <w:b/>
                <w:color w:val="000000" w:themeColor="text1"/>
                <w:sz w:val="24"/>
                <w14:textFill>
                  <w14:solidFill>
                    <w14:schemeClr w14:val="tx1"/>
                  </w14:solidFill>
                </w14:textFill>
              </w:rPr>
              <w:t>项目与</w:t>
            </w:r>
            <w:r>
              <w:rPr>
                <w:rFonts w:hint="eastAsia"/>
                <w:b/>
                <w:color w:val="000000" w:themeColor="text1"/>
                <w:sz w:val="24"/>
                <w14:textFill>
                  <w14:solidFill>
                    <w14:schemeClr w14:val="tx1"/>
                  </w14:solidFill>
                </w14:textFill>
              </w:rPr>
              <w:t>河南省生态环境厅关于《镇平县先进制造业开发区发展规划（2022-2035）环境影响报告书》的审查意见（豫环函〔2024〕128号）的相符性分析</w:t>
            </w:r>
          </w:p>
          <w:p w14:paraId="26531282">
            <w:pPr>
              <w:pStyle w:val="19"/>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b/>
                <w:color w:val="000000" w:themeColor="text1"/>
                <w:sz w:val="24"/>
                <w14:textFill>
                  <w14:solidFill>
                    <w14:schemeClr w14:val="tx1"/>
                  </w14:solidFill>
                </w14:textFill>
              </w:rPr>
            </w:pPr>
            <w:r>
              <w:rPr>
                <w:rFonts w:hint="eastAsia" w:ascii="Times New Roman" w:hAnsi="Times New Roman"/>
                <w:b/>
                <w:color w:val="000000" w:themeColor="text1"/>
                <w:sz w:val="24"/>
                <w14:textFill>
                  <w14:solidFill>
                    <w14:schemeClr w14:val="tx1"/>
                  </w14:solidFill>
                </w14:textFill>
              </w:rPr>
              <w:t>表1-3  项目与河南省生态环境厅关于《镇平县先进制造业开发区发展规划（2022-2035）环境影响报告书》的审查意见（豫环函〔2024〕128号）相符性分析一览表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4"/>
              <w:gridCol w:w="3264"/>
              <w:gridCol w:w="855"/>
            </w:tblGrid>
            <w:tr w14:paraId="31706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24C56475">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审查意见要求</w:t>
                  </w:r>
                </w:p>
              </w:tc>
              <w:tc>
                <w:tcPr>
                  <w:tcW w:w="1965" w:type="pct"/>
                  <w:vAlign w:val="center"/>
                </w:tcPr>
                <w:p w14:paraId="332590CF">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515" w:type="pct"/>
                  <w:vAlign w:val="center"/>
                </w:tcPr>
                <w:p w14:paraId="7EBB5BD6">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32B0F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50F94F3F">
                  <w:pPr>
                    <w:autoSpaceDE w:val="0"/>
                    <w:autoSpaceDN w:val="0"/>
                    <w:adjustRightIn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一、开发区的基本情况</w:t>
                  </w:r>
                </w:p>
                <w:p w14:paraId="30D0F479">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先进制造业开发区包括三个片区，主导产业为非金属矿物制品、绿色食品、高端装备制造。根据《河南省人民政府办公厅关于公布河南省开发区四至边界范围的通知》（豫政办〔2023〕26号）确定四至边界范围，片区1：东至航天大道，西至玉龙路，南至宁西铁路，北至S330、北环路；片区2：东至航天大道、天工路，西至玉缘路，南至南外环路，北至杏山大道；片区3：东至东外环路，西至东三里河，南至平安大道，北至建设大道。规划建设用地面积1204.04公顷。</w:t>
                  </w:r>
                </w:p>
              </w:tc>
              <w:tc>
                <w:tcPr>
                  <w:tcW w:w="1965" w:type="pct"/>
                  <w:vAlign w:val="center"/>
                </w:tcPr>
                <w:p w14:paraId="4C7AE57C">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本项目位于</w:t>
                  </w:r>
                  <w:r>
                    <w:rPr>
                      <w:rFonts w:hint="eastAsia"/>
                      <w:color w:val="000000" w:themeColor="text1"/>
                      <w:szCs w:val="21"/>
                      <w:lang w:val="en-US" w:eastAsia="zh-CN"/>
                      <w14:textFill>
                        <w14:solidFill>
                          <w14:schemeClr w14:val="tx1"/>
                        </w14:solidFill>
                      </w14:textFill>
                    </w:rPr>
                    <w:t>南阳市镇平县乡村振兴创业园4号楼1楼南</w:t>
                  </w:r>
                  <w:r>
                    <w:rPr>
                      <w:color w:val="000000" w:themeColor="text1"/>
                      <w:szCs w:val="21"/>
                      <w14:textFill>
                        <w14:solidFill>
                          <w14:schemeClr w14:val="tx1"/>
                        </w14:solidFill>
                      </w14:textFill>
                    </w:rPr>
                    <w:t>，位于南阳市镇平县先进制造业开发区规划范围内的片区</w:t>
                  </w:r>
                  <w:r>
                    <w:rPr>
                      <w:rFonts w:hint="eastAsia"/>
                      <w:color w:val="000000" w:themeColor="text1"/>
                      <w:szCs w:val="21"/>
                      <w:lang w:val="en-US" w:eastAsia="zh-CN"/>
                      <w14:textFill>
                        <w14:solidFill>
                          <w14:schemeClr w14:val="tx1"/>
                        </w14:solidFill>
                      </w14:textFill>
                    </w:rPr>
                    <w:t>2</w:t>
                  </w:r>
                  <w:r>
                    <w:rPr>
                      <w:color w:val="000000" w:themeColor="text1"/>
                      <w:szCs w:val="21"/>
                      <w14:textFill>
                        <w14:solidFill>
                          <w14:schemeClr w14:val="tx1"/>
                        </w14:solidFill>
                      </w14:textFill>
                    </w:rPr>
                    <w:t>，本项目属于</w:t>
                  </w:r>
                  <w:r>
                    <w:rPr>
                      <w:rFonts w:hint="default"/>
                      <w:color w:val="000000" w:themeColor="text1"/>
                      <w:szCs w:val="21"/>
                      <w:lang w:val="en-US" w:eastAsia="zh-CN"/>
                      <w14:textFill>
                        <w14:solidFill>
                          <w14:schemeClr w14:val="tx1"/>
                        </w14:solidFill>
                      </w14:textFill>
                    </w:rPr>
                    <w:t>食品制造业</w:t>
                  </w:r>
                  <w:r>
                    <w:rPr>
                      <w:color w:val="000000" w:themeColor="text1"/>
                      <w:szCs w:val="21"/>
                      <w14:textFill>
                        <w14:solidFill>
                          <w14:schemeClr w14:val="tx1"/>
                        </w14:solidFill>
                      </w14:textFill>
                    </w:rPr>
                    <w:t>。</w:t>
                  </w:r>
                </w:p>
              </w:tc>
              <w:tc>
                <w:tcPr>
                  <w:tcW w:w="515" w:type="pct"/>
                  <w:vAlign w:val="center"/>
                </w:tcPr>
                <w:p w14:paraId="2391E5FB">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733E3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3989D81D">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二、对《报告书》的总体意见</w:t>
                  </w:r>
                </w:p>
                <w:p w14:paraId="1EDB3C5B">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审查小组认为，《报告书》基础资料较翔实，采用的技术路线与方法适当，提出了规划优化调整建议和减缓不良环境影响的对策措施，评价结论总体可信，可作为规划优化调整和实施的依据。</w:t>
                  </w:r>
                </w:p>
              </w:tc>
              <w:tc>
                <w:tcPr>
                  <w:tcW w:w="1965" w:type="pct"/>
                  <w:vAlign w:val="center"/>
                </w:tcPr>
                <w:p w14:paraId="734981C9">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w:t>
                  </w:r>
                  <w:r>
                    <w:rPr>
                      <w:rFonts w:hint="eastAsia"/>
                      <w:color w:val="000000" w:themeColor="text1"/>
                      <w:szCs w:val="21"/>
                      <w14:textFill>
                        <w14:solidFill>
                          <w14:schemeClr w14:val="tx1"/>
                        </w14:solidFill>
                      </w14:textFill>
                    </w:rPr>
                    <w:t>。</w:t>
                  </w:r>
                </w:p>
              </w:tc>
              <w:tc>
                <w:tcPr>
                  <w:tcW w:w="515" w:type="pct"/>
                  <w:vAlign w:val="center"/>
                </w:tcPr>
                <w:p w14:paraId="1953EB4F">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39EF8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2145AE9B">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三、对规划优化调整和实施的意见</w:t>
                  </w:r>
                </w:p>
                <w:p w14:paraId="58EAE931">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一）坚持绿色低碳高质量发展。规划应贯彻生态优先、绿色低碳、集约高效的绿色发展、协调发展理念，根据国家和我省发展战略，以环境质量改善为核心，进一步优化开发区的产业结构、发展规模、用地布局等，做好与生态环境分区管控成果的协调衔接，实现绿色低碳高质量发展目标。</w:t>
                  </w:r>
                </w:p>
                <w:p w14:paraId="74605EA4">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二）加快推进产业转型。开发区应遵循循环经济理念，积极推进产业技术进步和循环化改造；入区新、改、扩建项目应实施清洁生产，生产工艺、设备、污染治理技术以及单位产品能耗、物耗、污染物排放和资源利用率均需达到同行业国内先进水平，确保产业发展与生态环境保护相协调。</w:t>
                  </w:r>
                </w:p>
                <w:p w14:paraId="56375C0D">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三）优化空间布局，严格空间管控。进一步加强与国土空间规划的衔接，保持规划之间协调一致；做好规划控制和生态隔离带建设，落实河南南阳恐龙蛋化石群国家级自然保护区的保护要求，确保产业布局与生态环境保护、人居环境安全相协调。</w:t>
                  </w:r>
                </w:p>
                <w:p w14:paraId="27ADDE14">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四）强化减污降碳协同增效。根据国家和我省关于挥发性有机物、工业炉窑等大气和水、土壤污染防治相关要求，严格执行相关行业污染物排放标准及特别排放限值；加强重金属污染物管控，严格执行污染物排放总量控制制度，主要污染物新增排放量应做到“等量或倍量替代”。结合碳达峰目标，强化碳评价及减排措施，确保区域环境质量持续改善。</w:t>
                  </w:r>
                </w:p>
                <w:p w14:paraId="6151EF39">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 xml:space="preserve">（五）严格落实建设项目入驻要求。严格落实《报告书》提出的生态环境准入要求，强化区内企业污染物排放控制，严格落实排污许可制度。鼓励符合开发区功能定位、主导产业、国家产业政策鼓励类项目入驻。开发区内历史遗留、手续齐全的化工企业保持现状，禁止扩产，仅允许以现状为基础进行内部挖潜（环保节能改造、安全设施改造等）。 </w:t>
                  </w:r>
                </w:p>
                <w:p w14:paraId="56BBA6C0">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六）加快环境基础设施建设。建设完善集中排水、供气、供水等基础设施，加快推进开发区中水回用工程建设，确保企业外排废水全部有效收集，并提高水资源利用率，减少废水排放。积极实施集中供热管网建设，确保尽快实现集中供热。工业固体废物应依法依规分类收集、安全妥善处理处置，危险固废严格按照有关规定收集、贮存、转运、处置，确保100%安全处置。</w:t>
                  </w:r>
                </w:p>
                <w:p w14:paraId="3FA6B8C4">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七）建立健全生态环境监管体系。统筹考虑污染防治、生态恢复与建设、环境风险防范，建立健全区域日常环境管理、环境风险防控体系和联防联控机制，提升环境风险防控和应急响应能力，保障区域生态环境安全。定期开展环境空气、地表水、地下水、土壤等环境要素监测，健全大气污染物自动监测体系，做好长期跟踪监测与管理，并根据监测评估结果适时优化调整规划。</w:t>
                  </w:r>
                </w:p>
                <w:p w14:paraId="4F85F7F6">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八）严格落实规划环评要求。根据《报告书》和审查意见要求，按期完成现有生态环境问题整改，作为入区建设项目环境准入的重要依据。在规划实施过程中，严格按照《规划环境影响评价条例》要求开展环境影响跟踪评价。规划发生重大调整或者修订时应重新进行环境影响评价。</w:t>
                  </w:r>
                </w:p>
              </w:tc>
              <w:tc>
                <w:tcPr>
                  <w:tcW w:w="1965" w:type="pct"/>
                  <w:vAlign w:val="center"/>
                </w:tcPr>
                <w:p w14:paraId="3F5B9847">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1、本项目不涉及；</w:t>
                  </w:r>
                </w:p>
                <w:p w14:paraId="3A779158">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2、本项目为新建项目，项目实施清洁生产，且生产工艺、设备、污染治理技术以及单位产品能耗、物耗、污染物排放和资源利用率均需达到同行业国内先进水平；</w:t>
                  </w:r>
                </w:p>
                <w:p w14:paraId="22126C8F">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3、本项目为新建项目，项目位于</w:t>
                  </w:r>
                  <w:r>
                    <w:rPr>
                      <w:rFonts w:hint="eastAsia"/>
                      <w:color w:val="000000" w:themeColor="text1"/>
                      <w:szCs w:val="21"/>
                      <w:lang w:eastAsia="zh-CN"/>
                      <w14:textFill>
                        <w14:solidFill>
                          <w14:schemeClr w14:val="tx1"/>
                        </w14:solidFill>
                      </w14:textFill>
                    </w:rPr>
                    <w:t>南阳市镇平县乡村振兴创业园4号楼1楼南</w:t>
                  </w:r>
                  <w:r>
                    <w:rPr>
                      <w:rFonts w:hint="eastAsia"/>
                      <w:color w:val="000000" w:themeColor="text1"/>
                      <w:szCs w:val="21"/>
                      <w14:textFill>
                        <w14:solidFill>
                          <w14:schemeClr w14:val="tx1"/>
                        </w14:solidFill>
                      </w14:textFill>
                    </w:rPr>
                    <w:t>，距离</w:t>
                  </w:r>
                  <w:r>
                    <w:rPr>
                      <w:color w:val="000000" w:themeColor="text1"/>
                      <w:szCs w:val="21"/>
                      <w14:textFill>
                        <w14:solidFill>
                          <w14:schemeClr w14:val="tx1"/>
                        </w14:solidFill>
                      </w14:textFill>
                    </w:rPr>
                    <w:t>河南南阳恐龙蛋化石群国家级自然保护区缓冲区边界最近直线</w:t>
                  </w:r>
                  <w:commentRangeStart w:id="7"/>
                  <w:r>
                    <w:rPr>
                      <w:color w:val="000000" w:themeColor="text1"/>
                      <w:szCs w:val="21"/>
                      <w14:textFill>
                        <w14:solidFill>
                          <w14:schemeClr w14:val="tx1"/>
                        </w14:solidFill>
                      </w14:textFill>
                    </w:rPr>
                    <w:t>距离约为</w:t>
                  </w:r>
                  <w:r>
                    <w:rPr>
                      <w:rFonts w:hint="eastAsia"/>
                      <w:color w:val="000000" w:themeColor="text1"/>
                      <w:szCs w:val="21"/>
                      <w:lang w:val="en-US" w:eastAsia="zh-CN"/>
                      <w14:textFill>
                        <w14:solidFill>
                          <w14:schemeClr w14:val="tx1"/>
                        </w14:solidFill>
                      </w14:textFill>
                    </w:rPr>
                    <w:t>7.736</w:t>
                  </w:r>
                  <w:r>
                    <w:rPr>
                      <w:rFonts w:hint="eastAsia"/>
                      <w:color w:val="000000" w:themeColor="text1"/>
                      <w:szCs w:val="21"/>
                      <w14:textFill>
                        <w14:solidFill>
                          <w14:schemeClr w14:val="tx1"/>
                        </w14:solidFill>
                      </w14:textFill>
                    </w:rPr>
                    <w:t>km，</w:t>
                  </w:r>
                  <w:commentRangeEnd w:id="7"/>
                  <w:r>
                    <w:commentReference w:id="7"/>
                  </w:r>
                  <w:r>
                    <w:rPr>
                      <w:rFonts w:hint="eastAsia"/>
                      <w:color w:val="000000" w:themeColor="text1"/>
                      <w:szCs w:val="21"/>
                      <w14:textFill>
                        <w14:solidFill>
                          <w14:schemeClr w14:val="tx1"/>
                        </w14:solidFill>
                      </w14:textFill>
                    </w:rPr>
                    <w:t>不在保护区范围内；</w:t>
                  </w:r>
                </w:p>
                <w:p w14:paraId="031976C4">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4、本项目为新建项目，项目建成后</w:t>
                  </w:r>
                  <w:r>
                    <w:rPr>
                      <w:color w:val="000000" w:themeColor="text1"/>
                      <w:szCs w:val="21"/>
                      <w14:textFill>
                        <w14:solidFill>
                          <w14:schemeClr w14:val="tx1"/>
                        </w14:solidFill>
                      </w14:textFill>
                    </w:rPr>
                    <w:t>严格执行相关行业污染物排放标准及特别排放限值；加强重金属污染物管控，严格执行污染物排放总量控制制度，主要污染物新增排放量应做到</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等量或倍量替代</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。结合碳达峰目标，强化碳评价及减排措施，确保区域环境质量持续改善</w:t>
                  </w:r>
                  <w:r>
                    <w:rPr>
                      <w:rFonts w:hint="eastAsia"/>
                      <w:color w:val="000000" w:themeColor="text1"/>
                      <w:szCs w:val="21"/>
                      <w14:textFill>
                        <w14:solidFill>
                          <w14:schemeClr w14:val="tx1"/>
                        </w14:solidFill>
                      </w14:textFill>
                    </w:rPr>
                    <w:t>；</w:t>
                  </w:r>
                </w:p>
                <w:p w14:paraId="4AF1D84C">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5、本项目属于</w:t>
                  </w:r>
                  <w:r>
                    <w:rPr>
                      <w:rFonts w:hint="default"/>
                      <w:color w:val="000000" w:themeColor="text1"/>
                      <w:szCs w:val="21"/>
                      <w:lang w:val="en-US" w:eastAsia="zh-CN"/>
                      <w14:textFill>
                        <w14:solidFill>
                          <w14:schemeClr w14:val="tx1"/>
                        </w14:solidFill>
                      </w14:textFill>
                    </w:rPr>
                    <w:t>食品制造业</w:t>
                  </w:r>
                  <w:r>
                    <w:rPr>
                      <w:rFonts w:hint="eastAsia"/>
                      <w:color w:val="000000" w:themeColor="text1"/>
                      <w:szCs w:val="21"/>
                      <w14:textFill>
                        <w14:solidFill>
                          <w14:schemeClr w14:val="tx1"/>
                        </w14:solidFill>
                      </w14:textFill>
                    </w:rPr>
                    <w:t>，项目建成后严格落实</w:t>
                  </w:r>
                  <w:r>
                    <w:rPr>
                      <w:color w:val="000000" w:themeColor="text1"/>
                      <w:szCs w:val="21"/>
                      <w14:textFill>
                        <w14:solidFill>
                          <w14:schemeClr w14:val="tx1"/>
                        </w14:solidFill>
                      </w14:textFill>
                    </w:rPr>
                    <w:t>《报告书》提出的生态环境准入要求，强化区内企业污染物排放控制，严格落实排污许可制度</w:t>
                  </w:r>
                  <w:r>
                    <w:rPr>
                      <w:rFonts w:hint="eastAsia"/>
                      <w:color w:val="000000" w:themeColor="text1"/>
                      <w:szCs w:val="21"/>
                      <w14:textFill>
                        <w14:solidFill>
                          <w14:schemeClr w14:val="tx1"/>
                        </w14:solidFill>
                      </w14:textFill>
                    </w:rPr>
                    <w:t>；</w:t>
                  </w:r>
                </w:p>
                <w:p w14:paraId="34C789F1">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6、本项目不涉及；</w:t>
                  </w:r>
                </w:p>
                <w:p w14:paraId="75225486">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7、本项目不涉及；</w:t>
                  </w:r>
                </w:p>
                <w:p w14:paraId="789BF502">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8、本项目不涉及。</w:t>
                  </w:r>
                </w:p>
              </w:tc>
              <w:tc>
                <w:tcPr>
                  <w:tcW w:w="515" w:type="pct"/>
                  <w:vAlign w:val="center"/>
                </w:tcPr>
                <w:p w14:paraId="0A6C413E">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3CB5A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44598CE2">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四、对拟入区建设项目环评的指导意见</w:t>
                  </w:r>
                </w:p>
                <w:p w14:paraId="0E059EF0">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拟入区的建设项目应结合规划环评意见做好环境影响评价工作，落实相关要求，加强与规划环评的联动，严格项目生态环境准入要求，重点开展工程分析、污染物允许排放量测算和生态环境保护措施的可行性论证等工作，强化环境监测和生态环境保护相关措施的落实。规划环评中协调性分析、环境现状、污染源调查等符合要求的资料可供建设项目环评共享，项目环评相应评价内容可结合实际情况予以简化。</w:t>
                  </w:r>
                </w:p>
              </w:tc>
              <w:tc>
                <w:tcPr>
                  <w:tcW w:w="1965" w:type="pct"/>
                  <w:vAlign w:val="center"/>
                </w:tcPr>
                <w:p w14:paraId="41EF8105">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w:t>
                  </w:r>
                  <w:r>
                    <w:rPr>
                      <w:color w:val="000000" w:themeColor="text1"/>
                      <w:szCs w:val="21"/>
                      <w14:textFill>
                        <w14:solidFill>
                          <w14:schemeClr w14:val="tx1"/>
                        </w14:solidFill>
                      </w14:textFill>
                    </w:rPr>
                    <w:t>结合规划环评意见做好环境影响评价工作，落实相关要求，加强与规划环评的联动，严格项目生态环境准入要求，重点开展工程分析、污染物允许排放量测算和生态环境保护措施的可行性论证等工作，强化环境监测和生态环境保护相关措施的落实。</w:t>
                  </w:r>
                </w:p>
              </w:tc>
              <w:tc>
                <w:tcPr>
                  <w:tcW w:w="515" w:type="pct"/>
                  <w:vAlign w:val="center"/>
                </w:tcPr>
                <w:p w14:paraId="2DE7F4FF">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bl>
          <w:p w14:paraId="19F2D05E">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sz w:val="24"/>
                <w:szCs w:val="24"/>
              </w:rPr>
            </w:pPr>
            <w:r>
              <w:rPr>
                <w:color w:val="000000" w:themeColor="text1"/>
                <w:sz w:val="24"/>
                <w14:textFill>
                  <w14:solidFill>
                    <w14:schemeClr w14:val="tx1"/>
                  </w14:solidFill>
                </w14:textFill>
              </w:rPr>
              <w:t>综上所述</w:t>
            </w:r>
            <w:r>
              <w:rPr>
                <w:bCs/>
                <w:color w:val="000000" w:themeColor="text1"/>
                <w:sz w:val="24"/>
                <w14:textFill>
                  <w14:solidFill>
                    <w14:schemeClr w14:val="tx1"/>
                  </w14:solidFill>
                </w14:textFill>
              </w:rPr>
              <w:t>，本项目建设符合</w:t>
            </w:r>
            <w:r>
              <w:rPr>
                <w:rFonts w:hint="eastAsia"/>
                <w:bCs/>
                <w:color w:val="000000" w:themeColor="text1"/>
                <w:sz w:val="24"/>
                <w14:textFill>
                  <w14:solidFill>
                    <w14:schemeClr w14:val="tx1"/>
                  </w14:solidFill>
                </w14:textFill>
              </w:rPr>
              <w:t>河南省生态环境厅关于《镇平县先进制造业开发区发展规划（2022-2035）环境影响报告书》的审查意见（豫环函〔2024〕128号）</w:t>
            </w:r>
            <w:r>
              <w:rPr>
                <w:bCs/>
                <w:color w:val="000000" w:themeColor="text1"/>
                <w:sz w:val="24"/>
                <w14:textFill>
                  <w14:solidFill>
                    <w14:schemeClr w14:val="tx1"/>
                  </w14:solidFill>
                </w14:textFill>
              </w:rPr>
              <w:t>要求。</w:t>
            </w:r>
          </w:p>
        </w:tc>
      </w:tr>
      <w:tr w14:paraId="161681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noWrap w:val="0"/>
            <w:vAlign w:val="center"/>
          </w:tcPr>
          <w:p w14:paraId="0EEB39F7">
            <w:pPr>
              <w:autoSpaceDE w:val="0"/>
              <w:autoSpaceDN w:val="0"/>
              <w:adjustRightInd w:val="0"/>
              <w:snapToGrid w:val="0"/>
              <w:jc w:val="center"/>
              <w:rPr>
                <w:color w:val="000000"/>
                <w:kern w:val="0"/>
                <w:szCs w:val="21"/>
              </w:rPr>
            </w:pPr>
            <w:r>
              <w:rPr>
                <w:color w:val="000000"/>
                <w:kern w:val="0"/>
                <w:sz w:val="24"/>
                <w:szCs w:val="24"/>
              </w:rPr>
              <w:t>其他符合性分析</w:t>
            </w:r>
          </w:p>
        </w:tc>
        <w:tc>
          <w:tcPr>
            <w:tcW w:w="4381" w:type="pct"/>
            <w:gridSpan w:val="3"/>
            <w:noWrap w:val="0"/>
            <w:vAlign w:val="center"/>
          </w:tcPr>
          <w:p w14:paraId="410A83CB">
            <w:pPr>
              <w:tabs>
                <w:tab w:val="left" w:pos="7245"/>
              </w:tabs>
              <w:spacing w:line="360" w:lineRule="auto"/>
              <w:ind w:firstLine="482" w:firstLineChars="200"/>
              <w:rPr>
                <w:color w:val="000000" w:themeColor="text1"/>
                <w:sz w:val="24"/>
                <w14:textFill>
                  <w14:solidFill>
                    <w14:schemeClr w14:val="tx1"/>
                  </w14:solidFill>
                </w14:textFill>
              </w:rPr>
            </w:pPr>
            <w:r>
              <w:rPr>
                <w:b/>
                <w:bCs/>
                <w:color w:val="000000" w:themeColor="text1"/>
                <w:sz w:val="24"/>
                <w14:textFill>
                  <w14:solidFill>
                    <w14:schemeClr w14:val="tx1"/>
                  </w14:solidFill>
                </w14:textFill>
              </w:rPr>
              <w:t>1、产业政策符合性</w:t>
            </w:r>
          </w:p>
          <w:p w14:paraId="4215746E">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经比对《产业结构调整指导目录（2024年本）》，本项目</w:t>
            </w:r>
            <w:r>
              <w:rPr>
                <w:rFonts w:hint="eastAsia"/>
                <w:color w:val="000000" w:themeColor="text1"/>
                <w:sz w:val="24"/>
                <w:highlight w:val="none"/>
                <w:lang w:val="en-US" w:eastAsia="zh-CN"/>
                <w14:textFill>
                  <w14:solidFill>
                    <w14:schemeClr w14:val="tx1"/>
                  </w14:solidFill>
                </w14:textFill>
              </w:rPr>
              <w:t>属于鼓励类第十九条“轻工”第21款“营养健康型大米、小麦粉（食品专用米、发芽糙米、留胚米、食品专用粉、全麦粉及营养强化产品等）及制品的开发生产，传统主食工业化生产，杂粮加工专用设备开发与生产，粮油加工副产物（稻壳、米糠、麸皮、胚芽、饼粕等）综合利用关键技术开发应用”</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且项目生产工艺及设备不属于《河南省部分工业行业淘汰落后生产工艺装备和产品目录（2019年本）》中的限制类和淘汰类；项目已取得镇平县发展和改革委员会出具的备案证明（项目代码：</w:t>
            </w:r>
            <w:r>
              <w:rPr>
                <w:rFonts w:hint="eastAsia"/>
                <w:color w:val="000000" w:themeColor="text1"/>
                <w:sz w:val="24"/>
                <w:highlight w:val="none"/>
                <w:lang w:val="en-US" w:eastAsia="zh-CN"/>
                <w14:textFill>
                  <w14:solidFill>
                    <w14:schemeClr w14:val="tx1"/>
                  </w14:solidFill>
                </w14:textFill>
              </w:rPr>
              <w:t>2509-411324-04-01-233608</w:t>
            </w:r>
            <w:r>
              <w:rPr>
                <w:color w:val="000000" w:themeColor="text1"/>
                <w:sz w:val="24"/>
                <w:highlight w:val="none"/>
                <w14:textFill>
                  <w14:solidFill>
                    <w14:schemeClr w14:val="tx1"/>
                  </w14:solidFill>
                </w14:textFill>
              </w:rPr>
              <w:t>，见附件），因此项目建设符合国家当前产业政策的要求。</w:t>
            </w:r>
          </w:p>
          <w:p w14:paraId="39A64CC1">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2、项目建设与相关规划的符合性</w:t>
            </w:r>
          </w:p>
          <w:p w14:paraId="55C8BDDF">
            <w:pPr>
              <w:tabs>
                <w:tab w:val="left" w:pos="1081"/>
              </w:tabs>
              <w:adjustRightInd w:val="0"/>
              <w:snapToGrid w:val="0"/>
              <w:spacing w:line="360" w:lineRule="auto"/>
              <w:ind w:firstLine="482" w:firstLineChars="200"/>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2.1项目建设与《</w:t>
            </w:r>
            <w:r>
              <w:rPr>
                <w:b/>
                <w:color w:val="000000" w:themeColor="text1"/>
                <w:sz w:val="24"/>
                <w14:textFill>
                  <w14:solidFill>
                    <w14:schemeClr w14:val="tx1"/>
                  </w14:solidFill>
                </w14:textFill>
              </w:rPr>
              <w:t>镇平县国土空间总体规划（2021-2035）》的相符性</w:t>
            </w:r>
          </w:p>
          <w:p w14:paraId="1A65A98F">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2.1.1镇平县国土空间总体规划相关内容</w:t>
            </w:r>
          </w:p>
          <w:p w14:paraId="50AA94A1">
            <w:pPr>
              <w:tabs>
                <w:tab w:val="left" w:pos="1081"/>
              </w:tabs>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14:textFill>
                  <w14:solidFill>
                    <w14:schemeClr w14:val="tx1"/>
                  </w14:solidFill>
                </w14:textFill>
              </w:rPr>
              <w:t>（1）规划期限</w:t>
            </w:r>
          </w:p>
          <w:p w14:paraId="78CA763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规划期限为2021年至2035年，基期年为2020年，近期至2025年，远期至2035年，远景展望至2050年。</w:t>
            </w:r>
          </w:p>
          <w:p w14:paraId="0456812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（2）规划范围</w:t>
            </w:r>
          </w:p>
          <w:p w14:paraId="3DAB7F9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范围分县域和中心城区两个层次。县域包括镇平县行政辖区全域，国土总面积1493.97平方公里。中心城区划定城区面积为66.51平方公里，范围北至省道S330，西至玉龙路与玉源南路，南至南外环路，东至东外环路。</w:t>
            </w:r>
          </w:p>
          <w:p w14:paraId="190E462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（3）发展定位</w:t>
            </w:r>
          </w:p>
          <w:p w14:paraId="704EC39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定位为南阳市先进制造业隆起区、全省数字经济先行区、全国三产融合示范区、全球玉文化消费中心。</w:t>
            </w:r>
          </w:p>
          <w:p w14:paraId="3485709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（4）空间布局</w:t>
            </w:r>
          </w:p>
          <w:p w14:paraId="233FB9F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形成</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一河两岸五区、两心两轴共荣</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的现代化城市空间结构。</w:t>
            </w:r>
          </w:p>
          <w:p w14:paraId="070123D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一河：赵河滨水景观带；</w:t>
            </w:r>
          </w:p>
          <w:p w14:paraId="19FFBA9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两轴：为沿建设大道和平安大道的两条横向交通发展轴线；</w:t>
            </w:r>
          </w:p>
          <w:p w14:paraId="4433D69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两心：是指老城综合服务中心、新城综合服务中心；</w:t>
            </w:r>
          </w:p>
          <w:p w14:paraId="791B7F4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五片区：是指老城片区、新城片区、开发区片区、赵河西岸片区和东城片区。</w:t>
            </w:r>
          </w:p>
          <w:p w14:paraId="08AB8B3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先进制造业开发区片区：建设大道以北，航天大道以西。开发区形成以新型建材产业园、高端装备制造产业园、绿色食品产业园、玉石智谷产业园和医药健康产业园五个主要园区。</w:t>
            </w:r>
          </w:p>
          <w:p w14:paraId="0AFEEE3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（5）开发边界内分区指引</w:t>
            </w:r>
          </w:p>
          <w:p w14:paraId="1859786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规划布局居住生活区、综合服务区、商业商务区、工业发展区、绿地休闲区五大主导功能分区。</w:t>
            </w:r>
          </w:p>
          <w:p w14:paraId="6A0EEC8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居住生活区，规划总面积约1998.45公顷，占比51.67%。将主要居住用地和相关配套设施用地划入居住生活区；</w:t>
            </w:r>
          </w:p>
          <w:p w14:paraId="78096CA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合服务区，规划总面积约305.25公顷，占比7.89%。将新城片区县级行政办公用地、三馆一院、便民服务中心等县级大型文化、行政用地；将老城区县政府、县委等行政办公用地；赵河西岸新城的玉文化服务片区及周边服务配套用地划入综合服务区；</w:t>
            </w:r>
          </w:p>
          <w:p w14:paraId="5925EFF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商业商务区，规划总面积约256.39公顷，占比6.63%。将华信片区万达商业中心以及万德隆片区划入商业商务区；</w:t>
            </w:r>
          </w:p>
          <w:p w14:paraId="153715C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工业发展区，规划总面积约1159.45公顷，占比29.98%。将先进制造业开发区组团及相关配套设施用地划入工业物流区。主要布局工业及其配套产业用地，鼓励兼容工业区办公设施、服务设施和防护绿地；限制引入大量居住用地、商业服务业用地、公共管理与公共服务用地；</w:t>
            </w:r>
          </w:p>
          <w:p w14:paraId="23D3B2D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绿地休闲区，规划总面积约148.53公顷，占比3.84%。将城市集中建设区内的城市、片区级公园、大型广场以及滨河开敞空间、铁路和公路等廊道防护绿地划入绿地休闲区；</w:t>
            </w:r>
          </w:p>
          <w:p w14:paraId="046BE96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（6）坚持节约集约，强化资源保护利用</w:t>
            </w:r>
          </w:p>
          <w:p w14:paraId="4E854221">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国土空间用途结构优化：严格守住耕地红线、拓展优化绿化空间、合理调整园地和草地、加强陆地水域和湿地保护、节约集约利用建设用地；</w:t>
            </w:r>
          </w:p>
          <w:p w14:paraId="530F3D5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森林资源保护与利用：严格落实林地资源管控，科学开展国土绿化行动，不断提高森林覆盖率和林地保有量，重点完成伏牛山山区造林，完善平原地区林网，巩固南水北调中线生态带，将集中连片、质量优良和生态作用明显的天然林、公益林划入林地集中保护区内，巩固和扩大生态空间。规划至2035年，镇平县林地保有量达到39234.13公顷；</w:t>
            </w:r>
          </w:p>
          <w:p w14:paraId="52F4934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湿地资源保护与利用：严格保护和管理湿地，防止湿地流失和破坏，严格保护内陆滩涂等用地保护生物多样性和湿地生态系统的连贯性，尽量避免城市发展对湿地环境的过度干扰。规划至2035年，全县湿地面积约216.59公顷。</w:t>
            </w:r>
          </w:p>
          <w:p w14:paraId="68796CA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矿产资源保护与利用：严格矿产资源开发管理，加强矿产资源管控措施和力度，对不符合开采规划区块设置要求的，不得新设采矿权；禁止在城市建设用地范围、重要基础设施周边、自然保护区、水源地和生态保护红线范围内设置开采区，禁止将水库作为尾矿库；生产矿山按照</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谁开发、谁保护，谁破坏、谁治理</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的原则，落实绿色矿山建设责任主体，逐步推进绿色矿山建设。</w:t>
            </w:r>
          </w:p>
          <w:p w14:paraId="7B8BEEA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资源保护与利用：坚持以水定城、以水定地、以水定人、以水定产的总体思路，严格用水总量、用水效率、水功能区限制纳污三条红线，落实水资源消耗总量与强度双控。至2025年，镇平县用水总量控制在24706万立方米以内；至2035年，镇平县用水总量控制在25807万立方米以内；健全县域河流湖库管养长效机制，着力推进河流水库清淤、污染水体实施河湖连通等整治工程，采取污水处理、河流水库清淤和活水深化相结合的措施，构造县城人工湿地，城市外围河道生态恢复段、自然生态保护段，注重保持河流自然形态，建立良好的生物环境，促使河流水环境质量明显好转。</w:t>
            </w:r>
          </w:p>
          <w:p w14:paraId="509BD2A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（7）生态保护</w:t>
            </w:r>
          </w:p>
          <w:p w14:paraId="2D3F455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次划定镇平县生态保护红线总面积6552.86公顷，占全县国土面积的4.39%。根据生态系统服务功能类型及其空间分布特征，按三大类型划分生态红线保护区，分别为伏牛山生物多样性、水源涵养生态保护区、南水北调中线水源涵养生态保护区和菩提寺生物多样性生态保护区。</w:t>
            </w:r>
          </w:p>
          <w:p w14:paraId="1133CF0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（8）实施生态修复</w:t>
            </w:r>
          </w:p>
          <w:p w14:paraId="6A0D0ED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划定生态修复重点区域，结合国土空间生态修复区域分析结果，依据山水林田湖草生态系统修复需求，重点设置矿山生态修复、地质灾害防治、流域水环境综合治理、湿地建设、水土保持、森林生态修复等六类重点工程。</w:t>
            </w:r>
          </w:p>
          <w:p w14:paraId="16893E7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矿山生态修复重点工程：通过对采矿环境、堆场、办公环境、各环节污染进行综合整治，美化矿容矿貌。优化绿色矿山建设内容，探索不同类型矿山绿色开发新模式，提升绿色矿山建设水平。按照“宜林则林、宜耕则耕、宜建则建、宜景则景”原则，因矿制宜，优化治理，实现新增土地、景观再造、地质灾害防治等综合成效，全面改善矿山生态环境。</w:t>
            </w:r>
          </w:p>
          <w:p w14:paraId="5F81DAC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地质灾害防治重点工程：根据地质灾害险情、潜在威胁对象与社会经济发展状况，规划期拟设置搬迁避让工程和工程治理工程，山洪沟治理项目。</w:t>
            </w:r>
          </w:p>
          <w:p w14:paraId="1267348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流域水环境综合治理重点工程：强化源头控制，加强流域水生态保护与修复，深入实施境内河流流域水环境综合治理；开展河道整治、清淤疏浚、水系连通、污水治理等水环境综合治理项目，持续改善河流水环境质量；积极推进水环境生态修复保护；开展集中式饮用水源保护区划定与管控。</w:t>
            </w:r>
          </w:p>
          <w:p w14:paraId="100DD62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湿地建设重点工程：在支流入干流处、河流入库口以及其他重要流域，因地制宜建设人工湿地。通过污染清理、地形地貌修复、自然湿地岸线维护、河湖水系连通、植被恢复、野生动物栖息地恢复、拆除围网等手段，增强湿地水质净化功能，维持湿地生态系统健康。</w:t>
            </w:r>
          </w:p>
          <w:p w14:paraId="71358E6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土保持重点工程：遵循“因地制宜、综合治理”的基本方针，根据各地的自然和社会经济条件，分区分类合理配置治理措施，坚持生态优先，强化林草植被建设，工程、林草和农业耕作措施相结合，加大坡耕地的治理力度，以小流域为单元实施山、水、田、林、路综合治理，形成综合防护体系，维护水土资源可持续利用。</w:t>
            </w:r>
          </w:p>
          <w:p w14:paraId="2BB3C44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森林生态修复重点工程：加强林业资源修复，推进重点库区、荒山绿化与石漠化生态修复工程，鼓励林场承担区域国土绿化和生态修复；积极开展中幼林抚育和低效林改造，提高森林质量。</w:t>
            </w:r>
          </w:p>
          <w:p w14:paraId="089370E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（9）基础设施规划</w:t>
            </w:r>
          </w:p>
          <w:p w14:paraId="02AA40A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给水工程规划：规划确定镇平县远期（2035年）最高日需水量为14.57万吨/日。规划保留南水北调工程镇平水厂，位于工业路与玉神路交叉口西北角，设计供水规模8万吨/日；保留五里岗水厂和马岗水厂，设计供水规模分别为3万吨/日、1万吨/日；新建第四水厂，位于杏山大道与玉神路交叉口东北角，设计供水规模3万吨/日。</w:t>
            </w:r>
          </w:p>
          <w:p w14:paraId="175D80B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排水工程规划：城镇污水量按供水量预测值的0.8倍确定，取日变化系数1.3，则到2035年平均日污水量为8.96万吨/日。规划石佛寺不再新建污水处理设施，与中心城区污水处理设施共建共享，规划期末石佛寺人口8.57万人，结合建设用地指标，测算规划期末污水量0.74万吨。规划期末污水量共计9.7万吨/日；保留并扩建第一污水处理厂，位于南外环路、新华路东侧，用地面积5.7公顷。日处理规模8万吨/日，其中再生水2万吨/日，主要服务于老城区。保留并扩建第二污水处理厂，位于南外环路与玉源大道交叉口西北角，主要服务于县开发区、河东区域的城西新城和石佛寺，用地面积6.18公顷。日处理规模5万吨/日，其中再生水2万吨/日。污水处理厂出水水质符合国家一级A标排放标准。</w:t>
            </w:r>
          </w:p>
          <w:p w14:paraId="22EB2EC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燃气工程规划：气源引自</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西气东输</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二线的丹水-内乡-镇平-茶庵门站天然气输气管道工程和“唐伊线”方城—南召、社旗天然气支线工程，双气源供应。规划中心城区2025年总用气量为3018.03万立方/年。2035年总用气量为5375.28万立方/年。在中心城区南侧建设天然气门站1座，占地13亩左右，建设规模150立方LNG储罐2座，储气能力18万立方，供气能力5000立方/小时；分输站1座，供应规模为7500万标立方/年；高中压调压站1处，位于开发区，占地约1.5亩左右，供气能力1万立方/小时。</w:t>
            </w:r>
          </w:p>
          <w:p w14:paraId="055D1F2D">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2.1.2项目建设与镇平县国土空间总体规划的相符性分析</w:t>
            </w:r>
          </w:p>
          <w:p w14:paraId="3673E69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lang w:eastAsia="zh-CN"/>
                <w14:textFill>
                  <w14:solidFill>
                    <w14:schemeClr w14:val="tx1"/>
                  </w14:solidFill>
                </w14:textFill>
              </w:rPr>
              <w:t>南阳市镇平县乡村振兴创业园4号楼1楼南</w:t>
            </w:r>
            <w:r>
              <w:rPr>
                <w:color w:val="000000" w:themeColor="text1"/>
                <w:sz w:val="24"/>
                <w14:textFill>
                  <w14:solidFill>
                    <w14:schemeClr w14:val="tx1"/>
                  </w14:solidFill>
                </w14:textFill>
              </w:rPr>
              <w:t>，</w:t>
            </w:r>
            <w:r>
              <w:rPr>
                <w:bCs/>
                <w:color w:val="000000" w:themeColor="text1"/>
                <w:sz w:val="24"/>
                <w14:textFill>
                  <w14:solidFill>
                    <w14:schemeClr w14:val="tx1"/>
                  </w14:solidFill>
                </w14:textFill>
              </w:rPr>
              <w:t>经对比《镇平县国土空间总体规划》（2021-2035），本项目位于镇平县国土空间总体规划范围中五片区的开发区片区</w:t>
            </w:r>
            <w:r>
              <w:rPr>
                <w:color w:val="000000" w:themeColor="text1"/>
                <w:sz w:val="24"/>
                <w14:textFill>
                  <w14:solidFill>
                    <w14:schemeClr w14:val="tx1"/>
                  </w14:solidFill>
                </w14:textFill>
              </w:rPr>
              <w:t>，同时，根据镇平县先进制造业开发区管理委员会出具的入驻证明，项目建设符合镇平县先进制造业开发区规划要求</w:t>
            </w:r>
            <w:ins w:id="0" w:author="Administrator" w:date="2025-10-03T20:08:53Z">
              <w:r>
                <w:rPr>
                  <w:rFonts w:hint="eastAsia"/>
                  <w:color w:val="000000" w:themeColor="text1"/>
                  <w:sz w:val="24"/>
                  <w:lang w:eastAsia="zh-CN"/>
                  <w14:textFill>
                    <w14:solidFill>
                      <w14:schemeClr w14:val="tx1"/>
                    </w14:solidFill>
                  </w14:textFill>
                </w:rPr>
                <w:t>，</w:t>
              </w:r>
            </w:ins>
            <w:ins w:id="1" w:author="Administrator" w:date="2025-10-03T20:08:55Z">
              <w:r>
                <w:rPr>
                  <w:rFonts w:hint="eastAsia"/>
                  <w:color w:val="000000" w:themeColor="text1"/>
                  <w:sz w:val="24"/>
                  <w:lang w:eastAsia="zh-CN"/>
                  <w14:textFill>
                    <w14:solidFill>
                      <w14:schemeClr w14:val="tx1"/>
                    </w14:solidFill>
                  </w14:textFill>
                </w:rPr>
                <w:t>再给</w:t>
              </w:r>
            </w:ins>
            <w:ins w:id="2" w:author="Administrator" w:date="2025-10-03T20:08:56Z">
              <w:r>
                <w:rPr>
                  <w:rFonts w:hint="eastAsia"/>
                  <w:color w:val="000000" w:themeColor="text1"/>
                  <w:sz w:val="24"/>
                  <w:lang w:eastAsia="zh-CN"/>
                  <w14:textFill>
                    <w14:solidFill>
                      <w14:schemeClr w14:val="tx1"/>
                    </w14:solidFill>
                  </w14:textFill>
                </w:rPr>
                <w:t>一个</w:t>
              </w:r>
            </w:ins>
            <w:ins w:id="3" w:author="Administrator" w:date="2025-10-03T20:08:57Z">
              <w:r>
                <w:rPr>
                  <w:rFonts w:hint="eastAsia"/>
                  <w:color w:val="000000" w:themeColor="text1"/>
                  <w:sz w:val="24"/>
                  <w:lang w:val="en-US" w:eastAsia="zh-CN"/>
                  <w14:textFill>
                    <w14:solidFill>
                      <w14:schemeClr w14:val="tx1"/>
                    </w14:solidFill>
                  </w14:textFill>
                </w:rPr>
                <w:t>结论</w:t>
              </w:r>
            </w:ins>
            <w:r>
              <w:rPr>
                <w:color w:val="000000" w:themeColor="text1"/>
                <w:sz w:val="24"/>
                <w14:textFill>
                  <w14:solidFill>
                    <w14:schemeClr w14:val="tx1"/>
                  </w14:solidFill>
                </w14:textFill>
              </w:rPr>
              <w:t>。</w:t>
            </w:r>
          </w:p>
          <w:p w14:paraId="70F14B4A">
            <w:pPr>
              <w:pStyle w:val="29"/>
              <w:adjustRightInd w:val="0"/>
              <w:snapToGrid w:val="0"/>
              <w:spacing w:before="0"/>
              <w:ind w:firstLineChars="200"/>
              <w:rPr>
                <w:b/>
                <w:bCs/>
                <w:color w:val="000000" w:themeColor="text1"/>
                <w14:textFill>
                  <w14:solidFill>
                    <w14:schemeClr w14:val="tx1"/>
                  </w14:solidFill>
                </w14:textFill>
              </w:rPr>
            </w:pPr>
            <w:r>
              <w:rPr>
                <w:b/>
                <w:bCs/>
                <w:color w:val="000000" w:themeColor="text1"/>
                <w14:textFill>
                  <w14:solidFill>
                    <w14:schemeClr w14:val="tx1"/>
                  </w14:solidFill>
                </w14:textFill>
              </w:rPr>
              <w:t>2.2项目建设与镇平县集中式饮用水源保护区规划的相符性</w:t>
            </w:r>
          </w:p>
          <w:p w14:paraId="229D505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2.2.1镇平县饮用水水源保护区规划内容</w:t>
            </w:r>
          </w:p>
          <w:p w14:paraId="7901C41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河南省人民政府办公厅关于印发河南省县级集中式饮用水水源保护区划的通知》（豫政办[2013]107号），目前，镇平县城区共有五里岗水厂及马岗水厂两座水厂用于城区生产及居民生活的集中供水，供水水源均来自赵湾水库。根据镇平县县级集中式饮用水水源保护区划分技术报告可知，赵湾水库饮用水水源地一级保护区面积为0.953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，二级保护区面积为50.879km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，包括赵湾水库库区保护区及输水渠保护区两部分。</w:t>
            </w:r>
          </w:p>
          <w:p w14:paraId="6BFAE88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（1）赵湾水库库区饮用水水源保护区划分结果：</w:t>
            </w:r>
          </w:p>
          <w:p w14:paraId="3925E36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①一级保护区划分结果</w:t>
            </w:r>
          </w:p>
          <w:p w14:paraId="76B568C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水域：南起赵湾水库大坝，北至取水口北500m与水库大坝平行的边界线所包围的水域范围；</w:t>
            </w:r>
          </w:p>
          <w:p w14:paraId="70B9BB1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陆域：水域范围外东西两侧正常水位线（+219.5m）以上200m范围内的陆域。</w:t>
            </w:r>
          </w:p>
          <w:p w14:paraId="3D76D47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②二级保护区划分结果</w:t>
            </w:r>
          </w:p>
          <w:p w14:paraId="0727347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域：结合二级保护区划分原则，并考虑赵湾水库实际情况（水域面积不大），因此，将赵湾水库一级保护区边界外正常水位线（+219.5m）以内的整个水域面积设定为二级保护区；另外，为了控制流入赵湾水库的河流水质，本次划分将赵河及芦苇河在汇入口向上游延伸3000m范围的河道水域设为二级保护区；</w:t>
            </w:r>
          </w:p>
          <w:p w14:paraId="11A1F23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陆域：水域外3000m范围内的汇水区域，不超过流域分水岭（含水库大坝），即南起赵湾水库大坝，北至赵湾水库正常水位线外3000m的汇水区域，东、西侧到流域分水岭。</w:t>
            </w:r>
          </w:p>
          <w:p w14:paraId="2C3F156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③准保护区划分结果</w:t>
            </w:r>
          </w:p>
          <w:p w14:paraId="68A056A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本次划分不设准保护区。</w:t>
            </w:r>
          </w:p>
          <w:p w14:paraId="55C30B0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（2）输水渠饮用水水源保护区划分结果：</w:t>
            </w:r>
          </w:p>
          <w:p w14:paraId="75D56DC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①一级保护区划分结果</w:t>
            </w:r>
          </w:p>
          <w:p w14:paraId="3634E9D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赵湾水库坝下至水库管理局西侧明渠段（长约960m）一级保护区范围为输水渠边界两侧向外延伸水平距离50m区域；水库管理局西侧至五里岗水厂暗渠段（长约16.04km）一级保护区范围为输水渠边界两侧向外延伸水平距离5m区域。</w:t>
            </w:r>
          </w:p>
          <w:p w14:paraId="51BF62A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②二级保护区划分结果</w:t>
            </w:r>
          </w:p>
          <w:p w14:paraId="497E3A7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赵湾水库坝下至水库管理局西侧明渠段（长约960m）二级保护区范围为一级保护区边界向外延伸水平距离200m区域；水库管理局西侧至五里岗水厂暗渠段（长约16.04km）不设二级保护区。</w:t>
            </w:r>
          </w:p>
          <w:p w14:paraId="5E657B1F">
            <w:pPr>
              <w:pStyle w:val="29"/>
              <w:adjustRightInd w:val="0"/>
              <w:snapToGrid w:val="0"/>
              <w:spacing w:before="0"/>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 xml:space="preserve">2.3.2项目建设与镇平县饮用水源地保护规划的相符性分析 </w:t>
            </w:r>
          </w:p>
          <w:p w14:paraId="24C78457">
            <w:pPr>
              <w:pStyle w:val="29"/>
              <w:adjustRightInd w:val="0"/>
              <w:snapToGrid w:val="0"/>
              <w:spacing w:before="0"/>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本项目位于</w:t>
            </w:r>
            <w:r>
              <w:rPr>
                <w:rFonts w:hint="eastAsia"/>
                <w:color w:val="000000" w:themeColor="text1"/>
                <w:lang w:eastAsia="zh-CN"/>
                <w14:textFill>
                  <w14:solidFill>
                    <w14:schemeClr w14:val="tx1"/>
                  </w14:solidFill>
                </w14:textFill>
              </w:rPr>
              <w:t>南阳市镇平县乡村振兴创业园4号楼1楼南</w:t>
            </w:r>
            <w:r>
              <w:rPr>
                <w:color w:val="000000" w:themeColor="text1"/>
                <w14:textFill>
                  <w14:solidFill>
                    <w14:schemeClr w14:val="tx1"/>
                  </w14:solidFill>
                </w14:textFill>
              </w:rPr>
              <w:t>，西北距赵湾水库库区饮用水源二级保护区边界最近直线距离约</w:t>
            </w:r>
            <w:r>
              <w:rPr>
                <w:rFonts w:hint="eastAsia"/>
                <w:color w:val="000000" w:themeColor="text1"/>
                <w:lang w:val="en-US" w:eastAsia="zh-CN"/>
                <w14:textFill>
                  <w14:solidFill>
                    <w14:schemeClr w14:val="tx1"/>
                  </w14:solidFill>
                </w14:textFill>
              </w:rPr>
              <w:t>12.082</w:t>
            </w:r>
            <w:r>
              <w:rPr>
                <w:color w:val="000000" w:themeColor="text1"/>
                <w14:textFill>
                  <w14:solidFill>
                    <w14:schemeClr w14:val="tx1"/>
                  </w14:solidFill>
                </w14:textFill>
              </w:rPr>
              <w:t>km，项目区域输水渠为水库管理局西侧至五里岗水厂暗渠段，项目区西</w:t>
            </w:r>
            <w:r>
              <w:rPr>
                <w:rFonts w:hint="eastAsia"/>
                <w:color w:val="000000" w:themeColor="text1"/>
                <w14:textFill>
                  <w14:solidFill>
                    <w14:schemeClr w14:val="tx1"/>
                  </w14:solidFill>
                </w14:textFill>
              </w:rPr>
              <w:t>南</w:t>
            </w:r>
            <w:r>
              <w:rPr>
                <w:color w:val="000000" w:themeColor="text1"/>
                <w14:textFill>
                  <w14:solidFill>
                    <w14:schemeClr w14:val="tx1"/>
                  </w14:solidFill>
                </w14:textFill>
              </w:rPr>
              <w:t>至输水渠一级保护区边界距离约</w:t>
            </w:r>
            <w:r>
              <w:rPr>
                <w:rFonts w:hint="eastAsia"/>
                <w:color w:val="000000" w:themeColor="text1"/>
                <w:highlight w:val="none"/>
                <w:lang w:val="en-US" w:eastAsia="zh-CN"/>
                <w14:textFill>
                  <w14:solidFill>
                    <w14:schemeClr w14:val="tx1"/>
                  </w14:solidFill>
                </w14:textFill>
              </w:rPr>
              <w:t>3.234k</w:t>
            </w:r>
            <w:r>
              <w:rPr>
                <w:color w:val="000000" w:themeColor="text1"/>
                <w:highlight w:val="none"/>
                <w14:textFill>
                  <w14:solidFill>
                    <w14:schemeClr w14:val="tx1"/>
                  </w14:solidFill>
                </w14:textFill>
              </w:rPr>
              <w:t>m</w:t>
            </w:r>
            <w:r>
              <w:rPr>
                <w:color w:val="000000" w:themeColor="text1"/>
                <w14:textFill>
                  <w14:solidFill>
                    <w14:schemeClr w14:val="tx1"/>
                  </w14:solidFill>
                </w14:textFill>
              </w:rPr>
              <w:t>，项目选址不在赵湾水库饮用水水源保护区、输水渠保护区范围内</w:t>
            </w:r>
            <w:r>
              <w:rPr>
                <w:rFonts w:hint="eastAsia"/>
                <w:color w:val="000000" w:themeColor="text1"/>
                <w14:textFill>
                  <w14:solidFill>
                    <w14:schemeClr w14:val="tx1"/>
                  </w14:solidFill>
                </w14:textFill>
              </w:rPr>
              <w:t>。</w:t>
            </w:r>
            <w:r>
              <w:rPr>
                <w:color w:val="000000" w:themeColor="text1"/>
                <w:highlight w:val="none"/>
                <w14:textFill>
                  <w14:solidFill>
                    <w14:schemeClr w14:val="tx1"/>
                  </w14:solidFill>
                </w14:textFill>
              </w:rPr>
              <w:t>且项目营运期职工</w:t>
            </w:r>
            <w:r>
              <w:rPr>
                <w:rFonts w:hint="eastAsia"/>
                <w:color w:val="000000"/>
                <w:highlight w:val="none"/>
              </w:rPr>
              <w:t>生活污水经化粪池处理后</w:t>
            </w:r>
            <w:r>
              <w:rPr>
                <w:rFonts w:hint="eastAsia"/>
                <w:color w:val="000000"/>
                <w:highlight w:val="none"/>
                <w:lang w:val="en-US" w:eastAsia="zh-CN"/>
              </w:rPr>
              <w:t>与</w:t>
            </w:r>
            <w:r>
              <w:rPr>
                <w:rFonts w:hint="eastAsia" w:ascii="Times New Roman" w:eastAsia="宋体"/>
                <w:color w:val="000000" w:themeColor="text1"/>
                <w:szCs w:val="21"/>
                <w:highlight w:val="none"/>
                <w:u w:val="none"/>
                <w:lang w:val="en-US" w:eastAsia="zh-CN"/>
                <w14:textFill>
                  <w14:solidFill>
                    <w14:schemeClr w14:val="tx1"/>
                  </w14:solidFill>
                </w14:textFill>
              </w:rPr>
              <w:t>生产</w:t>
            </w:r>
            <w:r>
              <w:rPr>
                <w:rFonts w:hint="eastAsia"/>
                <w:color w:val="000000" w:themeColor="text1"/>
                <w:szCs w:val="21"/>
                <w:highlight w:val="none"/>
                <w:u w:val="none"/>
                <w14:textFill>
                  <w14:solidFill>
                    <w14:schemeClr w14:val="tx1"/>
                  </w14:solidFill>
                </w14:textFill>
              </w:rPr>
              <w:t>废水</w:t>
            </w:r>
            <w:r>
              <w:rPr>
                <w:rFonts w:hint="eastAsia"/>
                <w:color w:val="000000"/>
                <w:highlight w:val="none"/>
              </w:rPr>
              <w:t>混合后</w:t>
            </w:r>
            <w:r>
              <w:rPr>
                <w:rFonts w:hint="eastAsia"/>
                <w:color w:val="000000"/>
                <w:highlight w:val="none"/>
                <w:lang w:val="en-US" w:eastAsia="zh-CN"/>
              </w:rPr>
              <w:t>经厂区污水处理站处理后</w:t>
            </w:r>
            <w:r>
              <w:rPr>
                <w:color w:val="000000" w:themeColor="text1"/>
                <w:highlight w:val="none"/>
                <w14:textFill>
                  <w14:solidFill>
                    <w14:schemeClr w14:val="tx1"/>
                  </w14:solidFill>
                </w14:textFill>
              </w:rPr>
              <w:t>，出水水质能够满足</w:t>
            </w:r>
            <w:r>
              <w:rPr>
                <w:rFonts w:hint="eastAsia"/>
                <w:color w:val="000000" w:themeColor="text1"/>
                <w:highlight w:val="none"/>
                <w14:textFill>
                  <w14:solidFill>
                    <w14:schemeClr w14:val="tx1"/>
                  </w14:solidFill>
                </w14:textFill>
              </w:rPr>
              <w:t>《污水综合排放标准》（GB8978-1996）</w:t>
            </w:r>
            <w:r>
              <w:rPr>
                <w:color w:val="000000" w:themeColor="text1"/>
                <w:highlight w:val="none"/>
                <w14:textFill>
                  <w14:solidFill>
                    <w14:schemeClr w14:val="tx1"/>
                  </w14:solidFill>
                </w14:textFill>
              </w:rPr>
              <w:t>及镇平县第二污水处理厂进水水质指标</w:t>
            </w:r>
            <w:r>
              <w:rPr>
                <w:color w:val="000000" w:themeColor="text1"/>
                <w:szCs w:val="21"/>
                <w:highlight w:val="none"/>
                <w14:textFill>
                  <w14:solidFill>
                    <w14:schemeClr w14:val="tx1"/>
                  </w14:solidFill>
                </w14:textFill>
              </w:rPr>
              <w:t>后经市政污水管网进入镇平县第二污水处理厂进一步处理达到《城镇污水处理厂污染物排放标准》（GB18918-2002）一级A标准后排入赵河</w:t>
            </w:r>
            <w:r>
              <w:rPr>
                <w:rFonts w:hint="eastAsia"/>
                <w:color w:val="000000" w:themeColor="text1"/>
                <w:highlight w:val="none"/>
                <w14:textFill>
                  <w14:solidFill>
                    <w14:schemeClr w14:val="tx1"/>
                  </w14:solidFill>
                </w14:textFill>
              </w:rPr>
              <w:t>。</w:t>
            </w:r>
            <w:r>
              <w:rPr>
                <w:color w:val="000000" w:themeColor="text1"/>
                <w14:textFill>
                  <w14:solidFill>
                    <w14:schemeClr w14:val="tx1"/>
                  </w14:solidFill>
                </w14:textFill>
              </w:rPr>
              <w:t>因此项目建设不会对镇平县集中式饮用水源水质产生不良影响。</w:t>
            </w:r>
          </w:p>
          <w:p w14:paraId="3ABED902">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2.3、项目建设与南水北调中线工程总干渠水源保护区规划的相符性</w:t>
            </w:r>
          </w:p>
          <w:p w14:paraId="078C0E0B">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南水北调中线一期工程总干渠（河南段）两侧饮用水水源保护区划</w:t>
            </w:r>
            <w:r>
              <w:rPr>
                <w:rFonts w:hint="eastAsia"/>
                <w:color w:val="000000" w:themeColor="text1"/>
                <w:sz w:val="24"/>
                <w14:textFill>
                  <w14:solidFill>
                    <w14:schemeClr w14:val="tx1"/>
                  </w14:solidFill>
                </w14:textFill>
              </w:rPr>
              <w:t>范围</w:t>
            </w:r>
          </w:p>
          <w:p w14:paraId="6899051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根据《关于印发南水北调中线一期工程总干渠（河南段）两侧水源保护区划的通知》（豫调办</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2018</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56号），总干渠两侧饮用水水源保护区划范围：</w:t>
            </w:r>
          </w:p>
          <w:p w14:paraId="1B1E3D5F">
            <w:pPr>
              <w:adjustRightInd w:val="0"/>
              <w:snapToGrid w:val="0"/>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南水北调中线一期工程总干渠在河南境内的工程类型分为建筑物段和总干渠明渠段。</w:t>
            </w:r>
          </w:p>
          <w:p w14:paraId="2161FFB8">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w:t>
            </w:r>
            <w:r>
              <w:rPr>
                <w:color w:val="000000" w:themeColor="text1"/>
                <w:sz w:val="24"/>
                <w14:textFill>
                  <w14:solidFill>
                    <w14:schemeClr w14:val="tx1"/>
                  </w14:solidFill>
                </w14:textFill>
              </w:rPr>
              <w:t>建筑物段（渡槽、倒虹吸、暗涵、隧洞）</w:t>
            </w:r>
          </w:p>
          <w:p w14:paraId="68FE294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一级保护区范围自总干渠管理范围边线（防护栏网）外延50m，不设二级保护区。</w:t>
            </w:r>
          </w:p>
          <w:p w14:paraId="2DD46C1E">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w:t>
            </w:r>
            <w:r>
              <w:rPr>
                <w:color w:val="000000" w:themeColor="text1"/>
                <w:sz w:val="24"/>
                <w14:textFill>
                  <w14:solidFill>
                    <w14:schemeClr w14:val="tx1"/>
                  </w14:solidFill>
                </w14:textFill>
              </w:rPr>
              <w:t>总干渠明渠段</w:t>
            </w:r>
          </w:p>
          <w:p w14:paraId="7E90EB5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根据地下水水位与总干渠渠底高程的关系，分为以下几种类型：</w:t>
            </w:r>
          </w:p>
          <w:p w14:paraId="67FACD10">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A</w:t>
            </w:r>
            <w:r>
              <w:rPr>
                <w:color w:val="000000" w:themeColor="text1"/>
                <w:sz w:val="24"/>
                <w14:textFill>
                  <w14:solidFill>
                    <w14:schemeClr w14:val="tx1"/>
                  </w14:solidFill>
                </w14:textFill>
              </w:rPr>
              <w:t>地下水水位低于总干渠渠底的渠段</w:t>
            </w:r>
          </w:p>
          <w:p w14:paraId="2DBE0EA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一级保护区范围自总干渠管理范围边线（防护栏网）外延50米；</w:t>
            </w:r>
          </w:p>
          <w:p w14:paraId="72BE6DE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二级保护区范围自一级保护区边线外延150米。</w:t>
            </w:r>
          </w:p>
          <w:p w14:paraId="342E8EB2">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B</w:t>
            </w:r>
            <w:r>
              <w:rPr>
                <w:color w:val="000000" w:themeColor="text1"/>
                <w:sz w:val="24"/>
                <w14:textFill>
                  <w14:solidFill>
                    <w14:schemeClr w14:val="tx1"/>
                  </w14:solidFill>
                </w14:textFill>
              </w:rPr>
              <w:t>地下水水位高于总干渠渠底的渠段</w:t>
            </w:r>
          </w:p>
          <w:p w14:paraId="11FBCFD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微—弱透水性地层</w:t>
            </w:r>
            <w:r>
              <w:rPr>
                <w:rFonts w:hint="eastAsia"/>
                <w:color w:val="000000" w:themeColor="text1"/>
                <w:sz w:val="24"/>
                <w14:textFill>
                  <w14:solidFill>
                    <w14:schemeClr w14:val="tx1"/>
                  </w14:solidFill>
                </w14:textFill>
              </w:rPr>
              <w:t>：</w:t>
            </w:r>
          </w:p>
          <w:p w14:paraId="5AC9FDD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一级保护区范围自总干渠管理范围边线（防护栏网）外延50米；</w:t>
            </w:r>
          </w:p>
          <w:p w14:paraId="1745A97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二级保护区范围自一级保护区边线外延500米。</w:t>
            </w:r>
          </w:p>
          <w:p w14:paraId="436FBD14">
            <w:pPr>
              <w:adjustRightInd w:val="0"/>
              <w:snapToGrid w:val="0"/>
              <w:spacing w:line="360" w:lineRule="auto"/>
              <w:ind w:firstLine="480" w:firstLineChars="200"/>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弱—中等透水性地层：</w:t>
            </w:r>
          </w:p>
          <w:p w14:paraId="4705CE5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一级保护区范围自总干渠管理范围边线（防护栏网）外延100米；</w:t>
            </w:r>
          </w:p>
          <w:p w14:paraId="57ACA510">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二级保护区范围自一级保护区边线外延1000米。</w:t>
            </w:r>
          </w:p>
          <w:p w14:paraId="70F9459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强透水性地层</w:t>
            </w:r>
            <w:r>
              <w:rPr>
                <w:rFonts w:hint="eastAsia"/>
                <w:color w:val="000000" w:themeColor="text1"/>
                <w:sz w:val="24"/>
                <w14:textFill>
                  <w14:solidFill>
                    <w14:schemeClr w14:val="tx1"/>
                  </w14:solidFill>
                </w14:textFill>
              </w:rPr>
              <w:t>：</w:t>
            </w:r>
          </w:p>
          <w:p w14:paraId="5CB2070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一级保护区范围自总干渠管理范围边线（防护栏网）外延200米；</w:t>
            </w:r>
          </w:p>
          <w:p w14:paraId="6EE8A9D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二级保护区范围自一级保护区边线外延2000米、1500米。</w:t>
            </w:r>
          </w:p>
          <w:p w14:paraId="5E1D3720">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三、监督与管理</w:t>
            </w:r>
          </w:p>
          <w:p w14:paraId="2F39E17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南水北调中线一期工程总干渠（河南段）两侧饮用水水源保护区所在地各级政府要按照有关法律法规加强饮用水水源环境监督管理工作。</w:t>
            </w:r>
          </w:p>
          <w:p w14:paraId="416A602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在饮用水水源保护区内，禁止设置排污口；禁止使用剧毒和高残留农药，不得滥用化肥；禁止利用渗坑、渗井、裂隙等排放污水和其他有害废弃物；禁止利用储水层孔隙、裂隙及废弃矿坑储存石油、放射性物质、有毒化学品、农药等。</w:t>
            </w:r>
          </w:p>
          <w:p w14:paraId="4B43BC9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②在一级保护区内，禁止新建、改建、扩建与供水设施和保护水源无关的建设项目。</w:t>
            </w:r>
          </w:p>
          <w:p w14:paraId="444BA04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③在二级保护区内，禁止新建、改建、扩建排放污染物的建设项目。</w:t>
            </w:r>
          </w:p>
          <w:p w14:paraId="28604000">
            <w:pPr>
              <w:adjustRightInd w:val="0"/>
              <w:snapToGrid w:val="0"/>
              <w:spacing w:line="360" w:lineRule="auto"/>
              <w:ind w:firstLine="480" w:firstLineChars="200"/>
              <w:textAlignment w:val="baseline"/>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项目建设与南水北调中线工程总干渠两侧水源保护区规划的相符性分析</w:t>
            </w:r>
          </w:p>
          <w:p w14:paraId="7637B56F">
            <w:pPr>
              <w:tabs>
                <w:tab w:val="left" w:pos="1081"/>
              </w:tabs>
              <w:adjustRightInd w:val="0"/>
              <w:snapToGrid w:val="0"/>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lang w:eastAsia="zh-CN"/>
                <w14:textFill>
                  <w14:solidFill>
                    <w14:schemeClr w14:val="tx1"/>
                  </w14:solidFill>
                </w14:textFill>
              </w:rPr>
              <w:t>南阳市镇平县乡村振兴创业园4号楼1楼南</w:t>
            </w:r>
            <w:r>
              <w:rPr>
                <w:color w:val="000000" w:themeColor="text1"/>
                <w:sz w:val="24"/>
                <w14:textFill>
                  <w14:solidFill>
                    <w14:schemeClr w14:val="tx1"/>
                  </w14:solidFill>
                </w14:textFill>
              </w:rPr>
              <w:t>，</w:t>
            </w:r>
            <w:r>
              <w:rPr>
                <w:rFonts w:hint="default" w:ascii="Times New Roman" w:hAnsi="Times New Roman" w:cs="Times New Roman"/>
                <w:color w:val="auto"/>
                <w:sz w:val="24"/>
                <w:highlight w:val="none"/>
                <w:u w:val="none" w:color="auto"/>
              </w:rPr>
              <w:t>距离干渠最近桩号为TS</w:t>
            </w:r>
            <w:r>
              <w:rPr>
                <w:rFonts w:hint="eastAsia" w:ascii="Times New Roman" w:hAnsi="Times New Roman" w:cs="Times New Roman"/>
                <w:color w:val="auto"/>
                <w:sz w:val="24"/>
                <w:highlight w:val="none"/>
                <w:u w:val="none" w:color="auto"/>
                <w:lang w:val="en-US" w:eastAsia="zh-CN"/>
              </w:rPr>
              <w:t>69</w:t>
            </w:r>
            <w:r>
              <w:rPr>
                <w:rFonts w:hint="default" w:ascii="Times New Roman" w:hAnsi="Times New Roman" w:cs="Times New Roman"/>
                <w:color w:val="auto"/>
                <w:sz w:val="24"/>
                <w:highlight w:val="none"/>
                <w:u w:val="none" w:color="auto"/>
              </w:rPr>
              <w:t>+000，该段干渠保护区范围为一级保护区宽度100m，二级保护区宽度1000m，</w:t>
            </w:r>
            <w:r>
              <w:rPr>
                <w:rFonts w:hint="default" w:ascii="Times New Roman" w:hAnsi="Times New Roman" w:eastAsia="宋体" w:cs="Times New Roman"/>
                <w:color w:val="auto"/>
                <w:sz w:val="24"/>
                <w:szCs w:val="24"/>
                <w:highlight w:val="none"/>
                <w:u w:val="none" w:color="auto"/>
              </w:rPr>
              <w:t>项目</w:t>
            </w:r>
            <w:r>
              <w:rPr>
                <w:rFonts w:hint="default" w:ascii="Times New Roman" w:hAnsi="Times New Roman" w:eastAsia="宋体" w:cs="Times New Roman"/>
                <w:color w:val="auto"/>
                <w:sz w:val="24"/>
                <w:szCs w:val="24"/>
                <w:highlight w:val="none"/>
                <w:u w:val="none" w:color="auto"/>
                <w:lang w:val="en-US" w:eastAsia="zh-CN"/>
              </w:rPr>
              <w:t>距离总干渠管理范围边线（防护栏网）的距离</w:t>
            </w:r>
            <w:r>
              <w:rPr>
                <w:rFonts w:hint="default" w:ascii="Times New Roman" w:hAnsi="Times New Roman" w:eastAsia="宋体" w:cs="Times New Roman"/>
                <w:color w:val="auto"/>
                <w:sz w:val="24"/>
                <w:szCs w:val="24"/>
                <w:highlight w:val="none"/>
                <w:u w:val="none" w:color="auto"/>
              </w:rPr>
              <w:t>约</w:t>
            </w:r>
            <w:r>
              <w:rPr>
                <w:rFonts w:hint="eastAsia" w:cs="Times New Roman"/>
                <w:color w:val="auto"/>
                <w:sz w:val="24"/>
                <w:szCs w:val="24"/>
                <w:highlight w:val="none"/>
                <w:u w:val="none" w:color="auto"/>
                <w:lang w:val="en-US" w:eastAsia="zh-CN"/>
              </w:rPr>
              <w:t>6.739</w:t>
            </w:r>
            <w:r>
              <w:rPr>
                <w:rFonts w:hint="eastAsia" w:ascii="Times New Roman" w:hAnsi="Times New Roman" w:eastAsia="宋体" w:cs="Times New Roman"/>
                <w:color w:val="auto"/>
                <w:sz w:val="24"/>
                <w:szCs w:val="24"/>
                <w:highlight w:val="none"/>
                <w:u w:val="none" w:color="auto"/>
                <w:lang w:val="en-US" w:eastAsia="zh-CN"/>
              </w:rPr>
              <w:t>k</w:t>
            </w:r>
            <w:r>
              <w:rPr>
                <w:rFonts w:hint="default" w:ascii="Times New Roman" w:hAnsi="Times New Roman" w:eastAsia="宋体" w:cs="Times New Roman"/>
                <w:color w:val="auto"/>
                <w:sz w:val="24"/>
                <w:szCs w:val="24"/>
                <w:highlight w:val="none"/>
                <w:u w:val="none" w:color="auto"/>
              </w:rPr>
              <w:t>m</w:t>
            </w:r>
            <w:r>
              <w:rPr>
                <w:rFonts w:hint="eastAsia" w:ascii="Times New Roman" w:hAnsi="Times New Roman" w:eastAsia="宋体" w:cs="Times New Roman"/>
                <w:color w:val="auto"/>
                <w:sz w:val="24"/>
                <w:szCs w:val="24"/>
                <w:highlight w:val="none"/>
                <w:u w:val="none" w:color="auto"/>
                <w:lang w:eastAsia="zh-CN"/>
              </w:rPr>
              <w:t>，</w:t>
            </w:r>
            <w:r>
              <w:rPr>
                <w:rFonts w:hint="eastAsia" w:ascii="Times New Roman" w:hAnsi="Times New Roman" w:eastAsia="宋体" w:cs="Times New Roman"/>
                <w:color w:val="auto"/>
                <w:sz w:val="24"/>
                <w:szCs w:val="24"/>
                <w:highlight w:val="none"/>
                <w:u w:val="none" w:color="auto"/>
                <w:lang w:val="en-US" w:eastAsia="zh-CN"/>
              </w:rPr>
              <w:t>距离南水北调二级保护区边界为</w:t>
            </w:r>
            <w:r>
              <w:rPr>
                <w:rFonts w:hint="eastAsia" w:cs="Times New Roman"/>
                <w:color w:val="auto"/>
                <w:sz w:val="24"/>
                <w:szCs w:val="24"/>
                <w:highlight w:val="none"/>
                <w:u w:val="none" w:color="auto"/>
                <w:lang w:val="en-US" w:eastAsia="zh-CN"/>
              </w:rPr>
              <w:t>5.63</w:t>
            </w:r>
            <w:r>
              <w:rPr>
                <w:rFonts w:hint="eastAsia" w:ascii="Times New Roman" w:hAnsi="Times New Roman" w:eastAsia="宋体" w:cs="Times New Roman"/>
                <w:color w:val="auto"/>
                <w:sz w:val="24"/>
                <w:szCs w:val="24"/>
                <w:highlight w:val="none"/>
                <w:u w:val="none" w:color="auto"/>
                <w:lang w:val="en-US" w:eastAsia="zh-CN"/>
              </w:rPr>
              <w:t>9km</w:t>
            </w:r>
            <w:r>
              <w:rPr>
                <w:color w:val="auto"/>
                <w:sz w:val="24"/>
                <w:highlight w:val="none"/>
                <w:u w:val="none" w:color="auto"/>
              </w:rPr>
              <w:t>。经对照南水北调中线工程总干渠两侧水源保护区规划图，项目选址不在其两侧水源保护区范围内，且</w:t>
            </w:r>
            <w:r>
              <w:rPr>
                <w:rFonts w:hint="default" w:ascii="Times New Roman" w:hAnsi="Times New Roman" w:cs="Times New Roman"/>
                <w:color w:val="auto"/>
                <w:kern w:val="0"/>
                <w:sz w:val="24"/>
                <w:szCs w:val="24"/>
                <w:highlight w:val="none"/>
                <w:u w:val="none" w:color="auto"/>
                <w:lang w:bidi="ar"/>
              </w:rPr>
              <w:t>项目营运期职工生活污水经化粪池处理后</w:t>
            </w:r>
            <w:r>
              <w:rPr>
                <w:rFonts w:hint="default" w:ascii="Times New Roman" w:hAnsi="Times New Roman" w:cs="Times New Roman"/>
                <w:color w:val="auto"/>
                <w:kern w:val="0"/>
                <w:sz w:val="24"/>
                <w:szCs w:val="24"/>
                <w:highlight w:val="none"/>
                <w:u w:val="none" w:color="auto"/>
                <w:lang w:val="en-US" w:eastAsia="zh-CN" w:bidi="ar"/>
              </w:rPr>
              <w:t>与生产</w:t>
            </w:r>
            <w:r>
              <w:rPr>
                <w:rFonts w:hint="default" w:ascii="Times New Roman" w:hAnsi="Times New Roman" w:cs="Times New Roman"/>
                <w:color w:val="auto"/>
                <w:kern w:val="0"/>
                <w:sz w:val="24"/>
                <w:szCs w:val="24"/>
                <w:highlight w:val="none"/>
                <w:u w:val="none" w:color="auto"/>
                <w:lang w:bidi="ar"/>
              </w:rPr>
              <w:t>废水混合后</w:t>
            </w:r>
            <w:r>
              <w:rPr>
                <w:rFonts w:hint="default" w:ascii="Times New Roman" w:hAnsi="Times New Roman" w:cs="Times New Roman"/>
                <w:color w:val="auto"/>
                <w:kern w:val="0"/>
                <w:sz w:val="24"/>
                <w:szCs w:val="24"/>
                <w:highlight w:val="none"/>
                <w:u w:val="none" w:color="auto"/>
                <w:lang w:val="en-US" w:eastAsia="zh-CN" w:bidi="ar"/>
              </w:rPr>
              <w:t>经厂区污水处理站处理后</w:t>
            </w:r>
            <w:r>
              <w:rPr>
                <w:rFonts w:hint="default" w:ascii="Times New Roman" w:hAnsi="Times New Roman" w:cs="Times New Roman"/>
                <w:color w:val="auto"/>
                <w:kern w:val="0"/>
                <w:sz w:val="24"/>
                <w:szCs w:val="24"/>
                <w:highlight w:val="none"/>
                <w:u w:val="none" w:color="auto"/>
                <w:lang w:bidi="ar"/>
              </w:rPr>
              <w:t>，出水水质能够满足《污水综合排放标准》（GB8978-1996）及镇平县第二污水处理厂进水水质指标后经市政污水管网进入镇平县第二污水处理厂进一步处理达到《城镇污水处理厂污染物排放标准》（GB18918-2002）一级A标准后排入赵河</w:t>
            </w:r>
            <w:r>
              <w:rPr>
                <w:rFonts w:hint="eastAsia"/>
                <w:color w:val="auto"/>
                <w:sz w:val="24"/>
                <w:highlight w:val="none"/>
                <w:u w:val="none" w:color="auto"/>
              </w:rPr>
              <w:t>。</w:t>
            </w:r>
            <w:r>
              <w:rPr>
                <w:color w:val="auto"/>
                <w:sz w:val="24"/>
                <w:highlight w:val="none"/>
                <w:u w:val="none" w:color="auto"/>
              </w:rPr>
              <w:t>因此项目建设不会对南水北调干渠水源水质产生不良影响。</w:t>
            </w:r>
          </w:p>
          <w:p w14:paraId="00C9F05A">
            <w:pPr>
              <w:tabs>
                <w:tab w:val="left" w:pos="1081"/>
              </w:tabs>
              <w:adjustRightInd w:val="0"/>
              <w:snapToGrid w:val="0"/>
              <w:spacing w:line="360" w:lineRule="auto"/>
              <w:ind w:firstLine="482" w:firstLineChars="200"/>
              <w:rPr>
                <w:b/>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2.4</w:t>
            </w:r>
            <w:r>
              <w:rPr>
                <w:b/>
                <w:color w:val="000000" w:themeColor="text1"/>
                <w:sz w:val="24"/>
                <w:highlight w:val="none"/>
                <w14:textFill>
                  <w14:solidFill>
                    <w14:schemeClr w14:val="tx1"/>
                  </w14:solidFill>
                </w14:textFill>
              </w:rPr>
              <w:t>项目与河南南阳恐龙蛋化石群国家级自然保护区规划相符性</w:t>
            </w:r>
          </w:p>
          <w:p w14:paraId="5E37EC82">
            <w:pPr>
              <w:pStyle w:val="30"/>
              <w:snapToGrid w:val="0"/>
              <w:spacing w:beforeLines="0" w:after="0" w:line="360" w:lineRule="auto"/>
              <w:rPr>
                <w:rFonts w:ascii="Times New Roman"/>
                <w:b w:val="0"/>
                <w:color w:val="000000" w:themeColor="text1"/>
                <w:highlight w:val="none"/>
                <w:u w:val="none"/>
                <w14:textFill>
                  <w14:solidFill>
                    <w14:schemeClr w14:val="tx1"/>
                  </w14:solidFill>
                </w14:textFill>
              </w:rPr>
            </w:pPr>
            <w:r>
              <w:rPr>
                <w:rFonts w:ascii="Times New Roman"/>
                <w:b w:val="0"/>
                <w:color w:val="000000" w:themeColor="text1"/>
                <w:highlight w:val="none"/>
                <w:u w:val="none"/>
                <w14:textFill>
                  <w14:solidFill>
                    <w14:schemeClr w14:val="tx1"/>
                  </w14:solidFill>
                </w14:textFill>
              </w:rPr>
              <w:t>（1）保护区基本情况</w:t>
            </w:r>
          </w:p>
          <w:p w14:paraId="30015F23">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根据河南南阳恐龙蛋化石群国家级自然保护区规划，保护区规划为3个核心保护区、7个缓冲保护区、3个实验保护区。三种类别的功能区，共13个区块。保护区管辖的范围为西峡县的丹水镇中北部、阳城乡南部、回车镇中部、田关乡北部、五里桥乡中部、丁河镇中部、重阳乡中部、西坪镇中部，内乡县的赤眉镇西部、赵店乡中部、夏馆镇南部、七里坪乡中南部，马山口镇中南部，镇平县的高丘镇北部、四山乡和二龙乡南部、石佛寺镇和城关镇北部，淅川县的滔河乡中北部大部、盛湾镇北部、老城镇中南部、大石桥乡东南部及西北部。共涉及4县的22个乡（镇）。</w:t>
            </w:r>
          </w:p>
          <w:p w14:paraId="614542C6">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（2）国家级自然保护区管理要求</w:t>
            </w:r>
          </w:p>
          <w:p w14:paraId="77CE8494">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①禁止在自然保护区内进行砍伐、放牧、狩猎、捕捞、采药、开垦、烧荒、开矿、采石、挖沙等活动；但是，法律、行政法规另有规定的除外。</w:t>
            </w:r>
          </w:p>
          <w:p w14:paraId="0CB341A1">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②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w:t>
            </w:r>
          </w:p>
          <w:p w14:paraId="271B0F75">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③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w:t>
            </w:r>
          </w:p>
          <w:p w14:paraId="3B8D7624">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④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p w14:paraId="36CD2D5F">
            <w:pPr>
              <w:pStyle w:val="30"/>
              <w:snapToGrid w:val="0"/>
              <w:spacing w:beforeLines="0" w:after="0" w:line="360" w:lineRule="auto"/>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（3）项目建设与河南南阳恐龙蛋化石群国家级自然保护区的相符性分析</w:t>
            </w:r>
          </w:p>
          <w:p w14:paraId="38650F10">
            <w:pPr>
              <w:pStyle w:val="31"/>
              <w:snapToGrid w:val="0"/>
              <w:ind w:firstLine="480" w:firstLineChars="200"/>
              <w:rPr>
                <w:rFonts w:ascii="Times New Roman"/>
                <w:color w:val="000000" w:themeColor="text1"/>
                <w:kern w:val="2"/>
                <w:szCs w:val="24"/>
                <w14:textFill>
                  <w14:solidFill>
                    <w14:schemeClr w14:val="tx1"/>
                  </w14:solidFill>
                </w14:textFill>
              </w:rPr>
            </w:pPr>
            <w:r>
              <w:rPr>
                <w:rFonts w:hint="default" w:ascii="Times New Roman" w:hAnsi="Times New Roman" w:cs="Times New Roman"/>
                <w:color w:val="000000" w:themeColor="text1"/>
                <w:szCs w:val="24"/>
                <w14:textFill>
                  <w14:solidFill>
                    <w14:schemeClr w14:val="tx1"/>
                  </w14:solidFill>
                </w14:textFill>
              </w:rPr>
              <w:t>本项目位于</w:t>
            </w:r>
            <w:r>
              <w:rPr>
                <w:rFonts w:hint="default" w:ascii="Times New Roman" w:hAnsi="Times New Roman" w:cs="Times New Roman"/>
                <w:color w:val="000000" w:themeColor="text1"/>
                <w:szCs w:val="21"/>
                <w:lang w:eastAsia="zh-CN"/>
                <w14:textFill>
                  <w14:solidFill>
                    <w14:schemeClr w14:val="tx1"/>
                  </w14:solidFill>
                </w14:textFill>
              </w:rPr>
              <w:t>南阳市镇平县乡村振兴创业园4号楼1楼南</w:t>
            </w:r>
            <w:r>
              <w:rPr>
                <w:rFonts w:hint="default" w:ascii="Times New Roman" w:hAnsi="Times New Roman" w:cs="Times New Roman"/>
                <w:color w:val="000000" w:themeColor="text1"/>
                <w:szCs w:val="24"/>
                <w14:textFill>
                  <w14:solidFill>
                    <w14:schemeClr w14:val="tx1"/>
                  </w14:solidFill>
                </w14:textFill>
              </w:rPr>
              <w:t>，经比对《河南南阳恐龙蛋化石群国家级自然保护区划图》，项目东北距河南南阳恐龙蛋化石群国家级自然保护区缓冲区边界约</w:t>
            </w:r>
            <w:r>
              <w:rPr>
                <w:rFonts w:hint="default" w:ascii="Times New Roman" w:hAnsi="Times New Roman" w:cs="Times New Roman"/>
                <w:color w:val="000000" w:themeColor="text1"/>
                <w:szCs w:val="24"/>
                <w:lang w:val="en-US" w:eastAsia="zh-CN"/>
                <w14:textFill>
                  <w14:solidFill>
                    <w14:schemeClr w14:val="tx1"/>
                  </w14:solidFill>
                </w14:textFill>
              </w:rPr>
              <w:t>7.736</w:t>
            </w:r>
            <w:r>
              <w:rPr>
                <w:rFonts w:hint="default" w:ascii="Times New Roman" w:hAnsi="Times New Roman" w:cs="Times New Roman"/>
                <w:color w:val="000000" w:themeColor="text1"/>
                <w:szCs w:val="24"/>
                <w14:textFill>
                  <w14:solidFill>
                    <w14:schemeClr w14:val="tx1"/>
                  </w14:solidFill>
                </w14:textFill>
              </w:rPr>
              <w:t>km，不在保护区范围内。项目按环评要求的治污措施配套落实后各污染物排放均满足相应的污染物排放标准，</w:t>
            </w:r>
            <w:r>
              <w:rPr>
                <w:rFonts w:hint="default" w:ascii="Times New Roman" w:hAnsi="Times New Roman" w:cs="Times New Roman"/>
                <w:color w:val="000000" w:themeColor="text1"/>
                <w:kern w:val="2"/>
                <w:szCs w:val="24"/>
                <w14:textFill>
                  <w14:solidFill>
                    <w14:schemeClr w14:val="tx1"/>
                  </w14:solidFill>
                </w14:textFill>
              </w:rPr>
              <w:t>对恐龙蛋化石遗迹影响不大，因此项目建</w:t>
            </w:r>
            <w:r>
              <w:rPr>
                <w:rFonts w:ascii="Times New Roman"/>
                <w:color w:val="000000" w:themeColor="text1"/>
                <w:kern w:val="2"/>
                <w:szCs w:val="24"/>
                <w14:textFill>
                  <w14:solidFill>
                    <w14:schemeClr w14:val="tx1"/>
                  </w14:solidFill>
                </w14:textFill>
              </w:rPr>
              <w:t>设与河南南阳恐龙蛋化石群国家级自然保护区的要求基本相符。</w:t>
            </w:r>
          </w:p>
          <w:p w14:paraId="4AD15E44">
            <w:pPr>
              <w:adjustRightInd w:val="0"/>
              <w:snapToGrid w:val="0"/>
              <w:spacing w:line="360" w:lineRule="auto"/>
              <w:ind w:firstLine="482" w:firstLineChars="200"/>
              <w:textAlignment w:val="baseline"/>
              <w:rPr>
                <w:b/>
                <w:bCs/>
                <w:color w:val="000000" w:themeColor="text1"/>
                <w:kern w:val="0"/>
                <w:sz w:val="24"/>
                <w14:textFill>
                  <w14:solidFill>
                    <w14:schemeClr w14:val="tx1"/>
                  </w14:solidFill>
                </w14:textFill>
              </w:rPr>
            </w:pPr>
            <w:r>
              <w:rPr>
                <w:rFonts w:hint="eastAsia"/>
                <w:b/>
                <w:bCs/>
                <w:color w:val="000000" w:themeColor="text1"/>
                <w:kern w:val="0"/>
                <w:sz w:val="24"/>
                <w14:textFill>
                  <w14:solidFill>
                    <w14:schemeClr w14:val="tx1"/>
                  </w14:solidFill>
                </w14:textFill>
              </w:rPr>
              <w:t>3</w:t>
            </w:r>
            <w:r>
              <w:rPr>
                <w:b/>
                <w:bCs/>
                <w:color w:val="000000" w:themeColor="text1"/>
                <w:kern w:val="0"/>
                <w:sz w:val="24"/>
                <w14:textFill>
                  <w14:solidFill>
                    <w14:schemeClr w14:val="tx1"/>
                  </w14:solidFill>
                </w14:textFill>
              </w:rPr>
              <w:t>、项目建设与相关技术规范、政策的符合性</w:t>
            </w:r>
          </w:p>
          <w:p w14:paraId="383507A2">
            <w:pPr>
              <w:widowControl/>
              <w:spacing w:line="360" w:lineRule="auto"/>
              <w:ind w:firstLine="482" w:firstLineChars="200"/>
              <w:rPr>
                <w:b/>
                <w:bCs/>
                <w:color w:val="000000" w:themeColor="text1"/>
                <w:kern w:val="0"/>
                <w:sz w:val="24"/>
                <w:lang w:bidi="ar"/>
                <w14:textFill>
                  <w14:solidFill>
                    <w14:schemeClr w14:val="tx1"/>
                  </w14:solidFill>
                </w14:textFill>
              </w:rPr>
            </w:pPr>
            <w:r>
              <w:rPr>
                <w:b/>
                <w:bCs/>
                <w:color w:val="000000" w:themeColor="text1"/>
                <w:kern w:val="0"/>
                <w:sz w:val="24"/>
                <w:lang w:bidi="ar"/>
                <w14:textFill>
                  <w14:solidFill>
                    <w14:schemeClr w14:val="tx1"/>
                  </w14:solidFill>
                </w14:textFill>
              </w:rPr>
              <w:t>3.</w:t>
            </w:r>
            <w:r>
              <w:rPr>
                <w:rFonts w:hint="eastAsia"/>
                <w:b/>
                <w:bCs/>
                <w:color w:val="000000" w:themeColor="text1"/>
                <w:kern w:val="0"/>
                <w:sz w:val="24"/>
                <w:lang w:bidi="ar"/>
                <w14:textFill>
                  <w14:solidFill>
                    <w14:schemeClr w14:val="tx1"/>
                  </w14:solidFill>
                </w14:textFill>
              </w:rPr>
              <w:t>1</w:t>
            </w:r>
            <w:r>
              <w:rPr>
                <w:b/>
                <w:bCs/>
                <w:color w:val="000000" w:themeColor="text1"/>
                <w:kern w:val="0"/>
                <w:sz w:val="24"/>
                <w:lang w:bidi="ar"/>
                <w14:textFill>
                  <w14:solidFill>
                    <w14:schemeClr w14:val="tx1"/>
                  </w14:solidFill>
                </w14:textFill>
              </w:rPr>
              <w:t>、项目与</w:t>
            </w:r>
            <w:r>
              <w:rPr>
                <w:rFonts w:hint="eastAsia"/>
                <w:b/>
                <w:bCs/>
                <w:color w:val="000000" w:themeColor="text1"/>
                <w:kern w:val="0"/>
                <w:sz w:val="24"/>
                <w:lang w:bidi="ar"/>
                <w14:textFill>
                  <w14:solidFill>
                    <w14:schemeClr w14:val="tx1"/>
                  </w14:solidFill>
                </w14:textFill>
              </w:rPr>
              <w:t>南阳市生态环境保护委员会办公室关于印发《南阳市2025年蓝天保卫战实施方案》《南阳市2025年碧水保卫战实施方案》《南阳市2025年净土保卫战实施方案》《南阳市2025年柴油货车污染治理攻坚战实施方案》的通知</w:t>
            </w:r>
          </w:p>
          <w:p w14:paraId="03AC67F1">
            <w:pPr>
              <w:widowControl/>
              <w:spacing w:line="360" w:lineRule="auto"/>
              <w:ind w:firstLine="480" w:firstLineChars="200"/>
              <w:rPr>
                <w:b w:val="0"/>
                <w:bCs w:val="0"/>
                <w:color w:val="000000" w:themeColor="text1"/>
                <w:kern w:val="0"/>
                <w:sz w:val="24"/>
                <w:lang w:bidi="ar"/>
                <w14:textFill>
                  <w14:solidFill>
                    <w14:schemeClr w14:val="tx1"/>
                  </w14:solidFill>
                </w14:textFill>
              </w:rPr>
            </w:pPr>
            <w:r>
              <w:rPr>
                <w:b w:val="0"/>
                <w:bCs w:val="0"/>
                <w:color w:val="000000" w:themeColor="text1"/>
                <w:kern w:val="0"/>
                <w:sz w:val="24"/>
                <w:lang w:bidi="ar"/>
                <w14:textFill>
                  <w14:solidFill>
                    <w14:schemeClr w14:val="tx1"/>
                  </w14:solidFill>
                </w14:textFill>
              </w:rPr>
              <w:t>202</w:t>
            </w:r>
            <w:r>
              <w:rPr>
                <w:rFonts w:hint="eastAsia"/>
                <w:b w:val="0"/>
                <w:bCs w:val="0"/>
                <w:color w:val="000000" w:themeColor="text1"/>
                <w:kern w:val="0"/>
                <w:sz w:val="24"/>
                <w:lang w:bidi="ar"/>
                <w14:textFill>
                  <w14:solidFill>
                    <w14:schemeClr w14:val="tx1"/>
                  </w14:solidFill>
                </w14:textFill>
              </w:rPr>
              <w:t>5</w:t>
            </w:r>
            <w:r>
              <w:rPr>
                <w:b w:val="0"/>
                <w:bCs w:val="0"/>
                <w:color w:val="000000" w:themeColor="text1"/>
                <w:kern w:val="0"/>
                <w:sz w:val="24"/>
                <w:lang w:bidi="ar"/>
                <w14:textFill>
                  <w14:solidFill>
                    <w14:schemeClr w14:val="tx1"/>
                  </w14:solidFill>
                </w14:textFill>
              </w:rPr>
              <w:t>年</w:t>
            </w:r>
            <w:r>
              <w:rPr>
                <w:rFonts w:hint="eastAsia"/>
                <w:b w:val="0"/>
                <w:bCs w:val="0"/>
                <w:color w:val="000000" w:themeColor="text1"/>
                <w:kern w:val="0"/>
                <w:sz w:val="24"/>
                <w:lang w:bidi="ar"/>
                <w14:textFill>
                  <w14:solidFill>
                    <w14:schemeClr w14:val="tx1"/>
                  </w14:solidFill>
                </w14:textFill>
              </w:rPr>
              <w:t>5</w:t>
            </w:r>
            <w:r>
              <w:rPr>
                <w:b w:val="0"/>
                <w:bCs w:val="0"/>
                <w:color w:val="000000" w:themeColor="text1"/>
                <w:kern w:val="0"/>
                <w:sz w:val="24"/>
                <w:lang w:bidi="ar"/>
                <w14:textFill>
                  <w14:solidFill>
                    <w14:schemeClr w14:val="tx1"/>
                  </w14:solidFill>
                </w14:textFill>
              </w:rPr>
              <w:t>月</w:t>
            </w:r>
            <w:r>
              <w:rPr>
                <w:rFonts w:hint="eastAsia"/>
                <w:b w:val="0"/>
                <w:bCs w:val="0"/>
                <w:color w:val="000000" w:themeColor="text1"/>
                <w:kern w:val="0"/>
                <w:sz w:val="24"/>
                <w:lang w:bidi="ar"/>
                <w14:textFill>
                  <w14:solidFill>
                    <w14:schemeClr w14:val="tx1"/>
                  </w14:solidFill>
                </w14:textFill>
              </w:rPr>
              <w:t>30</w:t>
            </w:r>
            <w:r>
              <w:rPr>
                <w:b w:val="0"/>
                <w:bCs w:val="0"/>
                <w:color w:val="000000" w:themeColor="text1"/>
                <w:kern w:val="0"/>
                <w:sz w:val="24"/>
                <w:lang w:bidi="ar"/>
                <w14:textFill>
                  <w14:solidFill>
                    <w14:schemeClr w14:val="tx1"/>
                  </w14:solidFill>
                </w14:textFill>
              </w:rPr>
              <w:t>日，</w:t>
            </w:r>
            <w:r>
              <w:rPr>
                <w:rFonts w:hint="eastAsia"/>
                <w:b w:val="0"/>
                <w:bCs w:val="0"/>
                <w:color w:val="000000" w:themeColor="text1"/>
                <w:kern w:val="0"/>
                <w:sz w:val="24"/>
                <w:lang w:bidi="ar"/>
                <w14:textFill>
                  <w14:solidFill>
                    <w14:schemeClr w14:val="tx1"/>
                  </w14:solidFill>
                </w14:textFill>
              </w:rPr>
              <w:t>南阳市生态环境保护委员会办公室关于印发《南阳市2025年蓝天保卫战实施方案》《南阳市2025年碧水保卫战实施方案》《南阳市2025年净土保卫战实施方案》《南阳市2025年柴油货车污染治理攻坚战实施方案》的通知（宛环委办〔2025〕5号）</w:t>
            </w:r>
            <w:r>
              <w:rPr>
                <w:b w:val="0"/>
                <w:bCs w:val="0"/>
                <w:color w:val="000000" w:themeColor="text1"/>
                <w:kern w:val="0"/>
                <w:sz w:val="24"/>
                <w:lang w:bidi="ar"/>
                <w14:textFill>
                  <w14:solidFill>
                    <w14:schemeClr w14:val="tx1"/>
                  </w14:solidFill>
                </w14:textFill>
              </w:rPr>
              <w:t>。与该文件中涉及本项目情况的相关内容对比及相符性分析见下表。</w:t>
            </w:r>
          </w:p>
          <w:p w14:paraId="4D8505B5">
            <w:pPr>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14:textFill>
                  <w14:solidFill>
                    <w14:schemeClr w14:val="tx1"/>
                  </w14:solidFill>
                </w14:textFill>
              </w:rPr>
              <w:t xml:space="preserve">4 </w:t>
            </w:r>
            <w:r>
              <w:rPr>
                <w:b/>
                <w:color w:val="000000" w:themeColor="text1"/>
                <w:sz w:val="24"/>
                <w14:textFill>
                  <w14:solidFill>
                    <w14:schemeClr w14:val="tx1"/>
                  </w14:solidFill>
                </w14:textFill>
              </w:rPr>
              <w:t xml:space="preserve"> 项目建设与宛环委办</w:t>
            </w:r>
            <w:r>
              <w:rPr>
                <w:rFonts w:hint="eastAsia"/>
                <w:b/>
                <w:color w:val="000000" w:themeColor="text1"/>
                <w:sz w:val="24"/>
                <w14:textFill>
                  <w14:solidFill>
                    <w14:schemeClr w14:val="tx1"/>
                  </w14:solidFill>
                </w14:textFill>
              </w:rPr>
              <w:t>〔2025〕5号的</w:t>
            </w:r>
            <w:r>
              <w:rPr>
                <w:b/>
                <w:color w:val="000000" w:themeColor="text1"/>
                <w:sz w:val="24"/>
                <w14:textFill>
                  <w14:solidFill>
                    <w14:schemeClr w14:val="tx1"/>
                  </w14:solidFill>
                </w14:textFill>
              </w:rPr>
              <w:t>相符性分析</w:t>
            </w:r>
          </w:p>
          <w:tbl>
            <w:tblPr>
              <w:tblStyle w:val="20"/>
              <w:tblW w:w="497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83"/>
              <w:gridCol w:w="4045"/>
              <w:gridCol w:w="2627"/>
              <w:gridCol w:w="805"/>
            </w:tblGrid>
            <w:tr w14:paraId="4193BF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36B0C79E">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000000" w:themeColor="text1"/>
                      <w:sz w:val="21"/>
                      <w:szCs w:val="21"/>
                      <w:highlight w:val="none"/>
                      <w:u w:val="none" w:color="auto"/>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分类</w:t>
                  </w:r>
                </w:p>
              </w:tc>
              <w:tc>
                <w:tcPr>
                  <w:tcW w:w="2448" w:type="pct"/>
                  <w:noWrap w:val="0"/>
                  <w:vAlign w:val="center"/>
                </w:tcPr>
                <w:p w14:paraId="3A642187">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文件要求</w:t>
                  </w:r>
                </w:p>
              </w:tc>
              <w:tc>
                <w:tcPr>
                  <w:tcW w:w="1590" w:type="pct"/>
                  <w:noWrap w:val="0"/>
                  <w:vAlign w:val="center"/>
                </w:tcPr>
                <w:p w14:paraId="3192B334">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本项目</w:t>
                  </w:r>
                </w:p>
              </w:tc>
              <w:tc>
                <w:tcPr>
                  <w:tcW w:w="487" w:type="pct"/>
                  <w:noWrap w:val="0"/>
                  <w:vAlign w:val="center"/>
                </w:tcPr>
                <w:p w14:paraId="4166B5D4">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相符性</w:t>
                  </w:r>
                </w:p>
              </w:tc>
            </w:tr>
            <w:tr w14:paraId="106FBC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14:paraId="741BE8C3">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南阳市2025年蓝</w:t>
                  </w:r>
                  <w:commentRangeStart w:id="8"/>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天保卫战实施方案</w:t>
                  </w:r>
                  <w:commentRangeEnd w:id="8"/>
                  <w:r>
                    <w:commentReference w:id="8"/>
                  </w:r>
                </w:p>
              </w:tc>
            </w:tr>
            <w:tr w14:paraId="3D7423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2B787BB0">
                  <w:pPr>
                    <w:widowControl/>
                    <w:jc w:val="center"/>
                    <w:rPr>
                      <w:color w:val="000000" w:themeColor="text1"/>
                      <w:kern w:val="0"/>
                      <w:szCs w:val="21"/>
                      <w:lang w:val="en-US" w:eastAsia="zh-CN" w:bidi="ar"/>
                      <w14:textFill>
                        <w14:solidFill>
                          <w14:schemeClr w14:val="tx1"/>
                        </w14:solidFill>
                      </w14:textFill>
                    </w:rPr>
                  </w:pPr>
                  <w:r>
                    <w:rPr>
                      <w:color w:val="000000" w:themeColor="text1"/>
                      <w:kern w:val="0"/>
                      <w:szCs w:val="21"/>
                      <w:lang w:val="en-US" w:eastAsia="zh-CN" w:bidi="ar"/>
                      <w14:textFill>
                        <w14:solidFill>
                          <w14:schemeClr w14:val="tx1"/>
                        </w14:solidFill>
                      </w14:textFill>
                    </w:rPr>
                    <w:t>（一）结构优化升级专项攻坚</w:t>
                  </w:r>
                </w:p>
              </w:tc>
              <w:tc>
                <w:tcPr>
                  <w:tcW w:w="2448" w:type="pct"/>
                  <w:noWrap w:val="0"/>
                  <w:vAlign w:val="center"/>
                </w:tcPr>
                <w:p w14:paraId="42C2D1A5">
                  <w:pPr>
                    <w:widowControl/>
                    <w:jc w:val="both"/>
                    <w:rPr>
                      <w:rFonts w:hint="default"/>
                      <w:color w:val="000000" w:themeColor="text1"/>
                      <w:kern w:val="0"/>
                      <w:szCs w:val="21"/>
                      <w:lang w:val="en-US" w:eastAsia="zh-CN" w:bidi="ar"/>
                      <w14:textFill>
                        <w14:solidFill>
                          <w14:schemeClr w14:val="tx1"/>
                        </w14:solidFill>
                      </w14:textFill>
                    </w:rPr>
                  </w:pPr>
                  <w:r>
                    <w:rPr>
                      <w:color w:val="000000" w:themeColor="text1"/>
                      <w:kern w:val="0"/>
                      <w:szCs w:val="21"/>
                      <w:lang w:bidi="ar"/>
                      <w14:textFill>
                        <w14:solidFill>
                          <w14:schemeClr w14:val="tx1"/>
                        </w14:solidFill>
                      </w14:textFill>
                    </w:rPr>
                    <w:t>4.实施工业炉窑清洁能源替代。对南阳鸿润建材、南阳晋成陶瓷2家企业实施停产整治，煤气发生炉完成清洁低碳能源替代前不得复产。2025年9月底前，南阳环宇电器、南阳东福陶艺2家企业完成煤气发生炉清洁低碳能源替代。2025年10月底前，完成现有使用高污染燃料的加热炉、热处理炉、干燥炉、熔化炉以及冲天炉等工业炉窑清洁低碳能源替代或拆除，未完成的纳入</w:t>
                  </w:r>
                  <w:r>
                    <w:rPr>
                      <w:color w:val="000000" w:themeColor="text1"/>
                      <w:kern w:val="0"/>
                      <w:szCs w:val="21"/>
                      <w:lang w:bidi="ar"/>
                      <w14:textFill>
                        <w14:solidFill>
                          <w14:schemeClr w14:val="tx1"/>
                        </w14:solidFill>
                      </w14:textFill>
                    </w:rPr>
                    <w:cr/>
                  </w:r>
                  <w:r>
                    <w:rPr>
                      <w:color w:val="000000" w:themeColor="text1"/>
                      <w:kern w:val="0"/>
                      <w:szCs w:val="21"/>
                      <w:lang w:bidi="ar"/>
                      <w14:textFill>
                        <w14:solidFill>
                          <w14:schemeClr w14:val="tx1"/>
                        </w14:solidFill>
                      </w14:textFill>
                    </w:rPr>
                    <w:t>冬季错峰生产调控。</w:t>
                  </w:r>
                </w:p>
              </w:tc>
              <w:tc>
                <w:tcPr>
                  <w:tcW w:w="1590" w:type="pct"/>
                  <w:noWrap w:val="0"/>
                  <w:vAlign w:val="center"/>
                </w:tcPr>
                <w:p w14:paraId="203FE908">
                  <w:pPr>
                    <w:keepNext w:val="0"/>
                    <w:keepLines w:val="0"/>
                    <w:pageBreakBefore w:val="0"/>
                    <w:widowControl/>
                    <w:kinsoku/>
                    <w:wordWrap/>
                    <w:overflowPunct/>
                    <w:topLinePunct w:val="0"/>
                    <w:autoSpaceDE/>
                    <w:autoSpaceDN/>
                    <w:bidi w:val="0"/>
                    <w:jc w:val="both"/>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本项目不涉及工业炉窑。</w:t>
                  </w:r>
                </w:p>
              </w:tc>
              <w:tc>
                <w:tcPr>
                  <w:tcW w:w="487" w:type="pct"/>
                  <w:noWrap w:val="0"/>
                  <w:vAlign w:val="center"/>
                </w:tcPr>
                <w:p w14:paraId="6ADE66C2">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相符</w:t>
                  </w:r>
                </w:p>
              </w:tc>
            </w:tr>
            <w:tr w14:paraId="69FC94D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7304DC96">
                  <w:pPr>
                    <w:widowControl/>
                    <w:jc w:val="cente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pPr>
                  <w:r>
                    <w:rPr>
                      <w:color w:val="000000" w:themeColor="text1"/>
                      <w:kern w:val="0"/>
                      <w:szCs w:val="21"/>
                      <w:lang w:bidi="ar"/>
                      <w14:textFill>
                        <w14:solidFill>
                          <w14:schemeClr w14:val="tx1"/>
                        </w14:solidFill>
                      </w14:textFill>
                    </w:rPr>
                    <w:t>（二）工业企业提标治理专项攻坚</w:t>
                  </w:r>
                </w:p>
              </w:tc>
              <w:tc>
                <w:tcPr>
                  <w:tcW w:w="2448" w:type="pct"/>
                  <w:noWrap w:val="0"/>
                  <w:vAlign w:val="center"/>
                </w:tcPr>
                <w:p w14:paraId="11F72545">
                  <w:pPr>
                    <w:widowControl/>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pPr>
                  <w:r>
                    <w:rPr>
                      <w:color w:val="000000" w:themeColor="text1"/>
                      <w:kern w:val="0"/>
                      <w:szCs w:val="21"/>
                      <w:lang w:bidi="ar"/>
                      <w14:textFill>
                        <w14:solidFill>
                          <w14:schemeClr w14:val="tx1"/>
                        </w14:solidFill>
                      </w14:textFill>
                    </w:rPr>
                    <w:t>7.深入开展低效失效治理设施排查整治。持续开展低效失效大气污染治理设施排查，淘汰不成熟、不适用、无法稳定达标排放的治理工艺，整治关键组件缺失、质量低劣、自动化水平低的治理设施，纳入年度重点治理任务限期完成提升改造。2025年10月底前，完成67家企业低效失效治理设施提升改造，未按时完成的纳入秋冬季生产调控范围。</w:t>
                  </w:r>
                </w:p>
              </w:tc>
              <w:tc>
                <w:tcPr>
                  <w:tcW w:w="1590" w:type="pct"/>
                  <w:noWrap w:val="0"/>
                  <w:vAlign w:val="center"/>
                </w:tcPr>
                <w:p w14:paraId="5E024129">
                  <w:pPr>
                    <w:keepNext w:val="0"/>
                    <w:keepLines w:val="0"/>
                    <w:pageBreakBefore w:val="0"/>
                    <w:widowControl/>
                    <w:kinsoku/>
                    <w:wordWrap/>
                    <w:overflowPunct/>
                    <w:topLinePunct w:val="0"/>
                    <w:autoSpaceDE/>
                    <w:autoSpaceDN/>
                    <w:bidi w:val="0"/>
                    <w:jc w:val="both"/>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w:t>
                  </w:r>
                  <w:commentRangeStart w:id="9"/>
                  <w:r>
                    <w:rPr>
                      <w:rFonts w:hint="eastAsia" w:cs="Times New Roman"/>
                      <w:color w:val="000000" w:themeColor="text1"/>
                      <w:sz w:val="21"/>
                      <w:szCs w:val="21"/>
                      <w:highlight w:val="none"/>
                      <w:u w:val="none" w:color="auto"/>
                      <w:lang w:val="en-US" w:eastAsia="zh-CN"/>
                      <w14:textFill>
                        <w14:solidFill>
                          <w14:schemeClr w14:val="tx1"/>
                        </w14:solidFill>
                      </w14:textFill>
                    </w:rPr>
                    <w:t>废气</w:t>
                  </w:r>
                  <w:commentRangeEnd w:id="9"/>
                  <w:r>
                    <w:commentReference w:id="9"/>
                  </w:r>
                  <w:r>
                    <w:rPr>
                      <w:rFonts w:hint="eastAsia" w:cs="Times New Roman"/>
                      <w:color w:val="000000" w:themeColor="text1"/>
                      <w:sz w:val="21"/>
                      <w:szCs w:val="21"/>
                      <w:highlight w:val="none"/>
                      <w:u w:val="none" w:color="auto"/>
                      <w:lang w:val="en-US" w:eastAsia="zh-CN"/>
                      <w14:textFill>
                        <w14:solidFill>
                          <w14:schemeClr w14:val="tx1"/>
                        </w14:solidFill>
                      </w14:textFill>
                    </w:rPr>
                    <w:t>处理设施</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采用</w:t>
                  </w:r>
                  <w:r>
                    <w:rPr>
                      <w:rFonts w:hint="eastAsia" w:cs="Times New Roman"/>
                      <w:color w:val="000000" w:themeColor="text1"/>
                      <w:sz w:val="21"/>
                      <w:szCs w:val="21"/>
                      <w:highlight w:val="none"/>
                      <w:u w:val="none" w:color="auto"/>
                      <w:lang w:val="en-US" w:eastAsia="zh-CN"/>
                      <w14:textFill>
                        <w14:solidFill>
                          <w14:schemeClr w14:val="tx1"/>
                        </w14:solidFill>
                      </w14:textFill>
                    </w:rPr>
                    <w:t>静电油烟净化器</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，经</w:t>
                  </w:r>
                  <w:r>
                    <w:rPr>
                      <w:rFonts w:hint="default"/>
                      <w:color w:val="000000" w:themeColor="text1"/>
                      <w:kern w:val="0"/>
                      <w:szCs w:val="21"/>
                      <w:lang w:val="en-US" w:eastAsia="zh-CN" w:bidi="ar"/>
                      <w14:textFill>
                        <w14:solidFill>
                          <w14:schemeClr w14:val="tx1"/>
                        </w14:solidFill>
                      </w14:textFill>
                    </w:rPr>
                    <w:t>对照《低效失效大气污染治理设施排查整治技术要点》，</w:t>
                  </w:r>
                  <w:r>
                    <w:rPr>
                      <w:rFonts w:hint="eastAsia"/>
                      <w:color w:val="000000" w:themeColor="text1"/>
                      <w:kern w:val="0"/>
                      <w:szCs w:val="21"/>
                      <w:lang w:val="en-US" w:eastAsia="zh-CN" w:bidi="ar"/>
                      <w14:textFill>
                        <w14:solidFill>
                          <w14:schemeClr w14:val="tx1"/>
                        </w14:solidFill>
                      </w14:textFill>
                    </w:rPr>
                    <w:t>本项目采用的</w:t>
                  </w:r>
                  <w:r>
                    <w:rPr>
                      <w:rFonts w:hint="eastAsia" w:cs="Times New Roman"/>
                      <w:color w:val="000000" w:themeColor="text1"/>
                      <w:sz w:val="21"/>
                      <w:szCs w:val="21"/>
                      <w:highlight w:val="none"/>
                      <w:u w:val="none" w:color="auto"/>
                      <w:lang w:val="en-US" w:eastAsia="zh-CN"/>
                      <w14:textFill>
                        <w14:solidFill>
                          <w14:schemeClr w14:val="tx1"/>
                        </w14:solidFill>
                      </w14:textFill>
                    </w:rPr>
                    <w:t>废气处理设施</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不属于</w:t>
                  </w:r>
                  <w:r>
                    <w:rPr>
                      <w:rFonts w:hint="default"/>
                      <w:color w:val="000000" w:themeColor="text1"/>
                      <w:kern w:val="0"/>
                      <w:szCs w:val="21"/>
                      <w:lang w:val="en-US" w:eastAsia="zh-CN" w:bidi="ar"/>
                      <w14:textFill>
                        <w14:solidFill>
                          <w14:schemeClr w14:val="tx1"/>
                        </w14:solidFill>
                      </w14:textFill>
                    </w:rPr>
                    <w:t>低效失效大气污染治理设施</w:t>
                  </w:r>
                  <w:r>
                    <w:rPr>
                      <w:rFonts w:hint="eastAsia"/>
                      <w:color w:val="000000" w:themeColor="text1"/>
                      <w:kern w:val="0"/>
                      <w:szCs w:val="21"/>
                      <w:lang w:val="en-US" w:eastAsia="zh-CN" w:bidi="ar"/>
                      <w14:textFill>
                        <w14:solidFill>
                          <w14:schemeClr w14:val="tx1"/>
                        </w14:solidFill>
                      </w14:textFill>
                    </w:rPr>
                    <w:t>。</w:t>
                  </w:r>
                </w:p>
              </w:tc>
              <w:tc>
                <w:tcPr>
                  <w:tcW w:w="487" w:type="pct"/>
                  <w:noWrap w:val="0"/>
                  <w:vAlign w:val="center"/>
                </w:tcPr>
                <w:p w14:paraId="48F8249C">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相符</w:t>
                  </w:r>
                </w:p>
              </w:tc>
            </w:tr>
            <w:tr w14:paraId="031E2CD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08EE284C">
                  <w:pPr>
                    <w:widowControl/>
                    <w:jc w:val="center"/>
                    <w:rPr>
                      <w:rFonts w:hint="default" w:ascii="Times New Roman" w:hAnsi="Times New Roman" w:eastAsia="宋体" w:cs="Times New Roman"/>
                      <w:color w:val="000000" w:themeColor="text1"/>
                      <w:kern w:val="0"/>
                      <w:sz w:val="21"/>
                      <w:szCs w:val="21"/>
                      <w:highlight w:val="none"/>
                      <w:u w:val="none" w:color="auto"/>
                      <w:lang w:bidi="ar"/>
                      <w14:textFill>
                        <w14:solidFill>
                          <w14:schemeClr w14:val="tx1"/>
                        </w14:solidFill>
                      </w14:textFill>
                    </w:rPr>
                  </w:pPr>
                  <w:r>
                    <w:rPr>
                      <w:color w:val="000000" w:themeColor="text1"/>
                      <w:kern w:val="0"/>
                      <w:szCs w:val="21"/>
                      <w:lang w:bidi="ar"/>
                      <w14:textFill>
                        <w14:solidFill>
                          <w14:schemeClr w14:val="tx1"/>
                        </w14:solidFill>
                      </w14:textFill>
                    </w:rPr>
                    <w:t>（五）重污染天气应对专项攻坚</w:t>
                  </w:r>
                </w:p>
              </w:tc>
              <w:tc>
                <w:tcPr>
                  <w:tcW w:w="2448" w:type="pct"/>
                  <w:noWrap w:val="0"/>
                  <w:vAlign w:val="center"/>
                </w:tcPr>
                <w:p w14:paraId="13B67787">
                  <w:pPr>
                    <w:widowControl/>
                    <w:rPr>
                      <w:rFonts w:hint="eastAsia"/>
                      <w:color w:val="000000" w:themeColor="text1"/>
                      <w:szCs w:val="21"/>
                      <w:u w:val="none"/>
                      <w:lang w:val="en-US" w:eastAsia="zh-CN"/>
                      <w14:textFill>
                        <w14:solidFill>
                          <w14:schemeClr w14:val="tx1"/>
                        </w14:solidFill>
                      </w14:textFill>
                    </w:rPr>
                  </w:pPr>
                  <w:r>
                    <w:rPr>
                      <w:color w:val="000000" w:themeColor="text1"/>
                      <w:kern w:val="0"/>
                      <w:szCs w:val="21"/>
                      <w:lang w:bidi="ar"/>
                      <w14:textFill>
                        <w14:solidFill>
                          <w14:schemeClr w14:val="tx1"/>
                        </w14:solidFill>
                      </w14:textFill>
                    </w:rPr>
                    <w:t>21.开展环境绩效等级提升行动。加强企业绩效监管，对已评定A级、B级和绩效引领性企业开展</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回头看</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，对实际绩效水平达不到评定等级要求，或存在严重环境违法违规行为的企业，严格实施降级处理。开展重点行业环保绩效创A行动，充分发挥绩效A级企业引领作用，以</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先进</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带动</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后进</w:t>
                  </w:r>
                  <w:r>
                    <w:rPr>
                      <w:rFonts w:hint="eastAsia"/>
                      <w:color w:val="000000" w:themeColor="text1"/>
                      <w:kern w:val="0"/>
                      <w:szCs w:val="21"/>
                      <w:lang w:eastAsia="zh-CN" w:bidi="ar"/>
                      <w14:textFill>
                        <w14:solidFill>
                          <w14:schemeClr w14:val="tx1"/>
                        </w14:solidFill>
                      </w14:textFill>
                    </w:rPr>
                    <w:t>”</w:t>
                  </w:r>
                  <w:r>
                    <w:rPr>
                      <w:color w:val="000000" w:themeColor="text1"/>
                      <w:kern w:val="0"/>
                      <w:szCs w:val="21"/>
                      <w:lang w:bidi="ar"/>
                      <w14:textFill>
                        <w14:solidFill>
                          <w14:schemeClr w14:val="tx1"/>
                        </w14:solidFill>
                      </w14:textFill>
                    </w:rPr>
                    <w:t>，鼓励指导企业通过设备更新、技术改造、治理升级等措施，不断提升环境绩效等级，2025年全市新增A级、B级企业及绩效引领性企业20家以上。</w:t>
                  </w:r>
                </w:p>
              </w:tc>
              <w:tc>
                <w:tcPr>
                  <w:tcW w:w="1590" w:type="pct"/>
                  <w:noWrap w:val="0"/>
                  <w:vAlign w:val="center"/>
                </w:tcPr>
                <w:p w14:paraId="0A3D3F0C">
                  <w:pPr>
                    <w:keepNext w:val="0"/>
                    <w:keepLines w:val="0"/>
                    <w:pageBreakBefore w:val="0"/>
                    <w:widowControl/>
                    <w:kinsoku/>
                    <w:wordWrap/>
                    <w:overflowPunct/>
                    <w:topLinePunct w:val="0"/>
                    <w:autoSpaceDE/>
                    <w:autoSpaceDN/>
                    <w:bidi w:val="0"/>
                    <w:jc w:val="both"/>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本项目为新建项目，项目严格按照《河南省重污染天气通用行业应急减排措施制定技术指南》（2024年修订版）中涉PM企业以及</w:t>
                  </w:r>
                  <w:commentRangeStart w:id="10"/>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涉锅炉/炉窑企业基本要求</w:t>
                  </w:r>
                  <w:commentRangeEnd w:id="10"/>
                  <w:r>
                    <w:commentReference w:id="10"/>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进行建设。</w:t>
                  </w:r>
                </w:p>
              </w:tc>
              <w:tc>
                <w:tcPr>
                  <w:tcW w:w="487" w:type="pct"/>
                  <w:noWrap w:val="0"/>
                  <w:vAlign w:val="center"/>
                </w:tcPr>
                <w:p w14:paraId="2C613A5F">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相符</w:t>
                  </w:r>
                </w:p>
              </w:tc>
            </w:tr>
            <w:tr w14:paraId="739E2E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14:paraId="0E0392C8">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南阳市2025年碧水保卫战实施方案</w:t>
                  </w:r>
                </w:p>
              </w:tc>
            </w:tr>
            <w:tr w14:paraId="30DEC2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7B2B9D34">
                  <w:pPr>
                    <w:widowControl/>
                    <w:jc w:val="center"/>
                    <w:rPr>
                      <w:rFonts w:hint="default" w:ascii="Times New Roman" w:hAnsi="Times New Roman" w:eastAsia="宋体" w:cs="Times New Roman"/>
                      <w:color w:val="000000" w:themeColor="text1"/>
                      <w:kern w:val="0"/>
                      <w:sz w:val="21"/>
                      <w:szCs w:val="21"/>
                      <w:highlight w:val="none"/>
                      <w:u w:val="none" w:color="auto"/>
                      <w:lang w:eastAsia="zh-CN" w:bidi="ar"/>
                      <w14:textFill>
                        <w14:solidFill>
                          <w14:schemeClr w14:val="tx1"/>
                        </w14:solidFill>
                      </w14:textFill>
                    </w:rPr>
                  </w:pPr>
                  <w:r>
                    <w:rPr>
                      <w:color w:val="000000" w:themeColor="text1"/>
                      <w:kern w:val="0"/>
                      <w:szCs w:val="21"/>
                      <w:lang w:bidi="ar"/>
                      <w14:textFill>
                        <w14:solidFill>
                          <w14:schemeClr w14:val="tx1"/>
                        </w14:solidFill>
                      </w14:textFill>
                    </w:rPr>
                    <w:t>（一）巩固提升南水北调和饮用水水源地安全保障</w:t>
                  </w:r>
                </w:p>
              </w:tc>
              <w:tc>
                <w:tcPr>
                  <w:tcW w:w="2448" w:type="pct"/>
                  <w:noWrap w:val="0"/>
                  <w:vAlign w:val="center"/>
                </w:tcPr>
                <w:p w14:paraId="0019575D">
                  <w:pPr>
                    <w:widowControl/>
                    <w:rPr>
                      <w:rFonts w:hint="eastAsia"/>
                      <w:color w:val="000000" w:themeColor="text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1.切实守护南水北调中线工程水质安全。持续推进各级交办问题整改，深化城乡污染综合治理，提升污染防治能力。2025年10月底前，淅川县城区污水处理厂提标改造项目及西城区污水处理厂投入运行。2025年12月底前，西峡县污水处理厂完成提标改造。持续开展南水北调中线工程水源保护区内生态环境问题专项行动及“回头看”，提升保护区规范化建设水平。按照“一口一策”要求，2025年6月底前，全面完成丹江口水库及入库河流排污口的分类整治。淅川县严格丹江口水库消落区管理，因地制宜调整种植结构，防止施用化肥、农药。完善入库河流“一河一策一图”应急处置预案，关注断面水质和重金属因子浓度变化情况，保障南水北调中线工程水质安全。</w:t>
                  </w:r>
                </w:p>
              </w:tc>
              <w:tc>
                <w:tcPr>
                  <w:tcW w:w="1590" w:type="pct"/>
                  <w:noWrap w:val="0"/>
                  <w:vAlign w:val="center"/>
                </w:tcPr>
                <w:p w14:paraId="4C2794A5">
                  <w:pPr>
                    <w:keepNext w:val="0"/>
                    <w:keepLines w:val="0"/>
                    <w:pageBreakBefore w:val="0"/>
                    <w:widowControl/>
                    <w:kinsoku/>
                    <w:wordWrap/>
                    <w:overflowPunct/>
                    <w:topLinePunct w:val="0"/>
                    <w:autoSpaceDE/>
                    <w:autoSpaceDN/>
                    <w:bidi w:val="0"/>
                    <w:jc w:val="both"/>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本项目位于</w:t>
                  </w:r>
                  <w:r>
                    <w:rPr>
                      <w:rFonts w:hint="eastAsia" w:cs="Times New Roman"/>
                      <w:color w:val="000000" w:themeColor="text1"/>
                      <w:sz w:val="21"/>
                      <w:szCs w:val="21"/>
                      <w:highlight w:val="none"/>
                      <w:u w:val="none" w:color="auto"/>
                      <w:lang w:val="en-US" w:eastAsia="zh-CN"/>
                      <w14:textFill>
                        <w14:solidFill>
                          <w14:schemeClr w14:val="tx1"/>
                        </w14:solidFill>
                      </w14:textFill>
                    </w:rPr>
                    <w:t>南阳市镇平县乡村振兴创业园4号楼1楼南</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项目与干渠二级保护区边界直线距离约5.639km。经对照南水北调中线工程总干渠两侧水源保护区规划图，项目选址不在其两侧水源保护区范围内，且项目营运期职工生活污水经化粪池处理后与生产废水混合后经厂区污水处理站处理后，出水水质能够满足《污水综合排放标准》（GB8978-1996）及镇平县第二污水处理厂进水水质指标后经市政污水管网进入镇平县第二污水处理厂进一步处理达到《城镇污水处理厂污染物排放标准》（GB18918-2002）一级A标准后排入赵河。因此项目建设不会对南水北调干渠水源水质产生不良影响。</w:t>
                  </w:r>
                </w:p>
              </w:tc>
              <w:tc>
                <w:tcPr>
                  <w:tcW w:w="487" w:type="pct"/>
                  <w:noWrap w:val="0"/>
                  <w:vAlign w:val="center"/>
                </w:tcPr>
                <w:p w14:paraId="348AF3BA">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相符</w:t>
                  </w:r>
                </w:p>
              </w:tc>
            </w:tr>
            <w:tr w14:paraId="281583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14:paraId="403C562A">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南阳市2025年净土保卫战实施方案</w:t>
                  </w:r>
                </w:p>
              </w:tc>
            </w:tr>
            <w:tr w14:paraId="738DA3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7EC63FC7">
                  <w:pPr>
                    <w:widowControl/>
                    <w:jc w:val="center"/>
                    <w:rPr>
                      <w:rFonts w:hint="default" w:ascii="Times New Roman" w:hAnsi="Times New Roman" w:eastAsia="宋体" w:cs="Times New Roman"/>
                      <w:color w:val="000000" w:themeColor="text1"/>
                      <w:kern w:val="0"/>
                      <w:sz w:val="21"/>
                      <w:szCs w:val="21"/>
                      <w:u w:val="none" w:color="auto"/>
                      <w:lang w:val="en-US" w:eastAsia="zh-CN" w:bidi="ar"/>
                      <w14:textFill>
                        <w14:solidFill>
                          <w14:schemeClr w14:val="tx1"/>
                        </w14:solidFill>
                      </w14:textFill>
                    </w:rPr>
                  </w:pPr>
                  <w:r>
                    <w:rPr>
                      <w:color w:val="000000" w:themeColor="text1"/>
                      <w:kern w:val="0"/>
                      <w:szCs w:val="21"/>
                      <w:lang w:bidi="ar"/>
                      <w14:textFill>
                        <w14:solidFill>
                          <w14:schemeClr w14:val="tx1"/>
                        </w14:solidFill>
                      </w14:textFill>
                    </w:rPr>
                    <w:t>（一）统筹推进土壤污染预防治理</w:t>
                  </w:r>
                </w:p>
              </w:tc>
              <w:tc>
                <w:tcPr>
                  <w:tcW w:w="2448" w:type="pct"/>
                  <w:noWrap w:val="0"/>
                  <w:vAlign w:val="center"/>
                </w:tcPr>
                <w:p w14:paraId="21444D01">
                  <w:pPr>
                    <w:widowControl/>
                    <w:rPr>
                      <w:rFonts w:hint="default" w:ascii="Times New Roman" w:hAnsi="Times New Roman" w:eastAsia="宋体" w:cs="Times New Roman"/>
                      <w:color w:val="000000" w:themeColor="text1"/>
                      <w:kern w:val="0"/>
                      <w:sz w:val="21"/>
                      <w:szCs w:val="21"/>
                      <w:u w:val="none" w:color="auto"/>
                      <w:lang w:val="en-US" w:eastAsia="zh-CN" w:bidi="ar"/>
                      <w14:textFill>
                        <w14:solidFill>
                          <w14:schemeClr w14:val="tx1"/>
                        </w14:solidFill>
                      </w14:textFill>
                    </w:rPr>
                  </w:pPr>
                  <w:r>
                    <w:rPr>
                      <w:color w:val="000000" w:themeColor="text1"/>
                      <w:szCs w:val="21"/>
                      <w14:textFill>
                        <w14:solidFill>
                          <w14:schemeClr w14:val="tx1"/>
                        </w14:solidFill>
                      </w14:textFill>
                    </w:rPr>
                    <w:t>1.强化土壤污染源头防控。按照《河南省土壤污染源头防控行动实施方案》要求，严格保护未污染土壤，推动污染防治关口前移。加强源头预防，持续动态更新涉镉等重金属行业企业清单并完成整治任务，依法对涉镉等重金属的大气、水环境重点排污单位排放口和周边环境进行定期监测，评估对周边农用地土壤重金属累积性风险，对存在风险采取有效防控措施。完成土壤污染重点监管单位名录更新，并向社会公开。指导土壤污染重点监管单位按照排污许可证规定和标准规范落实控制有毒有害物质排放、土壤污染隐患排查、</w:t>
                  </w:r>
                  <w:r>
                    <w:rPr>
                      <w:color w:val="000000" w:themeColor="text1"/>
                      <w:szCs w:val="21"/>
                      <w14:textFill>
                        <w14:solidFill>
                          <w14:schemeClr w14:val="tx1"/>
                        </w14:solidFill>
                      </w14:textFill>
                    </w:rPr>
                    <w:cr/>
                  </w:r>
                  <w:r>
                    <w:rPr>
                      <w:color w:val="000000" w:themeColor="text1"/>
                      <w:szCs w:val="21"/>
                      <w14:textFill>
                        <w14:solidFill>
                          <w14:schemeClr w14:val="tx1"/>
                        </w14:solidFill>
                      </w14:textFill>
                    </w:rPr>
                    <w:t>行监测等要求。督促土壤污染重点监管单位做好隐患排查问题整改，并按要求将隐患排查报告及相关材料上传至重点监管单位土壤和地下水环境管理信息系统，着力提高隐患排查整改合格率。</w:t>
                  </w:r>
                </w:p>
              </w:tc>
              <w:tc>
                <w:tcPr>
                  <w:tcW w:w="1590" w:type="pct"/>
                  <w:noWrap w:val="0"/>
                  <w:vAlign w:val="center"/>
                </w:tcPr>
                <w:p w14:paraId="114B2373">
                  <w:pPr>
                    <w:keepNext w:val="0"/>
                    <w:keepLines w:val="0"/>
                    <w:widowControl/>
                    <w:suppressLineNumbers w:val="0"/>
                    <w:spacing w:before="0" w:beforeAutospacing="0" w:after="0" w:afterAutospacing="0" w:line="240" w:lineRule="auto"/>
                    <w:ind w:left="0" w:leftChars="0" w:right="0" w:rightChars="0"/>
                    <w:jc w:val="both"/>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项目不属于土壤污染重点监管单位，项目所排废气主要为</w:t>
                  </w: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油烟、</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非甲烷总烃</w:t>
                  </w:r>
                  <w:r>
                    <w:rPr>
                      <w:rFonts w:hint="eastAsia" w:cs="Times New Roman"/>
                      <w:color w:val="000000" w:themeColor="text1"/>
                      <w:sz w:val="21"/>
                      <w:szCs w:val="21"/>
                      <w:highlight w:val="none"/>
                      <w:u w:val="none" w:color="auto"/>
                      <w:lang w:val="en-US" w:eastAsia="zh-CN"/>
                      <w14:textFill>
                        <w14:solidFill>
                          <w14:schemeClr w14:val="tx1"/>
                        </w14:solidFill>
                      </w14:textFill>
                    </w:rPr>
                    <w:t>、</w:t>
                  </w:r>
                  <w:r>
                    <w:rPr>
                      <w:rFonts w:hint="eastAsia"/>
                      <w:color w:val="000000" w:themeColor="text1"/>
                      <w:highlight w:val="none"/>
                      <w:u w:val="none"/>
                      <w14:textFill>
                        <w14:solidFill>
                          <w14:schemeClr w14:val="tx1"/>
                        </w14:solidFill>
                      </w14:textFill>
                    </w:rPr>
                    <w:t>颗粒物、SO</w:t>
                  </w:r>
                  <w:r>
                    <w:rPr>
                      <w:rFonts w:hint="eastAsia"/>
                      <w:color w:val="000000" w:themeColor="text1"/>
                      <w:highlight w:val="none"/>
                      <w:u w:val="none"/>
                      <w:vertAlign w:val="subscript"/>
                      <w14:textFill>
                        <w14:solidFill>
                          <w14:schemeClr w14:val="tx1"/>
                        </w14:solidFill>
                      </w14:textFill>
                    </w:rPr>
                    <w:t>2</w:t>
                  </w:r>
                  <w:r>
                    <w:rPr>
                      <w:rFonts w:hint="eastAsia"/>
                      <w:color w:val="000000" w:themeColor="text1"/>
                      <w:highlight w:val="none"/>
                      <w:u w:val="none"/>
                      <w14:textFill>
                        <w14:solidFill>
                          <w14:schemeClr w14:val="tx1"/>
                        </w14:solidFill>
                      </w14:textFill>
                    </w:rPr>
                    <w:t>、NOx</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，不涉及重金属等有毒有害物质，对周边土壤影响不大。</w:t>
                  </w:r>
                </w:p>
              </w:tc>
              <w:tc>
                <w:tcPr>
                  <w:tcW w:w="487" w:type="pct"/>
                  <w:noWrap w:val="0"/>
                  <w:vAlign w:val="center"/>
                </w:tcPr>
                <w:p w14:paraId="19B00D63">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p>
              </w:tc>
            </w:tr>
            <w:tr w14:paraId="514AAB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3112EDBA">
                  <w:pPr>
                    <w:widowControl/>
                    <w:jc w:val="center"/>
                    <w:rPr>
                      <w:rFonts w:hint="default" w:ascii="Times New Roman" w:hAnsi="Times New Roman" w:eastAsia="宋体" w:cs="Times New Roman"/>
                      <w:color w:val="000000" w:themeColor="text1"/>
                      <w:kern w:val="0"/>
                      <w:sz w:val="21"/>
                      <w:szCs w:val="21"/>
                      <w:highlight w:val="none"/>
                      <w:u w:val="none" w:color="auto"/>
                      <w:lang w:eastAsia="zh-CN" w:bidi="ar"/>
                      <w14:textFill>
                        <w14:solidFill>
                          <w14:schemeClr w14:val="tx1"/>
                        </w14:solidFill>
                      </w14:textFill>
                    </w:rPr>
                  </w:pPr>
                  <w:r>
                    <w:rPr>
                      <w:color w:val="000000" w:themeColor="text1"/>
                      <w:kern w:val="0"/>
                      <w:szCs w:val="21"/>
                      <w:lang w:bidi="ar"/>
                      <w14:textFill>
                        <w14:solidFill>
                          <w14:schemeClr w14:val="tx1"/>
                        </w14:solidFill>
                      </w14:textFill>
                    </w:rPr>
                    <w:t>（二）科学推进地下水污染防控</w:t>
                  </w:r>
                </w:p>
              </w:tc>
              <w:tc>
                <w:tcPr>
                  <w:tcW w:w="2448" w:type="pct"/>
                  <w:noWrap w:val="0"/>
                  <w:vAlign w:val="center"/>
                </w:tcPr>
                <w:p w14:paraId="5B7C79B6">
                  <w:pPr>
                    <w:widowControl/>
                    <w:rPr>
                      <w:rFonts w:hint="default" w:ascii="Times New Roman" w:hAnsi="Times New Roman" w:cs="Times New Roman"/>
                      <w:color w:val="000000" w:themeColor="text1"/>
                      <w:szCs w:val="21"/>
                      <w:u w:val="none" w:color="auto"/>
                      <w:lang w:val="en-US" w:eastAsia="zh-CN"/>
                      <w14:textFill>
                        <w14:solidFill>
                          <w14:schemeClr w14:val="tx1"/>
                        </w14:solidFill>
                      </w14:textFill>
                    </w:rPr>
                  </w:pPr>
                  <w:r>
                    <w:rPr>
                      <w:color w:val="000000" w:themeColor="text1"/>
                      <w:kern w:val="0"/>
                      <w:szCs w:val="21"/>
                      <w:lang w:bidi="ar"/>
                      <w14:textFill>
                        <w14:solidFill>
                          <w14:schemeClr w14:val="tx1"/>
                        </w14:solidFill>
                      </w14:textFill>
                    </w:rPr>
                    <w:t>8.加强地下水污染风险管控。持续加强“十四五”国家地下水考核点位水质管理，高度关注国考点位周边环境状况，开展国考点位周边污染隐患排查，确保国考点位水质总体保持稳定。有序建立并动态更新地下水污染防治重点排污单位名录。</w:t>
                  </w:r>
                </w:p>
              </w:tc>
              <w:tc>
                <w:tcPr>
                  <w:tcW w:w="1590" w:type="pct"/>
                  <w:noWrap w:val="0"/>
                  <w:vAlign w:val="center"/>
                </w:tcPr>
                <w:p w14:paraId="67545BF5">
                  <w:pPr>
                    <w:keepNext w:val="0"/>
                    <w:keepLines w:val="0"/>
                    <w:widowControl/>
                    <w:suppressLineNumbers w:val="0"/>
                    <w:spacing w:before="0" w:beforeAutospacing="0" w:after="0" w:afterAutospacing="0" w:line="240" w:lineRule="auto"/>
                    <w:ind w:left="0" w:leftChars="0" w:right="0" w:rightChars="0"/>
                    <w:jc w:val="both"/>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营运期职工生活污水经化粪池处理后与生产废水混合后经厂区污水处理站处理后，出水水质能够满足《污水综合排放标准》（GB8978-1996）及镇平县第二污水处理厂进水水质指标后经市政污水管网进入镇平县第二污水处理厂进一步处理达到《城镇污水处理厂污染物排放标准》（GB18918-2002）一级A标准后排入赵河。车间地面全部进行硬化，生产车间、危废暂存间、化粪池</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、污水处理站</w:t>
                  </w:r>
                  <w:r>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等经分区防渗处理措施后不会对周围土壤产生不良影响。</w:t>
                  </w:r>
                </w:p>
              </w:tc>
              <w:tc>
                <w:tcPr>
                  <w:tcW w:w="487" w:type="pct"/>
                  <w:noWrap w:val="0"/>
                  <w:vAlign w:val="center"/>
                </w:tcPr>
                <w:p w14:paraId="53B410B0">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相符</w:t>
                  </w:r>
                </w:p>
              </w:tc>
            </w:tr>
            <w:tr w14:paraId="63C0D9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14:paraId="781A1030">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南阳市2025年柴油货车污染治理攻坚战实施方案</w:t>
                  </w:r>
                </w:p>
              </w:tc>
            </w:tr>
            <w:tr w14:paraId="39A036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noWrap w:val="0"/>
                  <w:vAlign w:val="center"/>
                </w:tcPr>
                <w:p w14:paraId="299740FB">
                  <w:pPr>
                    <w:widowControl/>
                    <w:jc w:val="center"/>
                    <w:rPr>
                      <w:rFonts w:hint="default" w:ascii="Times New Roman" w:hAnsi="Times New Roman" w:eastAsia="宋体" w:cs="Times New Roman"/>
                      <w:color w:val="000000" w:themeColor="text1"/>
                      <w:kern w:val="0"/>
                      <w:sz w:val="21"/>
                      <w:szCs w:val="21"/>
                      <w:highlight w:val="none"/>
                      <w:u w:val="none" w:color="auto"/>
                      <w:lang w:eastAsia="zh-CN" w:bidi="ar"/>
                      <w14:textFill>
                        <w14:solidFill>
                          <w14:schemeClr w14:val="tx1"/>
                        </w14:solidFill>
                      </w14:textFill>
                    </w:rPr>
                  </w:pPr>
                  <w:r>
                    <w:rPr>
                      <w:color w:val="000000" w:themeColor="text1"/>
                      <w:kern w:val="0"/>
                      <w:szCs w:val="21"/>
                      <w:lang w:bidi="ar"/>
                      <w14:textFill>
                        <w14:solidFill>
                          <w14:schemeClr w14:val="tx1"/>
                        </w14:solidFill>
                      </w14:textFill>
                    </w:rPr>
                    <w:t>（一）优化调整交通运输结构</w:t>
                  </w:r>
                </w:p>
              </w:tc>
              <w:tc>
                <w:tcPr>
                  <w:tcW w:w="2448" w:type="pct"/>
                  <w:noWrap w:val="0"/>
                  <w:vAlign w:val="center"/>
                </w:tcPr>
                <w:p w14:paraId="42004727">
                  <w:pPr>
                    <w:widowControl/>
                    <w:rPr>
                      <w:rFonts w:hint="eastAsia"/>
                      <w:color w:val="000000" w:themeColor="text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2.提升重点行业清洁运输比例。大宗货物中长距离运输优先采用铁路、水路运输，短距离运输优先采用封闭式皮带廊道或新能源车船。鼓励工矿企业等用车单位通过与运输企业（个人）签订合作协议等方式，推进内部转运车辆和外部运输车辆全部使用新能源货车。探索将清洁运输作为钢铁、火电、有色等行业新改扩建项目审核和监管重点。2025年9月底前，钢铁、水泥企业完成超低排放清洁运输改造。2025年年底前，火电、钢铁、有色、水泥等行业大宗货物清洁运输比例达到80%以上，砂石骨料、耐材、环保绩效A、B级和绩效引领性企业清洁运输比例力争达到80%。</w:t>
                  </w:r>
                </w:p>
              </w:tc>
              <w:tc>
                <w:tcPr>
                  <w:tcW w:w="1590" w:type="pct"/>
                  <w:noWrap w:val="0"/>
                  <w:vAlign w:val="center"/>
                </w:tcPr>
                <w:p w14:paraId="458BEE94">
                  <w:pPr>
                    <w:keepNext w:val="0"/>
                    <w:keepLines w:val="0"/>
                    <w:pageBreakBefore w:val="0"/>
                    <w:widowControl/>
                    <w:kinsoku/>
                    <w:wordWrap/>
                    <w:overflowPunct/>
                    <w:topLinePunct w:val="0"/>
                    <w:autoSpaceDE/>
                    <w:autoSpaceDN/>
                    <w:bidi w:val="0"/>
                    <w:jc w:val="both"/>
                    <w:textAlignment w:val="auto"/>
                    <w:outlineLvl w:val="9"/>
                    <w:rPr>
                      <w:rFonts w:hint="default"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本项目为新建项目，项目</w:t>
                  </w:r>
                  <w:r>
                    <w:rPr>
                      <w:rFonts w:hint="eastAsia"/>
                      <w:color w:val="000000" w:themeColor="text1"/>
                      <w:szCs w:val="21"/>
                      <w:u w:val="none"/>
                      <w:lang w:val="en-US" w:eastAsia="zh-CN"/>
                      <w14:textFill>
                        <w14:solidFill>
                          <w14:schemeClr w14:val="tx1"/>
                        </w14:solidFill>
                      </w14:textFill>
                    </w:rPr>
                    <w:t>货运车辆运输监管严格按照</w:t>
                  </w:r>
                  <w:r>
                    <w:rPr>
                      <w:rFonts w:hint="eastAsia" w:ascii="Times New Roman" w:hAnsi="Times New Roman" w:eastAsia="宋体" w:cs="Times New Roman"/>
                      <w:color w:val="000000" w:themeColor="text1"/>
                      <w:sz w:val="21"/>
                      <w:szCs w:val="21"/>
                      <w:highlight w:val="none"/>
                      <w:u w:val="none" w:color="auto"/>
                      <w:lang w:val="en-US" w:eastAsia="zh-CN"/>
                      <w14:textFill>
                        <w14:solidFill>
                          <w14:schemeClr w14:val="tx1"/>
                        </w14:solidFill>
                      </w14:textFill>
                    </w:rPr>
                    <w:t>按照《河南省重污染天气通用行业应急减排措施制定技术指南》（2024年修订版）中涉PM企业以及涉锅炉/炉窑企业基本要求进行建设</w:t>
                  </w:r>
                  <w:r>
                    <w:rPr>
                      <w:rFonts w:hint="eastAsia" w:cs="Times New Roman"/>
                      <w:color w:val="000000" w:themeColor="text1"/>
                      <w:sz w:val="21"/>
                      <w:szCs w:val="21"/>
                      <w:highlight w:val="none"/>
                      <w:u w:val="none" w:color="auto"/>
                      <w:lang w:val="en-US" w:eastAsia="zh-CN"/>
                      <w14:textFill>
                        <w14:solidFill>
                          <w14:schemeClr w14:val="tx1"/>
                        </w14:solidFill>
                      </w14:textFill>
                    </w:rPr>
                    <w:t>。</w:t>
                  </w:r>
                </w:p>
              </w:tc>
              <w:tc>
                <w:tcPr>
                  <w:tcW w:w="487" w:type="pct"/>
                  <w:noWrap w:val="0"/>
                  <w:vAlign w:val="center"/>
                </w:tcPr>
                <w:p w14:paraId="6224FBF1">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color="auto"/>
                      <w14:textFill>
                        <w14:solidFill>
                          <w14:schemeClr w14:val="tx1"/>
                        </w14:solidFill>
                      </w14:textFill>
                    </w:rPr>
                    <w:t>相符</w:t>
                  </w:r>
                </w:p>
              </w:tc>
            </w:tr>
          </w:tbl>
          <w:p w14:paraId="3647A423">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3.</w:t>
            </w:r>
            <w:r>
              <w:rPr>
                <w:rFonts w:hint="eastAsia"/>
                <w:b/>
                <w:bCs/>
                <w:color w:val="000000" w:themeColor="text1"/>
                <w:sz w:val="24"/>
                <w:lang w:val="en-US" w:eastAsia="zh-CN"/>
                <w14:textFill>
                  <w14:solidFill>
                    <w14:schemeClr w14:val="tx1"/>
                  </w14:solidFill>
                </w14:textFill>
              </w:rPr>
              <w:t>2</w:t>
            </w:r>
            <w:r>
              <w:rPr>
                <w:b/>
                <w:bCs/>
                <w:color w:val="000000" w:themeColor="text1"/>
                <w:sz w:val="24"/>
                <w14:textFill>
                  <w14:solidFill>
                    <w14:schemeClr w14:val="tx1"/>
                  </w14:solidFill>
                </w14:textFill>
              </w:rPr>
              <w:t>、项目与《河南省重污染天气通用行业应急减排措施制定技术指南（202</w:t>
            </w:r>
            <w:r>
              <w:rPr>
                <w:rFonts w:hint="eastAsia"/>
                <w:b/>
                <w:bCs/>
                <w:color w:val="000000" w:themeColor="text1"/>
                <w:sz w:val="24"/>
                <w:lang w:val="en-US" w:eastAsia="zh-CN"/>
                <w14:textFill>
                  <w14:solidFill>
                    <w14:schemeClr w14:val="tx1"/>
                  </w14:solidFill>
                </w14:textFill>
              </w:rPr>
              <w:t>4</w:t>
            </w:r>
            <w:r>
              <w:rPr>
                <w:b/>
                <w:bCs/>
                <w:color w:val="000000" w:themeColor="text1"/>
                <w:sz w:val="24"/>
                <w14:textFill>
                  <w14:solidFill>
                    <w14:schemeClr w14:val="tx1"/>
                  </w14:solidFill>
                </w14:textFill>
              </w:rPr>
              <w:t>年修订版)》的相符性</w:t>
            </w:r>
          </w:p>
          <w:p w14:paraId="3BD897D5">
            <w:pPr>
              <w:pStyle w:val="31"/>
              <w:snapToGrid w:val="0"/>
              <w:ind w:firstLine="480" w:firstLineChars="20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项目属于</w:t>
            </w:r>
            <w:r>
              <w:rPr>
                <w:rFonts w:hint="eastAsia" w:ascii="Times New Roman"/>
                <w:color w:val="000000" w:themeColor="text1"/>
                <w:szCs w:val="24"/>
                <w:lang w:val="en-US" w:eastAsia="zh-CN"/>
                <w14:textFill>
                  <w14:solidFill>
                    <w14:schemeClr w14:val="tx1"/>
                  </w14:solidFill>
                </w14:textFill>
              </w:rPr>
              <w:t>食品</w:t>
            </w:r>
            <w:r>
              <w:rPr>
                <w:rFonts w:hint="eastAsia" w:ascii="Times New Roman"/>
                <w:color w:val="000000" w:themeColor="text1"/>
                <w:szCs w:val="24"/>
                <w14:textFill>
                  <w14:solidFill>
                    <w14:schemeClr w14:val="tx1"/>
                  </w14:solidFill>
                </w14:textFill>
              </w:rPr>
              <w:t>制造业</w:t>
            </w:r>
            <w:r>
              <w:rPr>
                <w:rFonts w:ascii="Times New Roman"/>
                <w:color w:val="000000" w:themeColor="text1"/>
                <w:szCs w:val="24"/>
                <w14:textFill>
                  <w14:solidFill>
                    <w14:schemeClr w14:val="tx1"/>
                  </w14:solidFill>
                </w14:textFill>
              </w:rPr>
              <w:t>，未纳入国家39个和河南省12个重污染天气重点行业分类内，</w:t>
            </w:r>
            <w:r>
              <w:rPr>
                <w:rFonts w:hint="eastAsia" w:ascii="Times New Roman"/>
                <w:color w:val="000000" w:themeColor="text1"/>
                <w:szCs w:val="24"/>
                <w14:textFill>
                  <w14:solidFill>
                    <w14:schemeClr w14:val="tx1"/>
                  </w14:solidFill>
                </w14:textFill>
              </w:rPr>
              <w:t>本项目加热采用蒸汽发生器，属于锅炉。</w:t>
            </w:r>
            <w:r>
              <w:rPr>
                <w:rFonts w:ascii="Times New Roman"/>
                <w:color w:val="000000" w:themeColor="text1"/>
                <w:szCs w:val="24"/>
                <w14:textFill>
                  <w14:solidFill>
                    <w14:schemeClr w14:val="tx1"/>
                  </w14:solidFill>
                </w14:textFill>
              </w:rPr>
              <w:t>本次评价参照《河南省重污染天气通用行业应急减排措施制定技术指南（202</w:t>
            </w:r>
            <w:r>
              <w:rPr>
                <w:rFonts w:hint="eastAsia" w:ascii="Times New Roman"/>
                <w:color w:val="000000" w:themeColor="text1"/>
                <w:szCs w:val="24"/>
                <w14:textFill>
                  <w14:solidFill>
                    <w14:schemeClr w14:val="tx1"/>
                  </w14:solidFill>
                </w14:textFill>
              </w:rPr>
              <w:t>4</w:t>
            </w:r>
            <w:r>
              <w:rPr>
                <w:rFonts w:ascii="Times New Roman"/>
                <w:color w:val="000000" w:themeColor="text1"/>
                <w:szCs w:val="24"/>
                <w14:textFill>
                  <w14:solidFill>
                    <w14:schemeClr w14:val="tx1"/>
                  </w14:solidFill>
                </w14:textFill>
              </w:rPr>
              <w:t>年修订版）》通用行业相关要求进行建设运行，以减少营运期大气环境影响，具体比对分析内容见下表。</w:t>
            </w:r>
          </w:p>
          <w:p w14:paraId="579791EA">
            <w:pPr>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lang w:val="en-US" w:eastAsia="zh-CN"/>
                <w14:textFill>
                  <w14:solidFill>
                    <w14:schemeClr w14:val="tx1"/>
                  </w14:solidFill>
                </w14:textFill>
              </w:rPr>
              <w:t>5</w:t>
            </w:r>
            <w:r>
              <w:rPr>
                <w:b/>
                <w:color w:val="000000" w:themeColor="text1"/>
                <w:sz w:val="24"/>
                <w14:textFill>
                  <w14:solidFill>
                    <w14:schemeClr w14:val="tx1"/>
                  </w14:solidFill>
                </w14:textFill>
              </w:rPr>
              <w:t xml:space="preserve">  项目相符性分析</w:t>
            </w:r>
            <w:r>
              <w:rPr>
                <w:rFonts w:hint="eastAsia"/>
                <w:b/>
                <w:color w:val="000000" w:themeColor="text1"/>
                <w:sz w:val="24"/>
                <w14:textFill>
                  <w14:solidFill>
                    <w14:schemeClr w14:val="tx1"/>
                  </w14:solidFill>
                </w14:textFill>
              </w:rPr>
              <w:t>一览</w:t>
            </w:r>
            <w:r>
              <w:rPr>
                <w:b/>
                <w:color w:val="000000" w:themeColor="text1"/>
                <w:sz w:val="24"/>
                <w14:textFill>
                  <w14:solidFill>
                    <w14:schemeClr w14:val="tx1"/>
                  </w14:solidFill>
                </w14:textFill>
              </w:rPr>
              <w:t>表</w:t>
            </w:r>
          </w:p>
          <w:tbl>
            <w:tblPr>
              <w:tblStyle w:val="20"/>
              <w:tblW w:w="495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60"/>
              <w:gridCol w:w="654"/>
              <w:gridCol w:w="3256"/>
              <w:gridCol w:w="2986"/>
              <w:gridCol w:w="877"/>
            </w:tblGrid>
            <w:tr w14:paraId="1BCB05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54" w:hRule="atLeast"/>
                <w:tblHeader/>
                <w:jc w:val="center"/>
              </w:trPr>
              <w:tc>
                <w:tcPr>
                  <w:tcW w:w="676" w:type="pct"/>
                  <w:gridSpan w:val="2"/>
                  <w:vAlign w:val="center"/>
                </w:tcPr>
                <w:p w14:paraId="3438F6AE">
                  <w:pPr>
                    <w:adjustRightInd w:val="0"/>
                    <w:snapToGrid w:val="0"/>
                    <w:jc w:val="center"/>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14:textFill>
                        <w14:solidFill>
                          <w14:schemeClr w14:val="tx1"/>
                        </w14:solidFill>
                      </w14:textFill>
                    </w:rPr>
                    <w:t>引领性指标</w:t>
                  </w:r>
                </w:p>
              </w:tc>
              <w:tc>
                <w:tcPr>
                  <w:tcW w:w="1977" w:type="pct"/>
                  <w:vAlign w:val="center"/>
                </w:tcPr>
                <w:p w14:paraId="140D1AA9">
                  <w:pPr>
                    <w:adjustRightInd w:val="0"/>
                    <w:snapToGrid w:val="0"/>
                    <w:jc w:val="center"/>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14:textFill>
                        <w14:solidFill>
                          <w14:schemeClr w14:val="tx1"/>
                        </w14:solidFill>
                      </w14:textFill>
                    </w:rPr>
                    <w:t>通用涉PM企业</w:t>
                  </w:r>
                </w:p>
              </w:tc>
              <w:tc>
                <w:tcPr>
                  <w:tcW w:w="1813" w:type="pct"/>
                  <w:vAlign w:val="center"/>
                </w:tcPr>
                <w:p w14:paraId="5C59144D">
                  <w:pPr>
                    <w:adjustRightInd w:val="0"/>
                    <w:snapToGrid w:val="0"/>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企业对标情况</w:t>
                  </w:r>
                </w:p>
              </w:tc>
              <w:tc>
                <w:tcPr>
                  <w:tcW w:w="532" w:type="pct"/>
                  <w:vAlign w:val="center"/>
                </w:tcPr>
                <w:p w14:paraId="24704448">
                  <w:pPr>
                    <w:adjustRightInd w:val="0"/>
                    <w:snapToGrid w:val="0"/>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相符性</w:t>
                  </w:r>
                </w:p>
              </w:tc>
            </w:tr>
            <w:tr w14:paraId="3527AD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1D55CC8F">
                  <w:pPr>
                    <w:widowControl/>
                    <w:jc w:val="center"/>
                    <w:rPr>
                      <w:rFonts w:ascii="Times New Roman" w:hAnsi="Times New Roman" w:eastAsia="宋体" w:cs="Times New Roman"/>
                      <w:i w:val="0"/>
                      <w:iCs w:val="0"/>
                      <w:color w:val="000000" w:themeColor="text1"/>
                      <w:kern w:val="0"/>
                      <w:sz w:val="21"/>
                      <w:szCs w:val="21"/>
                      <w:highlight w:val="none"/>
                      <w:u w:val="none"/>
                      <w:lang w:val="en-US" w:eastAsia="zh-CN" w:bidi="ar-SA"/>
                      <w14:textFill>
                        <w14:solidFill>
                          <w14:schemeClr w14:val="tx1"/>
                        </w14:solidFill>
                      </w14:textFill>
                    </w:rPr>
                  </w:pPr>
                  <w:r>
                    <w:rPr>
                      <w:i w:val="0"/>
                      <w:iCs w:val="0"/>
                      <w:color w:val="000000" w:themeColor="text1"/>
                      <w:kern w:val="0"/>
                      <w:szCs w:val="21"/>
                      <w:highlight w:val="none"/>
                      <w:u w:val="none"/>
                      <w14:textFill>
                        <w14:solidFill>
                          <w14:schemeClr w14:val="tx1"/>
                        </w14:solidFill>
                      </w14:textFill>
                    </w:rPr>
                    <w:t>生产工艺和装备</w:t>
                  </w:r>
                </w:p>
              </w:tc>
              <w:tc>
                <w:tcPr>
                  <w:tcW w:w="1977" w:type="pct"/>
                  <w:shd w:val="clear" w:color="auto" w:fill="auto"/>
                  <w:vAlign w:val="center"/>
                </w:tcPr>
                <w:p w14:paraId="352CC848">
                  <w:pPr>
                    <w:widowControl/>
                    <w:jc w:val="both"/>
                    <w:rPr>
                      <w:rFonts w:ascii="Times New Roman" w:hAnsi="Times New Roman" w:eastAsia="宋体" w:cs="Times New Roman"/>
                      <w:i w:val="0"/>
                      <w:iCs w:val="0"/>
                      <w:color w:val="000000" w:themeColor="text1"/>
                      <w:kern w:val="0"/>
                      <w:sz w:val="21"/>
                      <w:szCs w:val="21"/>
                      <w:highlight w:val="none"/>
                      <w:u w:val="none"/>
                      <w:lang w:val="en-US" w:eastAsia="zh-CN" w:bidi="ar-SA"/>
                      <w14:textFill>
                        <w14:solidFill>
                          <w14:schemeClr w14:val="tx1"/>
                        </w14:solidFill>
                      </w14:textFill>
                    </w:rPr>
                  </w:pPr>
                  <w:r>
                    <w:rPr>
                      <w:i w:val="0"/>
                      <w:iCs w:val="0"/>
                      <w:color w:val="000000" w:themeColor="text1"/>
                      <w:kern w:val="0"/>
                      <w:szCs w:val="21"/>
                      <w:highlight w:val="none"/>
                      <w:u w:val="none"/>
                      <w14:textFill>
                        <w14:solidFill>
                          <w14:schemeClr w14:val="tx1"/>
                        </w14:solidFill>
                      </w14:textFill>
                    </w:rPr>
                    <w:t>不属于《产业结构调整指导目录（2024年版）》淘汰类，不属于省级和市级政府部门明确列入已经限期淘汰类项目。</w:t>
                  </w:r>
                </w:p>
              </w:tc>
              <w:tc>
                <w:tcPr>
                  <w:tcW w:w="1813" w:type="pct"/>
                  <w:vAlign w:val="center"/>
                </w:tcPr>
                <w:p w14:paraId="109B0727">
                  <w:pPr>
                    <w:pStyle w:val="10"/>
                    <w:spacing w:line="240" w:lineRule="auto"/>
                    <w:ind w:left="0" w:right="0"/>
                    <w:rPr>
                      <w:i w:val="0"/>
                      <w:iCs w:val="0"/>
                      <w:color w:val="000000" w:themeColor="text1"/>
                      <w:sz w:val="21"/>
                      <w:szCs w:val="21"/>
                      <w:highlight w:val="none"/>
                      <w14:textFill>
                        <w14:solidFill>
                          <w14:schemeClr w14:val="tx1"/>
                        </w14:solidFill>
                      </w14:textFill>
                    </w:rPr>
                  </w:pPr>
                  <w:r>
                    <w:rPr>
                      <w:rFonts w:hint="eastAsia"/>
                      <w:i w:val="0"/>
                      <w:iCs w:val="0"/>
                      <w:color w:val="000000" w:themeColor="text1"/>
                      <w:sz w:val="21"/>
                      <w:szCs w:val="21"/>
                      <w:highlight w:val="none"/>
                      <w14:textFill>
                        <w14:solidFill>
                          <w14:schemeClr w14:val="tx1"/>
                        </w14:solidFill>
                      </w14:textFill>
                    </w:rPr>
                    <w:t>对比《产业结构调整指导目录（2024年版）》，属于</w:t>
                  </w:r>
                  <w:r>
                    <w:rPr>
                      <w:rFonts w:hint="eastAsia"/>
                      <w:i w:val="0"/>
                      <w:iCs w:val="0"/>
                      <w:color w:val="000000" w:themeColor="text1"/>
                      <w:sz w:val="21"/>
                      <w:szCs w:val="21"/>
                      <w:highlight w:val="none"/>
                      <w:lang w:val="en-US" w:eastAsia="zh-CN"/>
                      <w14:textFill>
                        <w14:solidFill>
                          <w14:schemeClr w14:val="tx1"/>
                        </w14:solidFill>
                      </w14:textFill>
                    </w:rPr>
                    <w:t>鼓励</w:t>
                  </w:r>
                  <w:r>
                    <w:rPr>
                      <w:rFonts w:hint="eastAsia"/>
                      <w:i w:val="0"/>
                      <w:iCs w:val="0"/>
                      <w:color w:val="000000" w:themeColor="text1"/>
                      <w:sz w:val="21"/>
                      <w:szCs w:val="21"/>
                      <w:highlight w:val="none"/>
                      <w14:textFill>
                        <w14:solidFill>
                          <w14:schemeClr w14:val="tx1"/>
                        </w14:solidFill>
                      </w14:textFill>
                    </w:rPr>
                    <w:t>类，且不属于省级和市级政府部门明确列入已经限期淘汰类项目。因此符合产业政策要求。</w:t>
                  </w:r>
                </w:p>
              </w:tc>
              <w:tc>
                <w:tcPr>
                  <w:tcW w:w="532" w:type="pct"/>
                  <w:vAlign w:val="center"/>
                </w:tcPr>
                <w:p w14:paraId="26C4638D">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683A94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014B01DA">
                  <w:pPr>
                    <w:keepNext w:val="0"/>
                    <w:keepLines w:val="0"/>
                    <w:pageBreakBefore w:val="0"/>
                    <w:widowControl/>
                    <w:kinsoku/>
                    <w:wordWrap/>
                    <w:overflowPunct/>
                    <w:topLinePunct w:val="0"/>
                    <w:bidi w:val="0"/>
                    <w:snapToGrid/>
                    <w:spacing w:line="240" w:lineRule="auto"/>
                    <w:jc w:val="both"/>
                    <w:textAlignment w:val="auto"/>
                    <w:rPr>
                      <w:rFonts w:ascii="Times New Roman" w:hAnsi="Times New Roman" w:eastAsia="宋体" w:cs="Times New Roman"/>
                      <w:i w:val="0"/>
                      <w:iCs w:val="0"/>
                      <w:color w:val="000000" w:themeColor="text1"/>
                      <w:kern w:val="0"/>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物料装卸</w:t>
                  </w:r>
                </w:p>
              </w:tc>
              <w:tc>
                <w:tcPr>
                  <w:tcW w:w="1977" w:type="pct"/>
                  <w:shd w:val="clear" w:color="auto" w:fill="auto"/>
                  <w:vAlign w:val="center"/>
                </w:tcPr>
                <w:p w14:paraId="5D42186C">
                  <w:pPr>
                    <w:pStyle w:val="10"/>
                    <w:keepNext w:val="0"/>
                    <w:keepLines w:val="0"/>
                    <w:pageBreakBefore w:val="0"/>
                    <w:kinsoku/>
                    <w:wordWrap/>
                    <w:overflowPunct/>
                    <w:topLinePunct w:val="0"/>
                    <w:bidi w:val="0"/>
                    <w:snapToGrid/>
                    <w:spacing w:before="0" w:beforeAutospacing="0" w:after="0" w:line="240" w:lineRule="auto"/>
                    <w:ind w:left="0" w:leftChars="0" w:right="0" w:rightChars="0"/>
                    <w:jc w:val="both"/>
                    <w:textAlignment w:val="auto"/>
                    <w:rPr>
                      <w:i w:val="0"/>
                      <w:iCs w:val="0"/>
                      <w:color w:val="000000" w:themeColor="text1"/>
                      <w:sz w:val="21"/>
                      <w:szCs w:val="21"/>
                      <w:highlight w:val="none"/>
                      <w:u w:val="none"/>
                      <w14:textFill>
                        <w14:solidFill>
                          <w14:schemeClr w14:val="tx1"/>
                        </w14:solidFill>
                      </w14:textFill>
                    </w:rPr>
                  </w:pPr>
                  <w:r>
                    <w:rPr>
                      <w:i w:val="0"/>
                      <w:iCs w:val="0"/>
                      <w:color w:val="000000" w:themeColor="text1"/>
                      <w:sz w:val="21"/>
                      <w:szCs w:val="21"/>
                      <w:highlight w:val="none"/>
                      <w:u w:val="none"/>
                      <w14:textFill>
                        <w14:solidFill>
                          <w14:schemeClr w14:val="tx1"/>
                        </w14:solidFill>
                      </w14:textFill>
                    </w:rPr>
                    <w:t>1.车辆运输的物料应采取封闭措施。粉状、粒状、块状散装物料在封闭料场内装卸，装卸过程中产尘点应设置集气除尘装置，料堆应采取有效抑尘措施；</w:t>
                  </w:r>
                </w:p>
                <w:p w14:paraId="4D4575C2">
                  <w:pPr>
                    <w:keepNext w:val="0"/>
                    <w:keepLines w:val="0"/>
                    <w:pageBreakBefore w:val="0"/>
                    <w:widowControl/>
                    <w:kinsoku/>
                    <w:wordWrap/>
                    <w:overflowPunct/>
                    <w:topLinePunct w:val="0"/>
                    <w:bidi w:val="0"/>
                    <w:snapToGrid/>
                    <w:spacing w:line="240" w:lineRule="auto"/>
                    <w:jc w:val="both"/>
                    <w:textAlignment w:val="auto"/>
                    <w:rPr>
                      <w:rFonts w:ascii="Times New Roman" w:hAnsi="Times New Roman" w:eastAsia="宋体" w:cs="Times New Roman"/>
                      <w:i w:val="0"/>
                      <w:iCs w:val="0"/>
                      <w:color w:val="000000" w:themeColor="text1"/>
                      <w:kern w:val="0"/>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2.不易产尘的袋装物料宜在料棚中装卸，如需露天装卸应采取防止破袋及粉尘外逸措施。</w:t>
                  </w:r>
                </w:p>
              </w:tc>
              <w:tc>
                <w:tcPr>
                  <w:tcW w:w="1813" w:type="pct"/>
                  <w:vAlign w:val="center"/>
                </w:tcPr>
                <w:p w14:paraId="2CF26587">
                  <w:pPr>
                    <w:pStyle w:val="10"/>
                    <w:spacing w:line="240" w:lineRule="auto"/>
                    <w:ind w:left="0" w:right="0"/>
                    <w:jc w:val="both"/>
                    <w:rPr>
                      <w:i w:val="0"/>
                      <w:iCs w:val="0"/>
                      <w:color w:val="000000" w:themeColor="text1"/>
                      <w:sz w:val="21"/>
                      <w:szCs w:val="21"/>
                      <w:highlight w:val="none"/>
                      <w14:textFill>
                        <w14:solidFill>
                          <w14:schemeClr w14:val="tx1"/>
                        </w14:solidFill>
                      </w14:textFill>
                    </w:rPr>
                  </w:pPr>
                  <w:r>
                    <w:rPr>
                      <w:rFonts w:hint="eastAsia"/>
                      <w:i w:val="0"/>
                      <w:iCs w:val="0"/>
                      <w:color w:val="000000" w:themeColor="text1"/>
                      <w:sz w:val="21"/>
                      <w:szCs w:val="21"/>
                      <w:highlight w:val="none"/>
                      <w14:textFill>
                        <w14:solidFill>
                          <w14:schemeClr w14:val="tx1"/>
                        </w14:solidFill>
                      </w14:textFill>
                    </w:rPr>
                    <w:t>项目使用原料主要为</w:t>
                  </w:r>
                  <w:r>
                    <w:rPr>
                      <w:rFonts w:hint="eastAsia"/>
                      <w:i w:val="0"/>
                      <w:iCs w:val="0"/>
                      <w:color w:val="000000" w:themeColor="text1"/>
                      <w:sz w:val="21"/>
                      <w:szCs w:val="21"/>
                      <w:highlight w:val="none"/>
                      <w:lang w:val="en-US" w:eastAsia="zh-CN"/>
                      <w14:textFill>
                        <w14:solidFill>
                          <w14:schemeClr w14:val="tx1"/>
                        </w14:solidFill>
                      </w14:textFill>
                    </w:rPr>
                    <w:t>面粉等</w:t>
                  </w:r>
                  <w:r>
                    <w:rPr>
                      <w:i w:val="0"/>
                      <w:iCs w:val="0"/>
                      <w:color w:val="000000" w:themeColor="text1"/>
                      <w:sz w:val="21"/>
                      <w:szCs w:val="21"/>
                      <w:highlight w:val="none"/>
                      <w14:textFill>
                        <w14:solidFill>
                          <w14:schemeClr w14:val="tx1"/>
                        </w14:solidFill>
                      </w14:textFill>
                    </w:rPr>
                    <w:t>，</w:t>
                  </w:r>
                  <w:r>
                    <w:rPr>
                      <w:rFonts w:hint="eastAsia"/>
                      <w:i w:val="0"/>
                      <w:iCs w:val="0"/>
                      <w:color w:val="000000" w:themeColor="text1"/>
                      <w:sz w:val="21"/>
                      <w:szCs w:val="21"/>
                      <w:highlight w:val="none"/>
                      <w14:textFill>
                        <w14:solidFill>
                          <w14:schemeClr w14:val="tx1"/>
                        </w14:solidFill>
                      </w14:textFill>
                    </w:rPr>
                    <w:t>项目所使用的原料均为袋装，因此项目物料装卸在</w:t>
                  </w:r>
                  <w:r>
                    <w:rPr>
                      <w:i w:val="0"/>
                      <w:iCs w:val="0"/>
                      <w:color w:val="000000" w:themeColor="text1"/>
                      <w:sz w:val="21"/>
                      <w:szCs w:val="21"/>
                      <w:highlight w:val="none"/>
                      <w14:textFill>
                        <w14:solidFill>
                          <w14:schemeClr w14:val="tx1"/>
                        </w14:solidFill>
                      </w14:textFill>
                    </w:rPr>
                    <w:t>封闭生产车间内</w:t>
                  </w:r>
                  <w:r>
                    <w:rPr>
                      <w:rFonts w:hint="eastAsia"/>
                      <w:i w:val="0"/>
                      <w:iCs w:val="0"/>
                      <w:color w:val="000000" w:themeColor="text1"/>
                      <w:sz w:val="21"/>
                      <w:szCs w:val="21"/>
                      <w:highlight w:val="none"/>
                      <w14:textFill>
                        <w14:solidFill>
                          <w14:schemeClr w14:val="tx1"/>
                        </w14:solidFill>
                      </w14:textFill>
                    </w:rPr>
                    <w:t>进行</w:t>
                  </w:r>
                  <w:commentRangeStart w:id="11"/>
                  <w:r>
                    <w:rPr>
                      <w:i w:val="0"/>
                      <w:iCs w:val="0"/>
                      <w:color w:val="000000" w:themeColor="text1"/>
                      <w:sz w:val="21"/>
                      <w:szCs w:val="21"/>
                      <w:highlight w:val="none"/>
                      <w14:textFill>
                        <w14:solidFill>
                          <w14:schemeClr w14:val="tx1"/>
                        </w14:solidFill>
                      </w14:textFill>
                    </w:rPr>
                    <w:t>。</w:t>
                  </w:r>
                  <w:commentRangeEnd w:id="11"/>
                  <w:r>
                    <w:commentReference w:id="11"/>
                  </w:r>
                </w:p>
              </w:tc>
              <w:tc>
                <w:tcPr>
                  <w:tcW w:w="532" w:type="pct"/>
                  <w:vAlign w:val="center"/>
                </w:tcPr>
                <w:p w14:paraId="7CA64DC4">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176EA8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0F072CC2">
                  <w:pPr>
                    <w:keepNext w:val="0"/>
                    <w:keepLines w:val="0"/>
                    <w:pageBreakBefore w:val="0"/>
                    <w:widowControl w:val="0"/>
                    <w:kinsoku/>
                    <w:wordWrap/>
                    <w:overflowPunct/>
                    <w:topLinePunct w:val="0"/>
                    <w:bidi w:val="0"/>
                    <w:snapToGrid/>
                    <w:spacing w:line="240" w:lineRule="auto"/>
                    <w:jc w:val="center"/>
                    <w:textAlignment w:val="auto"/>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物料储存</w:t>
                  </w:r>
                </w:p>
              </w:tc>
              <w:tc>
                <w:tcPr>
                  <w:tcW w:w="1977" w:type="pct"/>
                  <w:shd w:val="clear" w:color="auto" w:fill="auto"/>
                  <w:vAlign w:val="center"/>
                </w:tcPr>
                <w:p w14:paraId="27ABCD04">
                  <w:pPr>
                    <w:pStyle w:val="10"/>
                    <w:keepNext w:val="0"/>
                    <w:keepLines w:val="0"/>
                    <w:pageBreakBefore w:val="0"/>
                    <w:widowControl w:val="0"/>
                    <w:numPr>
                      <w:ilvl w:val="0"/>
                      <w:numId w:val="0"/>
                    </w:numPr>
                    <w:kinsoku/>
                    <w:wordWrap/>
                    <w:overflowPunct/>
                    <w:topLinePunct w:val="0"/>
                    <w:bidi w:val="0"/>
                    <w:snapToGrid/>
                    <w:spacing w:before="0" w:beforeAutospacing="0" w:after="0" w:line="240" w:lineRule="auto"/>
                    <w:ind w:right="0" w:rightChars="0"/>
                    <w:jc w:val="both"/>
                    <w:textAlignment w:val="auto"/>
                    <w:rPr>
                      <w:i w:val="0"/>
                      <w:iCs w:val="0"/>
                      <w:color w:val="000000" w:themeColor="text1"/>
                      <w:sz w:val="21"/>
                      <w:szCs w:val="21"/>
                      <w:highlight w:val="none"/>
                      <w:u w:val="none"/>
                      <w14:textFill>
                        <w14:solidFill>
                          <w14:schemeClr w14:val="tx1"/>
                        </w14:solidFill>
                      </w14:textFill>
                    </w:rPr>
                  </w:pPr>
                  <w:r>
                    <w:rPr>
                      <w:rFonts w:hint="eastAsia"/>
                      <w:i w:val="0"/>
                      <w:iCs w:val="0"/>
                      <w:color w:val="000000" w:themeColor="text1"/>
                      <w:sz w:val="21"/>
                      <w:szCs w:val="21"/>
                      <w:highlight w:val="none"/>
                      <w:u w:val="none"/>
                      <w:lang w:val="en-US" w:eastAsia="zh-CN"/>
                      <w14:textFill>
                        <w14:solidFill>
                          <w14:schemeClr w14:val="tx1"/>
                        </w14:solidFill>
                      </w14:textFill>
                    </w:rPr>
                    <w:t>1.</w:t>
                  </w:r>
                  <w:r>
                    <w:rPr>
                      <w:i w:val="0"/>
                      <w:iCs w:val="0"/>
                      <w:color w:val="000000" w:themeColor="text1"/>
                      <w:sz w:val="21"/>
                      <w:szCs w:val="21"/>
                      <w:highlight w:val="none"/>
                      <w:u w:val="none"/>
                      <w14:textFill>
                        <w14:solidFill>
                          <w14:schemeClr w14:val="tx1"/>
                        </w14:solidFill>
                      </w14:textFill>
                    </w:rPr>
                    <w:t>一般物料。粉状物料应储存于密闭/封闭料仓中；粒状、块状物料应储存于封闭料场中，并采取喷淋、清扫或其他有效抑尘措施；袋装物料应储存于封闭/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p>
                <w:p w14:paraId="56B2D27C">
                  <w:pPr>
                    <w:pStyle w:val="10"/>
                    <w:keepNext w:val="0"/>
                    <w:keepLines w:val="0"/>
                    <w:pageBreakBefore w:val="0"/>
                    <w:widowControl w:val="0"/>
                    <w:numPr>
                      <w:ilvl w:val="0"/>
                      <w:numId w:val="0"/>
                    </w:numPr>
                    <w:kinsoku/>
                    <w:wordWrap/>
                    <w:overflowPunct/>
                    <w:topLinePunct w:val="0"/>
                    <w:bidi w:val="0"/>
                    <w:snapToGrid/>
                    <w:spacing w:before="0" w:beforeAutospacing="0" w:after="0" w:line="240" w:lineRule="auto"/>
                    <w:ind w:right="0" w:rightChars="0"/>
                    <w:jc w:val="both"/>
                    <w:textAlignment w:val="auto"/>
                    <w:rPr>
                      <w:i w:val="0"/>
                      <w:iCs w:val="0"/>
                      <w:color w:val="000000" w:themeColor="text1"/>
                      <w:kern w:val="2"/>
                      <w:sz w:val="21"/>
                      <w:szCs w:val="21"/>
                      <w:highlight w:val="none"/>
                      <w:u w:val="none"/>
                      <w14:textFill>
                        <w14:solidFill>
                          <w14:schemeClr w14:val="tx1"/>
                        </w14:solidFill>
                      </w14:textFill>
                    </w:rPr>
                  </w:pPr>
                  <w:r>
                    <w:rPr>
                      <w:rFonts w:hint="eastAsia"/>
                      <w:i w:val="0"/>
                      <w:iCs w:val="0"/>
                      <w:color w:val="000000" w:themeColor="text1"/>
                      <w:sz w:val="21"/>
                      <w:szCs w:val="21"/>
                      <w:highlight w:val="none"/>
                      <w:u w:val="none"/>
                      <w:lang w:val="en-US" w:eastAsia="zh-CN"/>
                      <w14:textFill>
                        <w14:solidFill>
                          <w14:schemeClr w14:val="tx1"/>
                        </w14:solidFill>
                      </w14:textFill>
                    </w:rPr>
                    <w:t>2.</w:t>
                  </w:r>
                  <w:r>
                    <w:rPr>
                      <w:i w:val="0"/>
                      <w:iCs w:val="0"/>
                      <w:color w:val="000000" w:themeColor="text1"/>
                      <w:sz w:val="21"/>
                      <w:szCs w:val="21"/>
                      <w:highlight w:val="none"/>
                      <w:u w:val="none"/>
                      <w14:textFill>
                        <w14:solidFill>
                          <w14:schemeClr w14:val="tx1"/>
                        </w14:solidFill>
                      </w14:textFill>
                    </w:rPr>
                    <w:t>危险废物。应有符合规范要求的危险废物储存间，危险废物储存间门口应张贴标准规范的危险废物标识和危废信息板，建立台账并挂于危废间内，</w:t>
                  </w:r>
                  <w:commentRangeStart w:id="12"/>
                  <w:r>
                    <w:rPr>
                      <w:i w:val="0"/>
                      <w:iCs w:val="0"/>
                      <w:color w:val="000000" w:themeColor="text1"/>
                      <w:sz w:val="21"/>
                      <w:szCs w:val="21"/>
                      <w:highlight w:val="none"/>
                      <w:u w:val="none"/>
                      <w14:textFill>
                        <w14:solidFill>
                          <w14:schemeClr w14:val="tx1"/>
                        </w14:solidFill>
                      </w14:textFill>
                    </w:rPr>
                    <w:t>危险废物管理台账和危险废物转移情况信息表保存5年以上</w:t>
                  </w:r>
                  <w:commentRangeEnd w:id="12"/>
                  <w:r>
                    <w:commentReference w:id="12"/>
                  </w:r>
                  <w:r>
                    <w:rPr>
                      <w:i w:val="0"/>
                      <w:iCs w:val="0"/>
                      <w:color w:val="000000" w:themeColor="text1"/>
                      <w:sz w:val="21"/>
                      <w:szCs w:val="21"/>
                      <w:highlight w:val="none"/>
                      <w:u w:val="none"/>
                      <w14:textFill>
                        <w14:solidFill>
                          <w14:schemeClr w14:val="tx1"/>
                        </w14:solidFill>
                      </w14:textFill>
                    </w:rPr>
                    <w:t>。危废间内禁止存放除危险废物和应急工具外的其他物品。涉及大气污染物排放的，应设置对应污染治理设施。</w:t>
                  </w:r>
                </w:p>
              </w:tc>
              <w:tc>
                <w:tcPr>
                  <w:tcW w:w="1813" w:type="pct"/>
                  <w:vAlign w:val="center"/>
                </w:tcPr>
                <w:p w14:paraId="13365EDB">
                  <w:pPr>
                    <w:pStyle w:val="10"/>
                    <w:spacing w:line="240" w:lineRule="auto"/>
                    <w:ind w:left="0" w:right="0"/>
                    <w:rPr>
                      <w:i w:val="0"/>
                      <w:iCs w:val="0"/>
                      <w:color w:val="000000" w:themeColor="text1"/>
                      <w:sz w:val="21"/>
                      <w:szCs w:val="21"/>
                      <w:highlight w:val="none"/>
                      <w14:textFill>
                        <w14:solidFill>
                          <w14:schemeClr w14:val="tx1"/>
                        </w14:solidFill>
                      </w14:textFill>
                    </w:rPr>
                  </w:pPr>
                  <w:r>
                    <w:rPr>
                      <w:rFonts w:hint="eastAsia"/>
                      <w:i w:val="0"/>
                      <w:iCs w:val="0"/>
                      <w:color w:val="000000" w:themeColor="text1"/>
                      <w:sz w:val="21"/>
                      <w:szCs w:val="21"/>
                      <w:highlight w:val="none"/>
                      <w14:textFill>
                        <w14:solidFill>
                          <w14:schemeClr w14:val="tx1"/>
                        </w14:solidFill>
                      </w14:textFill>
                    </w:rPr>
                    <w:t>1.项目所使用的粉状原料均袋装储存于密闭车间内，</w:t>
                  </w:r>
                  <w:r>
                    <w:rPr>
                      <w:i w:val="0"/>
                      <w:iCs w:val="0"/>
                      <w:color w:val="000000" w:themeColor="text1"/>
                      <w:sz w:val="21"/>
                      <w:szCs w:val="21"/>
                      <w:highlight w:val="none"/>
                      <w14:textFill>
                        <w14:solidFill>
                          <w14:schemeClr w14:val="tx1"/>
                        </w14:solidFill>
                      </w14:textFill>
                    </w:rPr>
                    <w:t>本项目生产车间为封闭钢结构，地面全部进行硬化处理，原料堆放于封闭生产车间原料区内。</w:t>
                  </w:r>
                </w:p>
                <w:p w14:paraId="4810E23D">
                  <w:pPr>
                    <w:pStyle w:val="10"/>
                    <w:spacing w:line="240" w:lineRule="auto"/>
                    <w:ind w:left="0" w:right="0"/>
                    <w:rPr>
                      <w:i w:val="0"/>
                      <w:iCs w:val="0"/>
                      <w:color w:val="000000" w:themeColor="text1"/>
                      <w:sz w:val="21"/>
                      <w:szCs w:val="21"/>
                      <w:highlight w:val="none"/>
                      <w14:textFill>
                        <w14:solidFill>
                          <w14:schemeClr w14:val="tx1"/>
                        </w14:solidFill>
                      </w14:textFill>
                    </w:rPr>
                  </w:pPr>
                  <w:r>
                    <w:rPr>
                      <w:rFonts w:hint="eastAsia"/>
                      <w:i w:val="0"/>
                      <w:iCs w:val="0"/>
                      <w:color w:val="000000" w:themeColor="text1"/>
                      <w:sz w:val="21"/>
                      <w:szCs w:val="21"/>
                      <w:highlight w:val="none"/>
                      <w14:textFill>
                        <w14:solidFill>
                          <w14:schemeClr w14:val="tx1"/>
                        </w14:solidFill>
                      </w14:textFill>
                    </w:rPr>
                    <w:t>2.</w:t>
                  </w:r>
                  <w:r>
                    <w:rPr>
                      <w:i w:val="0"/>
                      <w:iCs w:val="0"/>
                      <w:color w:val="000000" w:themeColor="text1"/>
                      <w:sz w:val="21"/>
                      <w:szCs w:val="21"/>
                      <w:highlight w:val="none"/>
                      <w14:textFill>
                        <w14:solidFill>
                          <w14:schemeClr w14:val="tx1"/>
                        </w14:solidFill>
                      </w14:textFill>
                    </w:rPr>
                    <w:t>本项目营运期危险废物集中收集于符合规范要求的危废暂存间内，危险废物储存间门口张贴标准规范的危险废物标识和危废信息板，建立台账并挂于危废间内，危险废物的记录和货单保存</w:t>
                  </w:r>
                  <w:commentRangeStart w:id="13"/>
                  <w:r>
                    <w:rPr>
                      <w:i w:val="0"/>
                      <w:iCs w:val="0"/>
                      <w:color w:val="000000" w:themeColor="text1"/>
                      <w:sz w:val="21"/>
                      <w:szCs w:val="21"/>
                      <w:highlight w:val="none"/>
                      <w14:textFill>
                        <w14:solidFill>
                          <w14:schemeClr w14:val="tx1"/>
                        </w14:solidFill>
                      </w14:textFill>
                    </w:rPr>
                    <w:t>3</w:t>
                  </w:r>
                  <w:commentRangeEnd w:id="13"/>
                  <w:r>
                    <w:commentReference w:id="13"/>
                  </w:r>
                  <w:r>
                    <w:rPr>
                      <w:i w:val="0"/>
                      <w:iCs w:val="0"/>
                      <w:color w:val="000000" w:themeColor="text1"/>
                      <w:sz w:val="21"/>
                      <w:szCs w:val="21"/>
                      <w:highlight w:val="none"/>
                      <w14:textFill>
                        <w14:solidFill>
                          <w14:schemeClr w14:val="tx1"/>
                        </w14:solidFill>
                      </w14:textFill>
                    </w:rPr>
                    <w:t>年以上，危废暂存间不存放除危险废物和应急工具外的其他物品。</w:t>
                  </w:r>
                </w:p>
              </w:tc>
              <w:tc>
                <w:tcPr>
                  <w:tcW w:w="532" w:type="pct"/>
                  <w:vAlign w:val="center"/>
                </w:tcPr>
                <w:p w14:paraId="44907B5C">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667FD9B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24EA5389">
                  <w:pPr>
                    <w:pStyle w:val="10"/>
                    <w:keepNext w:val="0"/>
                    <w:keepLines w:val="0"/>
                    <w:pageBreakBefore w:val="0"/>
                    <w:widowControl w:val="0"/>
                    <w:kinsoku/>
                    <w:wordWrap/>
                    <w:overflowPunct/>
                    <w:topLinePunct w:val="0"/>
                    <w:autoSpaceDE w:val="0"/>
                    <w:autoSpaceDN w:val="0"/>
                    <w:bidi w:val="0"/>
                    <w:adjustRightInd w:val="0"/>
                    <w:snapToGrid/>
                    <w:spacing w:before="0" w:beforeAutospacing="0" w:after="0" w:line="240" w:lineRule="auto"/>
                    <w:ind w:left="0" w:leftChars="0" w:right="0" w:rightChars="0"/>
                    <w:jc w:val="center"/>
                    <w:textAlignment w:val="auto"/>
                    <w:rPr>
                      <w:i w:val="0"/>
                      <w:iCs w:val="0"/>
                      <w:color w:val="000000" w:themeColor="text1"/>
                      <w:kern w:val="2"/>
                      <w:sz w:val="21"/>
                      <w:szCs w:val="21"/>
                      <w:highlight w:val="none"/>
                      <w:u w:val="none"/>
                      <w14:textFill>
                        <w14:solidFill>
                          <w14:schemeClr w14:val="tx1"/>
                        </w14:solidFill>
                      </w14:textFill>
                    </w:rPr>
                  </w:pPr>
                  <w:r>
                    <w:rPr>
                      <w:i w:val="0"/>
                      <w:iCs w:val="0"/>
                      <w:color w:val="000000" w:themeColor="text1"/>
                      <w:sz w:val="21"/>
                      <w:szCs w:val="21"/>
                      <w:highlight w:val="none"/>
                      <w:u w:val="none"/>
                      <w14:textFill>
                        <w14:solidFill>
                          <w14:schemeClr w14:val="tx1"/>
                        </w14:solidFill>
                      </w14:textFill>
                    </w:rPr>
                    <w:t>物料转移和输送</w:t>
                  </w:r>
                </w:p>
              </w:tc>
              <w:tc>
                <w:tcPr>
                  <w:tcW w:w="1977" w:type="pct"/>
                  <w:shd w:val="clear" w:color="auto" w:fill="auto"/>
                  <w:vAlign w:val="center"/>
                </w:tcPr>
                <w:p w14:paraId="737C1E70">
                  <w:pPr>
                    <w:pStyle w:val="10"/>
                    <w:keepNext w:val="0"/>
                    <w:keepLines w:val="0"/>
                    <w:pageBreakBefore w:val="0"/>
                    <w:widowControl w:val="0"/>
                    <w:numPr>
                      <w:ilvl w:val="0"/>
                      <w:numId w:val="0"/>
                    </w:numPr>
                    <w:kinsoku/>
                    <w:wordWrap/>
                    <w:overflowPunct/>
                    <w:topLinePunct w:val="0"/>
                    <w:autoSpaceDE w:val="0"/>
                    <w:autoSpaceDN w:val="0"/>
                    <w:bidi w:val="0"/>
                    <w:adjustRightInd w:val="0"/>
                    <w:snapToGrid/>
                    <w:spacing w:before="0" w:beforeAutospacing="0" w:after="0" w:line="240" w:lineRule="auto"/>
                    <w:ind w:right="0" w:rightChars="0"/>
                    <w:jc w:val="both"/>
                    <w:textAlignment w:val="auto"/>
                    <w:rPr>
                      <w:i w:val="0"/>
                      <w:iCs w:val="0"/>
                      <w:color w:val="000000" w:themeColor="text1"/>
                      <w:sz w:val="21"/>
                      <w:szCs w:val="21"/>
                      <w:highlight w:val="none"/>
                      <w:u w:val="none"/>
                      <w14:textFill>
                        <w14:solidFill>
                          <w14:schemeClr w14:val="tx1"/>
                        </w14:solidFill>
                      </w14:textFill>
                    </w:rPr>
                  </w:pPr>
                  <w:r>
                    <w:rPr>
                      <w:rFonts w:hint="eastAsia"/>
                      <w:i w:val="0"/>
                      <w:iCs w:val="0"/>
                      <w:color w:val="000000" w:themeColor="text1"/>
                      <w:sz w:val="21"/>
                      <w:szCs w:val="21"/>
                      <w:highlight w:val="none"/>
                      <w:u w:val="none"/>
                      <w:lang w:val="en-US" w:eastAsia="zh-CN"/>
                      <w14:textFill>
                        <w14:solidFill>
                          <w14:schemeClr w14:val="tx1"/>
                        </w14:solidFill>
                      </w14:textFill>
                    </w:rPr>
                    <w:t>1.</w:t>
                  </w:r>
                  <w:commentRangeStart w:id="14"/>
                  <w:r>
                    <w:rPr>
                      <w:i w:val="0"/>
                      <w:iCs w:val="0"/>
                      <w:color w:val="000000" w:themeColor="text1"/>
                      <w:sz w:val="21"/>
                      <w:szCs w:val="21"/>
                      <w:highlight w:val="none"/>
                      <w:u w:val="none"/>
                      <w14:textFill>
                        <w14:solidFill>
                          <w14:schemeClr w14:val="tx1"/>
                        </w14:solidFill>
                      </w14:textFill>
                    </w:rPr>
                    <w:t>粉状、粒状等易产尘物料厂内转移、输送过程应采用气力输送、密闭输送，</w:t>
                  </w:r>
                  <w:commentRangeEnd w:id="14"/>
                  <w:r>
                    <w:commentReference w:id="14"/>
                  </w:r>
                  <w:r>
                    <w:rPr>
                      <w:i w:val="0"/>
                      <w:iCs w:val="0"/>
                      <w:color w:val="000000" w:themeColor="text1"/>
                      <w:sz w:val="21"/>
                      <w:szCs w:val="21"/>
                      <w:highlight w:val="none"/>
                      <w:u w:val="none"/>
                      <w14:textFill>
                        <w14:solidFill>
                          <w14:schemeClr w14:val="tx1"/>
                        </w14:solidFill>
                      </w14:textFill>
                    </w:rPr>
                    <w:t>块状和粘湿粉状物料采用封闭输送；</w:t>
                  </w:r>
                </w:p>
                <w:p w14:paraId="3E523E4B">
                  <w:pPr>
                    <w:pStyle w:val="10"/>
                    <w:keepNext w:val="0"/>
                    <w:keepLines w:val="0"/>
                    <w:pageBreakBefore w:val="0"/>
                    <w:widowControl w:val="0"/>
                    <w:numPr>
                      <w:ilvl w:val="0"/>
                      <w:numId w:val="0"/>
                    </w:numPr>
                    <w:kinsoku/>
                    <w:wordWrap/>
                    <w:overflowPunct/>
                    <w:topLinePunct w:val="0"/>
                    <w:autoSpaceDE w:val="0"/>
                    <w:autoSpaceDN w:val="0"/>
                    <w:bidi w:val="0"/>
                    <w:adjustRightInd w:val="0"/>
                    <w:snapToGrid/>
                    <w:spacing w:before="0" w:beforeAutospacing="0" w:after="0" w:line="240" w:lineRule="auto"/>
                    <w:ind w:right="0" w:rightChars="0"/>
                    <w:jc w:val="both"/>
                    <w:textAlignment w:val="auto"/>
                    <w:rPr>
                      <w:i w:val="0"/>
                      <w:iCs w:val="0"/>
                      <w:color w:val="000000" w:themeColor="text1"/>
                      <w:kern w:val="2"/>
                      <w:sz w:val="21"/>
                      <w:szCs w:val="21"/>
                      <w:highlight w:val="none"/>
                      <w:u w:val="none"/>
                      <w14:textFill>
                        <w14:solidFill>
                          <w14:schemeClr w14:val="tx1"/>
                        </w14:solidFill>
                      </w14:textFill>
                    </w:rPr>
                  </w:pPr>
                  <w:r>
                    <w:rPr>
                      <w:rFonts w:hint="eastAsia"/>
                      <w:i w:val="0"/>
                      <w:iCs w:val="0"/>
                      <w:color w:val="000000" w:themeColor="text1"/>
                      <w:sz w:val="21"/>
                      <w:szCs w:val="21"/>
                      <w:highlight w:val="none"/>
                      <w:u w:val="none"/>
                      <w:lang w:val="en-US" w:eastAsia="zh-CN"/>
                      <w14:textFill>
                        <w14:solidFill>
                          <w14:schemeClr w14:val="tx1"/>
                        </w14:solidFill>
                      </w14:textFill>
                    </w:rPr>
                    <w:t>2.</w:t>
                  </w:r>
                  <w:r>
                    <w:rPr>
                      <w:i w:val="0"/>
                      <w:iCs w:val="0"/>
                      <w:color w:val="000000" w:themeColor="text1"/>
                      <w:sz w:val="21"/>
                      <w:szCs w:val="21"/>
                      <w:highlight w:val="none"/>
                      <w:u w:val="none"/>
                      <w14:textFill>
                        <w14:solidFill>
                          <w14:schemeClr w14:val="tx1"/>
                        </w14:solidFill>
                      </w14:textFill>
                    </w:rPr>
                    <w:t>无法封闭的产尘点（物料转载、下料口等）应采取集气除尘措施，或有效抑尘措施。</w:t>
                  </w:r>
                </w:p>
              </w:tc>
              <w:tc>
                <w:tcPr>
                  <w:tcW w:w="1813" w:type="pct"/>
                  <w:vAlign w:val="center"/>
                </w:tcPr>
                <w:p w14:paraId="3D424937">
                  <w:pPr>
                    <w:pStyle w:val="10"/>
                    <w:spacing w:line="240" w:lineRule="auto"/>
                    <w:ind w:left="0" w:right="0"/>
                    <w:rPr>
                      <w:i w:val="0"/>
                      <w:iCs w:val="0"/>
                      <w:color w:val="000000" w:themeColor="text1"/>
                      <w:sz w:val="21"/>
                      <w:szCs w:val="21"/>
                      <w:highlight w:val="none"/>
                      <w14:textFill>
                        <w14:solidFill>
                          <w14:schemeClr w14:val="tx1"/>
                        </w14:solidFill>
                      </w14:textFill>
                    </w:rPr>
                  </w:pPr>
                  <w:r>
                    <w:rPr>
                      <w:rFonts w:hint="eastAsia"/>
                      <w:i w:val="0"/>
                      <w:iCs w:val="0"/>
                      <w:color w:val="000000" w:themeColor="text1"/>
                      <w:sz w:val="21"/>
                      <w:szCs w:val="21"/>
                      <w:highlight w:val="none"/>
                      <w14:textFill>
                        <w14:solidFill>
                          <w14:schemeClr w14:val="tx1"/>
                        </w14:solidFill>
                      </w14:textFill>
                    </w:rPr>
                    <w:t>项目所使用的粉状原料均袋装储存，在袋装原料</w:t>
                  </w:r>
                  <w:r>
                    <w:rPr>
                      <w:i w:val="0"/>
                      <w:iCs w:val="0"/>
                      <w:color w:val="000000" w:themeColor="text1"/>
                      <w:sz w:val="21"/>
                      <w:szCs w:val="21"/>
                      <w:highlight w:val="none"/>
                      <w14:textFill>
                        <w14:solidFill>
                          <w14:schemeClr w14:val="tx1"/>
                        </w14:solidFill>
                      </w14:textFill>
                    </w:rPr>
                    <w:t>转移、输送过程不易起尘。</w:t>
                  </w:r>
                </w:p>
              </w:tc>
              <w:tc>
                <w:tcPr>
                  <w:tcW w:w="532" w:type="pct"/>
                  <w:vAlign w:val="center"/>
                </w:tcPr>
                <w:p w14:paraId="73D7B28D">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535DE9D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6BAB70D9">
                  <w:pPr>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工艺过程</w:t>
                  </w:r>
                </w:p>
              </w:tc>
              <w:tc>
                <w:tcPr>
                  <w:tcW w:w="1977" w:type="pct"/>
                  <w:shd w:val="clear" w:color="auto" w:fill="auto"/>
                  <w:vAlign w:val="center"/>
                </w:tcPr>
                <w:p w14:paraId="0A6F1B8A">
                  <w:pPr>
                    <w:numPr>
                      <w:ilvl w:val="0"/>
                      <w:numId w:val="0"/>
                    </w:numPr>
                    <w:jc w:val="both"/>
                    <w:rPr>
                      <w:i w:val="0"/>
                      <w:iCs w:val="0"/>
                      <w:color w:val="000000" w:themeColor="text1"/>
                      <w:szCs w:val="21"/>
                      <w:highlight w:val="none"/>
                      <w:u w:val="none"/>
                      <w14:textFill>
                        <w14:solidFill>
                          <w14:schemeClr w14:val="tx1"/>
                        </w14:solidFill>
                      </w14:textFill>
                    </w:rPr>
                  </w:pPr>
                  <w:r>
                    <w:rPr>
                      <w:rFonts w:hint="eastAsia"/>
                      <w:i w:val="0"/>
                      <w:iCs w:val="0"/>
                      <w:color w:val="000000" w:themeColor="text1"/>
                      <w:szCs w:val="21"/>
                      <w:highlight w:val="none"/>
                      <w:u w:val="none"/>
                      <w:lang w:val="en-US" w:eastAsia="zh-CN"/>
                      <w14:textFill>
                        <w14:solidFill>
                          <w14:schemeClr w14:val="tx1"/>
                        </w14:solidFill>
                      </w14:textFill>
                    </w:rPr>
                    <w:t>1.</w:t>
                  </w:r>
                  <w:r>
                    <w:rPr>
                      <w:i w:val="0"/>
                      <w:iCs w:val="0"/>
                      <w:color w:val="000000" w:themeColor="text1"/>
                      <w:szCs w:val="21"/>
                      <w:highlight w:val="none"/>
                      <w:u w:val="none"/>
                      <w14:textFill>
                        <w14:solidFill>
                          <w14:schemeClr w14:val="tx1"/>
                        </w14:solidFill>
                      </w14:textFill>
                    </w:rPr>
                    <w:t>各种物料破碎、筛分</w:t>
                  </w:r>
                  <w:commentRangeStart w:id="15"/>
                  <w:r>
                    <w:rPr>
                      <w:i w:val="0"/>
                      <w:iCs w:val="0"/>
                      <w:color w:val="000000" w:themeColor="text1"/>
                      <w:szCs w:val="21"/>
                      <w:highlight w:val="none"/>
                      <w:u w:val="none"/>
                      <w14:textFill>
                        <w14:solidFill>
                          <w14:schemeClr w14:val="tx1"/>
                        </w14:solidFill>
                      </w14:textFill>
                    </w:rPr>
                    <w:t>、配料、混料等过程应在封闭厂房内进行，并采取收</w:t>
                  </w:r>
                  <w:commentRangeEnd w:id="15"/>
                  <w:r>
                    <w:commentReference w:id="15"/>
                  </w:r>
                  <w:r>
                    <w:rPr>
                      <w:i w:val="0"/>
                      <w:iCs w:val="0"/>
                      <w:color w:val="000000" w:themeColor="text1"/>
                      <w:szCs w:val="21"/>
                      <w:highlight w:val="none"/>
                      <w:u w:val="none"/>
                      <w14:textFill>
                        <w14:solidFill>
                          <w14:schemeClr w14:val="tx1"/>
                        </w14:solidFill>
                      </w14:textFill>
                    </w:rPr>
                    <w:t>尘/抑尘措施。</w:t>
                  </w:r>
                </w:p>
                <w:p w14:paraId="7165D95F">
                  <w:pPr>
                    <w:numPr>
                      <w:ilvl w:val="0"/>
                      <w:numId w:val="0"/>
                    </w:numPr>
                    <w:jc w:val="both"/>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i w:val="0"/>
                      <w:iCs w:val="0"/>
                      <w:color w:val="000000" w:themeColor="text1"/>
                      <w:szCs w:val="21"/>
                      <w:highlight w:val="none"/>
                      <w:u w:val="none"/>
                      <w:lang w:val="en-US" w:eastAsia="zh-CN"/>
                      <w14:textFill>
                        <w14:solidFill>
                          <w14:schemeClr w14:val="tx1"/>
                        </w14:solidFill>
                      </w14:textFill>
                    </w:rPr>
                    <w:t>2.</w:t>
                  </w:r>
                  <w:r>
                    <w:rPr>
                      <w:i w:val="0"/>
                      <w:iCs w:val="0"/>
                      <w:color w:val="000000" w:themeColor="text1"/>
                      <w:szCs w:val="21"/>
                      <w:highlight w:val="none"/>
                      <w:u w:val="none"/>
                      <w14:textFill>
                        <w14:solidFill>
                          <w14:schemeClr w14:val="tx1"/>
                        </w14:solidFill>
                      </w14:textFill>
                    </w:rPr>
                    <w:t>破碎筛分设备在进、出料口和配料混料过程等产尘点应设置集气除尘设施。</w:t>
                  </w:r>
                </w:p>
              </w:tc>
              <w:tc>
                <w:tcPr>
                  <w:tcW w:w="1813" w:type="pct"/>
                  <w:vAlign w:val="center"/>
                </w:tcPr>
                <w:p w14:paraId="4F25FA1F">
                  <w:pPr>
                    <w:pStyle w:val="10"/>
                    <w:spacing w:line="240" w:lineRule="auto"/>
                    <w:ind w:left="0" w:right="0"/>
                    <w:rPr>
                      <w:rFonts w:hint="eastAsia"/>
                      <w:i w:val="0"/>
                      <w:iCs w:val="0"/>
                      <w:color w:val="000000" w:themeColor="text1"/>
                      <w:sz w:val="21"/>
                      <w:szCs w:val="21"/>
                      <w:highlight w:val="none"/>
                      <w:lang w:eastAsia="zh-CN"/>
                      <w14:textFill>
                        <w14:solidFill>
                          <w14:schemeClr w14:val="tx1"/>
                        </w14:solidFill>
                      </w14:textFill>
                    </w:rPr>
                  </w:pPr>
                  <w:r>
                    <w:rPr>
                      <w:rFonts w:hint="eastAsia"/>
                      <w:i w:val="0"/>
                      <w:iCs w:val="0"/>
                      <w:color w:val="000000" w:themeColor="text1"/>
                      <w:sz w:val="21"/>
                      <w:szCs w:val="21"/>
                      <w:highlight w:val="none"/>
                      <w:lang w:val="en-US" w:eastAsia="zh-CN"/>
                      <w14:textFill>
                        <w14:solidFill>
                          <w14:schemeClr w14:val="tx1"/>
                        </w14:solidFill>
                      </w14:textFill>
                    </w:rPr>
                    <w:t>1、</w:t>
                  </w:r>
                  <w:r>
                    <w:rPr>
                      <w:i w:val="0"/>
                      <w:iCs w:val="0"/>
                      <w:color w:val="000000" w:themeColor="text1"/>
                      <w:sz w:val="21"/>
                      <w:szCs w:val="21"/>
                      <w:highlight w:val="none"/>
                      <w14:textFill>
                        <w14:solidFill>
                          <w14:schemeClr w14:val="tx1"/>
                        </w14:solidFill>
                      </w14:textFill>
                    </w:rPr>
                    <w:t>项目</w:t>
                  </w:r>
                  <w:r>
                    <w:rPr>
                      <w:rFonts w:hint="eastAsia"/>
                      <w:i w:val="0"/>
                      <w:iCs w:val="0"/>
                      <w:color w:val="000000" w:themeColor="text1"/>
                      <w:sz w:val="21"/>
                      <w:szCs w:val="21"/>
                      <w:highlight w:val="none"/>
                      <w:lang w:val="en-US" w:eastAsia="zh-CN"/>
                      <w14:textFill>
                        <w14:solidFill>
                          <w14:schemeClr w14:val="tx1"/>
                        </w14:solidFill>
                      </w14:textFill>
                    </w:rPr>
                    <w:t>和面</w:t>
                  </w:r>
                  <w:r>
                    <w:rPr>
                      <w:rFonts w:hint="eastAsia"/>
                      <w:i w:val="0"/>
                      <w:iCs w:val="0"/>
                      <w:color w:val="000000" w:themeColor="text1"/>
                      <w:sz w:val="21"/>
                      <w:szCs w:val="21"/>
                      <w:highlight w:val="none"/>
                      <w14:textFill>
                        <w14:solidFill>
                          <w14:schemeClr w14:val="tx1"/>
                        </w14:solidFill>
                      </w14:textFill>
                    </w:rPr>
                    <w:t>工序和面机为全封闭式</w:t>
                  </w:r>
                  <w:r>
                    <w:rPr>
                      <w:rFonts w:hint="eastAsia"/>
                      <w:i w:val="0"/>
                      <w:iCs w:val="0"/>
                      <w:color w:val="000000" w:themeColor="text1"/>
                      <w:sz w:val="21"/>
                      <w:szCs w:val="21"/>
                      <w:highlight w:val="none"/>
                      <w:lang w:val="en-US" w:eastAsia="zh-CN"/>
                      <w14:textFill>
                        <w14:solidFill>
                          <w14:schemeClr w14:val="tx1"/>
                        </w14:solidFill>
                      </w14:textFill>
                    </w:rPr>
                    <w:t>密闭和面间</w:t>
                  </w:r>
                  <w:r>
                    <w:rPr>
                      <w:rFonts w:hint="eastAsia"/>
                      <w:i w:val="0"/>
                      <w:iCs w:val="0"/>
                      <w:color w:val="000000" w:themeColor="text1"/>
                      <w:sz w:val="21"/>
                      <w:szCs w:val="21"/>
                      <w:highlight w:val="none"/>
                      <w14:textFill>
                        <w14:solidFill>
                          <w14:schemeClr w14:val="tx1"/>
                        </w14:solidFill>
                      </w14:textFill>
                    </w:rPr>
                    <w:t>内进行，</w:t>
                  </w:r>
                  <w:commentRangeStart w:id="16"/>
                  <w:r>
                    <w:rPr>
                      <w:rFonts w:hint="eastAsia"/>
                      <w:i w:val="0"/>
                      <w:iCs w:val="0"/>
                      <w:color w:val="000000" w:themeColor="text1"/>
                      <w:sz w:val="21"/>
                      <w:szCs w:val="21"/>
                      <w:highlight w:val="none"/>
                      <w14:textFill>
                        <w14:solidFill>
                          <w14:schemeClr w14:val="tx1"/>
                        </w14:solidFill>
                      </w14:textFill>
                    </w:rPr>
                    <w:t>并采取抑尘措施</w:t>
                  </w:r>
                  <w:r>
                    <w:rPr>
                      <w:rFonts w:hint="eastAsia"/>
                      <w:i w:val="0"/>
                      <w:iCs w:val="0"/>
                      <w:color w:val="000000" w:themeColor="text1"/>
                      <w:sz w:val="21"/>
                      <w:szCs w:val="21"/>
                      <w:highlight w:val="none"/>
                      <w:lang w:eastAsia="zh-CN"/>
                      <w14:textFill>
                        <w14:solidFill>
                          <w14:schemeClr w14:val="tx1"/>
                        </w14:solidFill>
                      </w14:textFill>
                    </w:rPr>
                    <w:t>；</w:t>
                  </w:r>
                  <w:commentRangeEnd w:id="16"/>
                  <w:r>
                    <w:commentReference w:id="16"/>
                  </w:r>
                </w:p>
                <w:p w14:paraId="6ED99DD9">
                  <w:pPr>
                    <w:pStyle w:val="10"/>
                    <w:spacing w:line="240" w:lineRule="auto"/>
                    <w:ind w:left="0" w:right="0"/>
                    <w:rPr>
                      <w:rFonts w:hint="eastAsia" w:eastAsia="宋体"/>
                      <w:i w:val="0"/>
                      <w:iCs w:val="0"/>
                      <w:highlight w:val="none"/>
                      <w:lang w:val="en-US" w:eastAsia="zh-CN"/>
                    </w:rPr>
                  </w:pPr>
                  <w:r>
                    <w:rPr>
                      <w:rFonts w:hint="eastAsia"/>
                      <w:i w:val="0"/>
                      <w:iCs w:val="0"/>
                      <w:color w:val="000000" w:themeColor="text1"/>
                      <w:sz w:val="21"/>
                      <w:szCs w:val="21"/>
                      <w:highlight w:val="none"/>
                      <w:lang w:val="en-US" w:eastAsia="zh-CN"/>
                      <w14:textFill>
                        <w14:solidFill>
                          <w14:schemeClr w14:val="tx1"/>
                        </w14:solidFill>
                      </w14:textFill>
                    </w:rPr>
                    <w:t>2、本项目不涉及</w:t>
                  </w:r>
                </w:p>
              </w:tc>
              <w:tc>
                <w:tcPr>
                  <w:tcW w:w="532" w:type="pct"/>
                  <w:vAlign w:val="center"/>
                </w:tcPr>
                <w:p w14:paraId="66DC7FC6">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09DD42D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163784C6">
                  <w:pPr>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成品包装</w:t>
                  </w:r>
                </w:p>
              </w:tc>
              <w:tc>
                <w:tcPr>
                  <w:tcW w:w="1977" w:type="pct"/>
                  <w:shd w:val="clear" w:color="auto" w:fill="auto"/>
                  <w:vAlign w:val="center"/>
                </w:tcPr>
                <w:p w14:paraId="300CB63E">
                  <w:pPr>
                    <w:numPr>
                      <w:ilvl w:val="0"/>
                      <w:numId w:val="0"/>
                    </w:numPr>
                    <w:jc w:val="both"/>
                    <w:rPr>
                      <w:i w:val="0"/>
                      <w:iCs w:val="0"/>
                      <w:color w:val="000000" w:themeColor="text1"/>
                      <w:szCs w:val="21"/>
                      <w:highlight w:val="none"/>
                      <w:u w:val="none"/>
                      <w14:textFill>
                        <w14:solidFill>
                          <w14:schemeClr w14:val="tx1"/>
                        </w14:solidFill>
                      </w14:textFill>
                    </w:rPr>
                  </w:pPr>
                  <w:r>
                    <w:rPr>
                      <w:rFonts w:hint="eastAsia"/>
                      <w:i w:val="0"/>
                      <w:iCs w:val="0"/>
                      <w:color w:val="000000" w:themeColor="text1"/>
                      <w:szCs w:val="21"/>
                      <w:highlight w:val="none"/>
                      <w:u w:val="none"/>
                      <w:lang w:val="en-US" w:eastAsia="zh-CN"/>
                      <w14:textFill>
                        <w14:solidFill>
                          <w14:schemeClr w14:val="tx1"/>
                        </w14:solidFill>
                      </w14:textFill>
                    </w:rPr>
                    <w:t>1.</w:t>
                  </w:r>
                  <w:r>
                    <w:rPr>
                      <w:i w:val="0"/>
                      <w:iCs w:val="0"/>
                      <w:color w:val="000000" w:themeColor="text1"/>
                      <w:szCs w:val="21"/>
                      <w:highlight w:val="none"/>
                      <w:u w:val="none"/>
                      <w14:textFill>
                        <w14:solidFill>
                          <w14:schemeClr w14:val="tx1"/>
                        </w14:solidFill>
                      </w14:textFill>
                    </w:rPr>
                    <w:t>粉状、粒装产品包装卸料口应完全封闭，如不能封闭应采取局部集齐除尘措施。卸料口地面应及时清扫，地面无明显积尘；</w:t>
                  </w:r>
                </w:p>
                <w:p w14:paraId="5855BCDC">
                  <w:pPr>
                    <w:numPr>
                      <w:ilvl w:val="0"/>
                      <w:numId w:val="0"/>
                    </w:numPr>
                    <w:jc w:val="both"/>
                    <w:rPr>
                      <w:i w:val="0"/>
                      <w:iCs w:val="0"/>
                      <w:color w:val="000000" w:themeColor="text1"/>
                      <w:szCs w:val="21"/>
                      <w:highlight w:val="none"/>
                      <w:u w:val="none"/>
                      <w14:textFill>
                        <w14:solidFill>
                          <w14:schemeClr w14:val="tx1"/>
                        </w14:solidFill>
                      </w14:textFill>
                    </w:rPr>
                  </w:pPr>
                  <w:r>
                    <w:rPr>
                      <w:rFonts w:hint="eastAsia"/>
                      <w:i w:val="0"/>
                      <w:iCs w:val="0"/>
                      <w:color w:val="000000" w:themeColor="text1"/>
                      <w:szCs w:val="21"/>
                      <w:highlight w:val="none"/>
                      <w:u w:val="none"/>
                      <w:lang w:val="en-US" w:eastAsia="zh-CN"/>
                      <w14:textFill>
                        <w14:solidFill>
                          <w14:schemeClr w14:val="tx1"/>
                        </w14:solidFill>
                      </w14:textFill>
                    </w:rPr>
                    <w:t>2.</w:t>
                  </w:r>
                  <w:r>
                    <w:rPr>
                      <w:i w:val="0"/>
                      <w:iCs w:val="0"/>
                      <w:color w:val="000000" w:themeColor="text1"/>
                      <w:szCs w:val="21"/>
                      <w:highlight w:val="none"/>
                      <w:u w:val="none"/>
                      <w14:textFill>
                        <w14:solidFill>
                          <w14:schemeClr w14:val="tx1"/>
                        </w14:solidFill>
                      </w14:textFill>
                    </w:rPr>
                    <w:t>各生产工序的车间地面干净，无积料、积灰现象；</w:t>
                  </w:r>
                </w:p>
                <w:p w14:paraId="05179287">
                  <w:pPr>
                    <w:numPr>
                      <w:ilvl w:val="0"/>
                      <w:numId w:val="0"/>
                    </w:numPr>
                    <w:jc w:val="both"/>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i w:val="0"/>
                      <w:iCs w:val="0"/>
                      <w:color w:val="000000" w:themeColor="text1"/>
                      <w:szCs w:val="21"/>
                      <w:highlight w:val="none"/>
                      <w:u w:val="none"/>
                      <w:lang w:val="en-US" w:eastAsia="zh-CN"/>
                      <w14:textFill>
                        <w14:solidFill>
                          <w14:schemeClr w14:val="tx1"/>
                        </w14:solidFill>
                      </w14:textFill>
                    </w:rPr>
                    <w:t>3.</w:t>
                  </w:r>
                  <w:r>
                    <w:rPr>
                      <w:i w:val="0"/>
                      <w:iCs w:val="0"/>
                      <w:color w:val="000000" w:themeColor="text1"/>
                      <w:szCs w:val="21"/>
                      <w:highlight w:val="none"/>
                      <w:u w:val="none"/>
                      <w14:textFill>
                        <w14:solidFill>
                          <w14:schemeClr w14:val="tx1"/>
                        </w14:solidFill>
                      </w14:textFill>
                    </w:rPr>
                    <w:t>生产车间不得有可见烟（粉）尘外逸。</w:t>
                  </w:r>
                </w:p>
              </w:tc>
              <w:tc>
                <w:tcPr>
                  <w:tcW w:w="1813" w:type="pct"/>
                  <w:shd w:val="clear" w:color="auto" w:fill="auto"/>
                  <w:vAlign w:val="center"/>
                </w:tcPr>
                <w:p w14:paraId="31117D3A">
                  <w:pPr>
                    <w:pStyle w:val="10"/>
                    <w:spacing w:line="240" w:lineRule="auto"/>
                    <w:ind w:left="0" w:right="0"/>
                    <w:rPr>
                      <w:i w:val="0"/>
                      <w:iCs w:val="0"/>
                      <w:color w:val="000000" w:themeColor="text1"/>
                      <w:sz w:val="21"/>
                      <w:szCs w:val="21"/>
                      <w:highlight w:val="none"/>
                      <w14:textFill>
                        <w14:solidFill>
                          <w14:schemeClr w14:val="tx1"/>
                        </w14:solidFill>
                      </w14:textFill>
                    </w:rPr>
                  </w:pPr>
                  <w:r>
                    <w:rPr>
                      <w:rFonts w:hint="eastAsia"/>
                      <w:i w:val="0"/>
                      <w:iCs w:val="0"/>
                      <w:color w:val="000000" w:themeColor="text1"/>
                      <w:sz w:val="21"/>
                      <w:szCs w:val="21"/>
                      <w:highlight w:val="none"/>
                      <w14:textFill>
                        <w14:solidFill>
                          <w14:schemeClr w14:val="tx1"/>
                        </w14:solidFill>
                      </w14:textFill>
                    </w:rPr>
                    <w:t>1.</w:t>
                  </w:r>
                  <w:r>
                    <w:rPr>
                      <w:i w:val="0"/>
                      <w:iCs w:val="0"/>
                      <w:color w:val="000000" w:themeColor="text1"/>
                      <w:sz w:val="21"/>
                      <w:szCs w:val="21"/>
                      <w:highlight w:val="none"/>
                      <w14:textFill>
                        <w14:solidFill>
                          <w14:schemeClr w14:val="tx1"/>
                        </w14:solidFill>
                      </w14:textFill>
                    </w:rPr>
                    <w:t>项目</w:t>
                  </w:r>
                  <w:r>
                    <w:rPr>
                      <w:rFonts w:hint="eastAsia"/>
                      <w:i w:val="0"/>
                      <w:iCs w:val="0"/>
                      <w:color w:val="000000" w:themeColor="text1"/>
                      <w:sz w:val="21"/>
                      <w:szCs w:val="21"/>
                      <w:highlight w:val="none"/>
                      <w14:textFill>
                        <w14:solidFill>
                          <w14:schemeClr w14:val="tx1"/>
                        </w14:solidFill>
                      </w14:textFill>
                    </w:rPr>
                    <w:t>产品为热链餐食</w:t>
                  </w:r>
                  <w:r>
                    <w:rPr>
                      <w:i w:val="0"/>
                      <w:iCs w:val="0"/>
                      <w:color w:val="000000" w:themeColor="text1"/>
                      <w:sz w:val="21"/>
                      <w:szCs w:val="21"/>
                      <w:highlight w:val="none"/>
                      <w14:textFill>
                        <w14:solidFill>
                          <w14:schemeClr w14:val="tx1"/>
                        </w14:solidFill>
                      </w14:textFill>
                    </w:rPr>
                    <w:t>，不易起尘。</w:t>
                  </w:r>
                </w:p>
                <w:p w14:paraId="40E9E103">
                  <w:pPr>
                    <w:pStyle w:val="10"/>
                    <w:spacing w:line="240" w:lineRule="auto"/>
                    <w:ind w:left="0" w:right="0"/>
                    <w:rPr>
                      <w:i w:val="0"/>
                      <w:iCs w:val="0"/>
                      <w:color w:val="000000" w:themeColor="text1"/>
                      <w:sz w:val="21"/>
                      <w:szCs w:val="21"/>
                      <w:highlight w:val="none"/>
                      <w14:textFill>
                        <w14:solidFill>
                          <w14:schemeClr w14:val="tx1"/>
                        </w14:solidFill>
                      </w14:textFill>
                    </w:rPr>
                  </w:pPr>
                  <w:r>
                    <w:rPr>
                      <w:rFonts w:hint="eastAsia"/>
                      <w:i w:val="0"/>
                      <w:iCs w:val="0"/>
                      <w:color w:val="000000" w:themeColor="text1"/>
                      <w:sz w:val="21"/>
                      <w:szCs w:val="21"/>
                      <w:highlight w:val="none"/>
                      <w14:textFill>
                        <w14:solidFill>
                          <w14:schemeClr w14:val="tx1"/>
                        </w14:solidFill>
                      </w14:textFill>
                    </w:rPr>
                    <w:t>2.</w:t>
                  </w:r>
                  <w:r>
                    <w:rPr>
                      <w:i w:val="0"/>
                      <w:iCs w:val="0"/>
                      <w:color w:val="000000" w:themeColor="text1"/>
                      <w:sz w:val="21"/>
                      <w:szCs w:val="21"/>
                      <w:highlight w:val="none"/>
                      <w14:textFill>
                        <w14:solidFill>
                          <w14:schemeClr w14:val="tx1"/>
                        </w14:solidFill>
                      </w14:textFill>
                    </w:rPr>
                    <w:t>生产车间地面设置专人及时清扫，以保障地面无明显积尘。</w:t>
                  </w:r>
                </w:p>
                <w:p w14:paraId="27B2D11A">
                  <w:pPr>
                    <w:rPr>
                      <w:i w:val="0"/>
                      <w:iCs w:val="0"/>
                      <w:color w:val="000000" w:themeColor="text1"/>
                      <w:highlight w:val="none"/>
                      <w14:textFill>
                        <w14:solidFill>
                          <w14:schemeClr w14:val="tx1"/>
                        </w14:solidFill>
                      </w14:textFill>
                    </w:rPr>
                  </w:pPr>
                  <w:r>
                    <w:rPr>
                      <w:rFonts w:hint="eastAsia"/>
                      <w:i w:val="0"/>
                      <w:iCs w:val="0"/>
                      <w:color w:val="000000" w:themeColor="text1"/>
                      <w:szCs w:val="21"/>
                      <w:highlight w:val="none"/>
                      <w14:textFill>
                        <w14:solidFill>
                          <w14:schemeClr w14:val="tx1"/>
                        </w14:solidFill>
                      </w14:textFill>
                    </w:rPr>
                    <w:t>3.</w:t>
                  </w:r>
                  <w:r>
                    <w:rPr>
                      <w:i w:val="0"/>
                      <w:iCs w:val="0"/>
                      <w:color w:val="000000" w:themeColor="text1"/>
                      <w:szCs w:val="21"/>
                      <w:highlight w:val="none"/>
                      <w14:textFill>
                        <w14:solidFill>
                          <w14:schemeClr w14:val="tx1"/>
                        </w14:solidFill>
                      </w14:textFill>
                    </w:rPr>
                    <w:t>项目加强车间内卫生管理，保持车间地面干净，无积料、积灰现象。加强产尘点污染防治设施维护，生产车间不得有可见烟粉尘外逸。</w:t>
                  </w:r>
                </w:p>
              </w:tc>
              <w:tc>
                <w:tcPr>
                  <w:tcW w:w="532" w:type="pct"/>
                  <w:vAlign w:val="center"/>
                </w:tcPr>
                <w:p w14:paraId="39E1774B">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74F72EC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461A8682">
                  <w:pPr>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排放限值</w:t>
                  </w:r>
                </w:p>
              </w:tc>
              <w:tc>
                <w:tcPr>
                  <w:tcW w:w="1977" w:type="pct"/>
                  <w:shd w:val="clear" w:color="auto" w:fill="auto"/>
                  <w:vAlign w:val="center"/>
                </w:tcPr>
                <w:p w14:paraId="7BF709C8">
                  <w:pPr>
                    <w:jc w:val="both"/>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PM排放限值不高于10mg/m</w:t>
                  </w:r>
                  <w:r>
                    <w:rPr>
                      <w:i w:val="0"/>
                      <w:iCs w:val="0"/>
                      <w:color w:val="000000" w:themeColor="text1"/>
                      <w:szCs w:val="21"/>
                      <w:highlight w:val="none"/>
                      <w:u w:val="none"/>
                      <w:vertAlign w:val="superscript"/>
                      <w14:textFill>
                        <w14:solidFill>
                          <w14:schemeClr w14:val="tx1"/>
                        </w14:solidFill>
                      </w14:textFill>
                    </w:rPr>
                    <w:t>3</w:t>
                  </w:r>
                  <w:r>
                    <w:rPr>
                      <w:i w:val="0"/>
                      <w:iCs w:val="0"/>
                      <w:color w:val="000000" w:themeColor="text1"/>
                      <w:szCs w:val="21"/>
                      <w:highlight w:val="none"/>
                      <w:u w:val="none"/>
                      <w14:textFill>
                        <w14:solidFill>
                          <w14:schemeClr w14:val="tx1"/>
                        </w14:solidFill>
                      </w14:textFill>
                    </w:rPr>
                    <w:t>；其他污染物排放浓度达到相关污染物排放标准。</w:t>
                  </w:r>
                </w:p>
              </w:tc>
              <w:tc>
                <w:tcPr>
                  <w:tcW w:w="1813" w:type="pct"/>
                  <w:shd w:val="clear" w:color="auto" w:fill="auto"/>
                  <w:vAlign w:val="center"/>
                </w:tcPr>
                <w:p w14:paraId="5BD6AC86">
                  <w:pPr>
                    <w:pStyle w:val="10"/>
                    <w:spacing w:line="240" w:lineRule="auto"/>
                    <w:ind w:left="0" w:right="0"/>
                    <w:rPr>
                      <w:i w:val="0"/>
                      <w:iCs w:val="0"/>
                      <w:color w:val="000000" w:themeColor="text1"/>
                      <w:sz w:val="21"/>
                      <w:szCs w:val="21"/>
                      <w:highlight w:val="none"/>
                      <w14:textFill>
                        <w14:solidFill>
                          <w14:schemeClr w14:val="tx1"/>
                        </w14:solidFill>
                      </w14:textFill>
                    </w:rPr>
                  </w:pPr>
                  <w:r>
                    <w:rPr>
                      <w:i w:val="0"/>
                      <w:iCs w:val="0"/>
                      <w:color w:val="000000" w:themeColor="text1"/>
                      <w:sz w:val="21"/>
                      <w:szCs w:val="21"/>
                      <w:highlight w:val="none"/>
                      <w14:textFill>
                        <w14:solidFill>
                          <w14:schemeClr w14:val="tx1"/>
                        </w14:solidFill>
                      </w14:textFill>
                    </w:rPr>
                    <w:t>本项目粉尘PM排放限值不高于10mg/m</w:t>
                  </w:r>
                  <w:r>
                    <w:rPr>
                      <w:i w:val="0"/>
                      <w:iCs w:val="0"/>
                      <w:color w:val="000000" w:themeColor="text1"/>
                      <w:sz w:val="21"/>
                      <w:szCs w:val="21"/>
                      <w:highlight w:val="none"/>
                      <w:vertAlign w:val="superscript"/>
                      <w14:textFill>
                        <w14:solidFill>
                          <w14:schemeClr w14:val="tx1"/>
                        </w14:solidFill>
                      </w14:textFill>
                    </w:rPr>
                    <w:t>3</w:t>
                  </w:r>
                  <w:r>
                    <w:rPr>
                      <w:i w:val="0"/>
                      <w:iCs w:val="0"/>
                      <w:color w:val="000000" w:themeColor="text1"/>
                      <w:sz w:val="21"/>
                      <w:szCs w:val="21"/>
                      <w:highlight w:val="none"/>
                      <w14:textFill>
                        <w14:solidFill>
                          <w14:schemeClr w14:val="tx1"/>
                        </w14:solidFill>
                      </w14:textFill>
                    </w:rPr>
                    <w:t>。</w:t>
                  </w:r>
                </w:p>
              </w:tc>
              <w:tc>
                <w:tcPr>
                  <w:tcW w:w="532" w:type="pct"/>
                  <w:shd w:val="clear" w:color="auto" w:fill="auto"/>
                  <w:vAlign w:val="center"/>
                </w:tcPr>
                <w:p w14:paraId="4F1802FC">
                  <w:pPr>
                    <w:snapToGrid w:val="0"/>
                    <w:jc w:val="center"/>
                    <w:rPr>
                      <w:bCs/>
                      <w:i w:val="0"/>
                      <w:iCs w:val="0"/>
                      <w:color w:val="000000" w:themeColor="text1"/>
                      <w:kern w:val="0"/>
                      <w:szCs w:val="21"/>
                      <w:highlight w:val="none"/>
                      <w14:textFill>
                        <w14:solidFill>
                          <w14:schemeClr w14:val="tx1"/>
                        </w14:solidFill>
                      </w14:textFill>
                    </w:rPr>
                  </w:pPr>
                  <w:r>
                    <w:rPr>
                      <w:bCs/>
                      <w:i w:val="0"/>
                      <w:iCs w:val="0"/>
                      <w:color w:val="000000" w:themeColor="text1"/>
                      <w:kern w:val="0"/>
                      <w:szCs w:val="21"/>
                      <w:highlight w:val="none"/>
                      <w14:textFill>
                        <w14:solidFill>
                          <w14:schemeClr w14:val="tx1"/>
                        </w14:solidFill>
                      </w14:textFill>
                    </w:rPr>
                    <w:t>相符</w:t>
                  </w:r>
                </w:p>
              </w:tc>
            </w:tr>
            <w:tr w14:paraId="36A4C1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3CB33BB2">
                  <w:pPr>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无组织管控</w:t>
                  </w:r>
                </w:p>
              </w:tc>
              <w:tc>
                <w:tcPr>
                  <w:tcW w:w="1977" w:type="pct"/>
                  <w:shd w:val="clear" w:color="auto" w:fill="auto"/>
                  <w:vAlign w:val="center"/>
                </w:tcPr>
                <w:p w14:paraId="3406074F">
                  <w:pPr>
                    <w:widowControl/>
                    <w:jc w:val="both"/>
                    <w:rPr>
                      <w:i w:val="0"/>
                      <w:iCs w:val="0"/>
                      <w:color w:val="000000" w:themeColor="text1"/>
                      <w:szCs w:val="21"/>
                      <w:highlight w:val="none"/>
                      <w:u w:val="none"/>
                      <w14:textFill>
                        <w14:solidFill>
                          <w14:schemeClr w14:val="tx1"/>
                        </w14:solidFill>
                      </w14:textFill>
                    </w:rPr>
                  </w:pPr>
                  <w:r>
                    <w:rPr>
                      <w:i w:val="0"/>
                      <w:iCs w:val="0"/>
                      <w:color w:val="000000" w:themeColor="text1"/>
                      <w:kern w:val="0"/>
                      <w:szCs w:val="21"/>
                      <w:highlight w:val="none"/>
                      <w:u w:val="none"/>
                      <w:lang w:bidi="ar"/>
                      <w14:textFill>
                        <w14:solidFill>
                          <w14:schemeClr w14:val="tx1"/>
                        </w14:solidFill>
                      </w14:textFill>
                    </w:rPr>
                    <w:t>1.除尘器应设置密闭灰仓并及时卸灰，除尘灰应通过气力输送、罐车、吨包袋等封闭方式卸灰，不得直接卸落到地面；</w:t>
                  </w:r>
                </w:p>
                <w:p w14:paraId="41C7AC5C">
                  <w:pPr>
                    <w:widowControl/>
                    <w:jc w:val="both"/>
                    <w:rPr>
                      <w:i w:val="0"/>
                      <w:iCs w:val="0"/>
                      <w:color w:val="000000" w:themeColor="text1"/>
                      <w:szCs w:val="21"/>
                      <w:highlight w:val="none"/>
                      <w:u w:val="none"/>
                      <w14:textFill>
                        <w14:solidFill>
                          <w14:schemeClr w14:val="tx1"/>
                        </w14:solidFill>
                      </w14:textFill>
                    </w:rPr>
                  </w:pPr>
                  <w:r>
                    <w:rPr>
                      <w:i w:val="0"/>
                      <w:iCs w:val="0"/>
                      <w:color w:val="000000" w:themeColor="text1"/>
                      <w:kern w:val="0"/>
                      <w:szCs w:val="21"/>
                      <w:highlight w:val="none"/>
                      <w:u w:val="none"/>
                      <w:lang w:bidi="ar"/>
                      <w14:textFill>
                        <w14:solidFill>
                          <w14:schemeClr w14:val="tx1"/>
                        </w14:solidFill>
                      </w14:textFill>
                    </w:rPr>
                    <w:t>2.除尘灰如果转运应采用气力输送、封闭传送带方式，如果直接外运应采用罐车或袋装后运输，并在装车过程中采取抑尘措施，除尘灰在厂区内应密闭/封闭储存；</w:t>
                  </w:r>
                </w:p>
                <w:p w14:paraId="23A86561">
                  <w:pPr>
                    <w:widowControl/>
                    <w:jc w:val="both"/>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kern w:val="0"/>
                      <w:szCs w:val="21"/>
                      <w:highlight w:val="none"/>
                      <w:u w:val="none"/>
                      <w:lang w:bidi="ar"/>
                      <w14:textFill>
                        <w14:solidFill>
                          <w14:schemeClr w14:val="tx1"/>
                        </w14:solidFill>
                      </w14:textFill>
                    </w:rPr>
                    <w:t>3.脱硫石膏和脱硫废渣等固体废物在厂区内应封闭储存，在转运过程中应采取封闭抑尘措施并应封闭储存。</w:t>
                  </w:r>
                </w:p>
              </w:tc>
              <w:tc>
                <w:tcPr>
                  <w:tcW w:w="1813" w:type="pct"/>
                  <w:shd w:val="clear" w:color="auto" w:fill="auto"/>
                  <w:vAlign w:val="center"/>
                </w:tcPr>
                <w:p w14:paraId="0AEE22D4">
                  <w:pPr>
                    <w:snapToGrid w:val="0"/>
                    <w:rPr>
                      <w:bCs/>
                      <w:i w:val="0"/>
                      <w:iCs w:val="0"/>
                      <w:color w:val="000000" w:themeColor="text1"/>
                      <w:kern w:val="0"/>
                      <w:szCs w:val="21"/>
                      <w:highlight w:val="none"/>
                      <w14:textFill>
                        <w14:solidFill>
                          <w14:schemeClr w14:val="tx1"/>
                        </w14:solidFill>
                      </w14:textFill>
                    </w:rPr>
                  </w:pPr>
                  <w:r>
                    <w:rPr>
                      <w:rFonts w:hint="eastAsia"/>
                      <w:bCs/>
                      <w:i w:val="0"/>
                      <w:iCs w:val="0"/>
                      <w:color w:val="000000" w:themeColor="text1"/>
                      <w:kern w:val="0"/>
                      <w:szCs w:val="21"/>
                      <w:highlight w:val="none"/>
                      <w14:textFill>
                        <w14:solidFill>
                          <w14:schemeClr w14:val="tx1"/>
                        </w14:solidFill>
                      </w14:textFill>
                    </w:rPr>
                    <w:t>1、项目使用原料主要为</w:t>
                  </w:r>
                  <w:r>
                    <w:rPr>
                      <w:rFonts w:hint="eastAsia"/>
                      <w:i w:val="0"/>
                      <w:iCs w:val="0"/>
                      <w:color w:val="000000" w:themeColor="text1"/>
                      <w:sz w:val="21"/>
                      <w:szCs w:val="21"/>
                      <w:highlight w:val="none"/>
                      <w:lang w:val="en-US" w:eastAsia="zh-CN"/>
                      <w14:textFill>
                        <w14:solidFill>
                          <w14:schemeClr w14:val="tx1"/>
                        </w14:solidFill>
                      </w14:textFill>
                    </w:rPr>
                    <w:t>面粉</w:t>
                  </w:r>
                  <w:r>
                    <w:rPr>
                      <w:rFonts w:hint="eastAsia"/>
                      <w:i w:val="0"/>
                      <w:iCs w:val="0"/>
                      <w:color w:val="000000" w:themeColor="text1"/>
                      <w:sz w:val="21"/>
                      <w:szCs w:val="21"/>
                      <w:highlight w:val="none"/>
                      <w14:textFill>
                        <w14:solidFill>
                          <w14:schemeClr w14:val="tx1"/>
                        </w14:solidFill>
                      </w14:textFill>
                    </w:rPr>
                    <w:t>、</w:t>
                  </w:r>
                  <w:r>
                    <w:rPr>
                      <w:rFonts w:hint="eastAsia"/>
                      <w:i w:val="0"/>
                      <w:iCs w:val="0"/>
                      <w:color w:val="000000" w:themeColor="text1"/>
                      <w:sz w:val="21"/>
                      <w:szCs w:val="21"/>
                      <w:highlight w:val="none"/>
                      <w:lang w:val="en-US" w:eastAsia="zh-CN"/>
                      <w14:textFill>
                        <w14:solidFill>
                          <w14:schemeClr w14:val="tx1"/>
                        </w14:solidFill>
                      </w14:textFill>
                    </w:rPr>
                    <w:t>等</w:t>
                  </w:r>
                  <w:r>
                    <w:rPr>
                      <w:rFonts w:hint="eastAsia"/>
                      <w:bCs/>
                      <w:i w:val="0"/>
                      <w:iCs w:val="0"/>
                      <w:color w:val="000000" w:themeColor="text1"/>
                      <w:kern w:val="0"/>
                      <w:szCs w:val="21"/>
                      <w:highlight w:val="none"/>
                      <w14:textFill>
                        <w14:solidFill>
                          <w14:schemeClr w14:val="tx1"/>
                        </w14:solidFill>
                      </w14:textFill>
                    </w:rPr>
                    <w:t>。</w:t>
                  </w:r>
                  <w:r>
                    <w:rPr>
                      <w:rFonts w:hint="eastAsia"/>
                      <w:bCs/>
                      <w:i w:val="0"/>
                      <w:iCs w:val="0"/>
                      <w:color w:val="000000" w:themeColor="text1"/>
                      <w:kern w:val="0"/>
                      <w:szCs w:val="21"/>
                      <w:highlight w:val="none"/>
                      <w:lang w:val="en-US" w:eastAsia="zh-CN"/>
                      <w14:textFill>
                        <w14:solidFill>
                          <w14:schemeClr w14:val="tx1"/>
                        </w14:solidFill>
                      </w14:textFill>
                    </w:rPr>
                    <w:t>项目</w:t>
                  </w:r>
                  <w:r>
                    <w:rPr>
                      <w:rFonts w:hint="eastAsia"/>
                      <w:bCs/>
                      <w:i w:val="0"/>
                      <w:iCs w:val="0"/>
                      <w:color w:val="000000" w:themeColor="text1"/>
                      <w:kern w:val="0"/>
                      <w:szCs w:val="21"/>
                      <w:highlight w:val="none"/>
                      <w14:textFill>
                        <w14:solidFill>
                          <w14:schemeClr w14:val="tx1"/>
                        </w14:solidFill>
                      </w14:textFill>
                    </w:rPr>
                    <w:t>生产过程需要进行</w:t>
                  </w:r>
                  <w:r>
                    <w:rPr>
                      <w:rFonts w:hint="eastAsia"/>
                      <w:i w:val="0"/>
                      <w:iCs w:val="0"/>
                      <w:color w:val="000000" w:themeColor="text1"/>
                      <w:sz w:val="21"/>
                      <w:szCs w:val="21"/>
                      <w:highlight w:val="none"/>
                      <w:lang w:val="en-US" w:eastAsia="zh-CN"/>
                      <w14:textFill>
                        <w14:solidFill>
                          <w14:schemeClr w14:val="tx1"/>
                        </w14:solidFill>
                      </w14:textFill>
                    </w:rPr>
                    <w:t>和面</w:t>
                  </w:r>
                  <w:r>
                    <w:rPr>
                      <w:rFonts w:hint="eastAsia"/>
                      <w:bCs/>
                      <w:i w:val="0"/>
                      <w:iCs w:val="0"/>
                      <w:color w:val="000000" w:themeColor="text1"/>
                      <w:kern w:val="0"/>
                      <w:szCs w:val="21"/>
                      <w:highlight w:val="none"/>
                      <w14:textFill>
                        <w14:solidFill>
                          <w14:schemeClr w14:val="tx1"/>
                        </w14:solidFill>
                      </w14:textFill>
                    </w:rPr>
                    <w:t>，会有少</w:t>
                  </w:r>
                  <w:commentRangeStart w:id="17"/>
                  <w:r>
                    <w:rPr>
                      <w:rFonts w:hint="eastAsia"/>
                      <w:bCs/>
                      <w:i w:val="0"/>
                      <w:iCs w:val="0"/>
                      <w:color w:val="000000" w:themeColor="text1"/>
                      <w:kern w:val="0"/>
                      <w:szCs w:val="21"/>
                      <w:highlight w:val="none"/>
                      <w14:textFill>
                        <w14:solidFill>
                          <w14:schemeClr w14:val="tx1"/>
                        </w14:solidFill>
                      </w14:textFill>
                    </w:rPr>
                    <w:t>量粉尘产生。</w:t>
                  </w:r>
                  <w:r>
                    <w:rPr>
                      <w:i w:val="0"/>
                      <w:iCs w:val="0"/>
                      <w:color w:val="000000" w:themeColor="text1"/>
                      <w:sz w:val="21"/>
                      <w:szCs w:val="21"/>
                      <w:highlight w:val="none"/>
                      <w14:textFill>
                        <w14:solidFill>
                          <w14:schemeClr w14:val="tx1"/>
                        </w14:solidFill>
                      </w14:textFill>
                    </w:rPr>
                    <w:t>项目</w:t>
                  </w:r>
                  <w:r>
                    <w:rPr>
                      <w:rFonts w:hint="eastAsia"/>
                      <w:i w:val="0"/>
                      <w:iCs w:val="0"/>
                      <w:color w:val="000000" w:themeColor="text1"/>
                      <w:sz w:val="21"/>
                      <w:szCs w:val="21"/>
                      <w:highlight w:val="none"/>
                      <w:lang w:val="en-US" w:eastAsia="zh-CN"/>
                      <w14:textFill>
                        <w14:solidFill>
                          <w14:schemeClr w14:val="tx1"/>
                        </w14:solidFill>
                      </w14:textFill>
                    </w:rPr>
                    <w:t>和面</w:t>
                  </w:r>
                  <w:r>
                    <w:rPr>
                      <w:rFonts w:hint="eastAsia"/>
                      <w:i w:val="0"/>
                      <w:iCs w:val="0"/>
                      <w:color w:val="000000" w:themeColor="text1"/>
                      <w:sz w:val="21"/>
                      <w:szCs w:val="21"/>
                      <w:highlight w:val="none"/>
                      <w14:textFill>
                        <w14:solidFill>
                          <w14:schemeClr w14:val="tx1"/>
                        </w14:solidFill>
                      </w14:textFill>
                    </w:rPr>
                    <w:t>工序和面</w:t>
                  </w:r>
                  <w:commentRangeEnd w:id="17"/>
                  <w:r>
                    <w:commentReference w:id="17"/>
                  </w:r>
                  <w:r>
                    <w:rPr>
                      <w:rFonts w:hint="eastAsia"/>
                      <w:i w:val="0"/>
                      <w:iCs w:val="0"/>
                      <w:color w:val="000000" w:themeColor="text1"/>
                      <w:sz w:val="21"/>
                      <w:szCs w:val="21"/>
                      <w:highlight w:val="none"/>
                      <w14:textFill>
                        <w14:solidFill>
                          <w14:schemeClr w14:val="tx1"/>
                        </w14:solidFill>
                      </w14:textFill>
                    </w:rPr>
                    <w:t>机为全封闭式</w:t>
                  </w:r>
                  <w:r>
                    <w:rPr>
                      <w:rFonts w:hint="eastAsia"/>
                      <w:i w:val="0"/>
                      <w:iCs w:val="0"/>
                      <w:color w:val="000000" w:themeColor="text1"/>
                      <w:sz w:val="21"/>
                      <w:szCs w:val="21"/>
                      <w:highlight w:val="none"/>
                      <w:lang w:val="en-US" w:eastAsia="zh-CN"/>
                      <w14:textFill>
                        <w14:solidFill>
                          <w14:schemeClr w14:val="tx1"/>
                        </w14:solidFill>
                      </w14:textFill>
                    </w:rPr>
                    <w:t>密闭和面间</w:t>
                  </w:r>
                  <w:r>
                    <w:rPr>
                      <w:rFonts w:hint="eastAsia"/>
                      <w:i w:val="0"/>
                      <w:iCs w:val="0"/>
                      <w:color w:val="000000" w:themeColor="text1"/>
                      <w:sz w:val="21"/>
                      <w:szCs w:val="21"/>
                      <w:highlight w:val="none"/>
                      <w14:textFill>
                        <w14:solidFill>
                          <w14:schemeClr w14:val="tx1"/>
                        </w14:solidFill>
                      </w14:textFill>
                    </w:rPr>
                    <w:t>内进行，并采取抑尘措施</w:t>
                  </w:r>
                  <w:r>
                    <w:rPr>
                      <w:bCs/>
                      <w:i w:val="0"/>
                      <w:iCs w:val="0"/>
                      <w:color w:val="000000" w:themeColor="text1"/>
                      <w:kern w:val="0"/>
                      <w:szCs w:val="21"/>
                      <w:highlight w:val="none"/>
                      <w14:textFill>
                        <w14:solidFill>
                          <w14:schemeClr w14:val="tx1"/>
                        </w14:solidFill>
                      </w14:textFill>
                    </w:rPr>
                    <w:t>。</w:t>
                  </w:r>
                </w:p>
                <w:p w14:paraId="51AF5E1A">
                  <w:pPr>
                    <w:snapToGrid w:val="0"/>
                    <w:rPr>
                      <w:bCs/>
                      <w:i w:val="0"/>
                      <w:iCs w:val="0"/>
                      <w:color w:val="000000" w:themeColor="text1"/>
                      <w:kern w:val="0"/>
                      <w:szCs w:val="21"/>
                      <w:highlight w:val="none"/>
                      <w14:textFill>
                        <w14:solidFill>
                          <w14:schemeClr w14:val="tx1"/>
                        </w14:solidFill>
                      </w14:textFill>
                    </w:rPr>
                  </w:pPr>
                  <w:r>
                    <w:rPr>
                      <w:bCs/>
                      <w:i w:val="0"/>
                      <w:iCs w:val="0"/>
                      <w:color w:val="000000" w:themeColor="text1"/>
                      <w:kern w:val="0"/>
                      <w:szCs w:val="21"/>
                      <w:highlight w:val="none"/>
                      <w14:textFill>
                        <w14:solidFill>
                          <w14:schemeClr w14:val="tx1"/>
                        </w14:solidFill>
                      </w14:textFill>
                    </w:rPr>
                    <w:t>2、本项目</w:t>
                  </w:r>
                  <w:r>
                    <w:rPr>
                      <w:rFonts w:hint="eastAsia"/>
                      <w:bCs/>
                      <w:i w:val="0"/>
                      <w:iCs w:val="0"/>
                      <w:color w:val="000000" w:themeColor="text1"/>
                      <w:kern w:val="0"/>
                      <w:szCs w:val="21"/>
                      <w:highlight w:val="none"/>
                      <w:lang w:val="en-US" w:eastAsia="zh-CN"/>
                      <w14:textFill>
                        <w14:solidFill>
                          <w14:schemeClr w14:val="tx1"/>
                        </w14:solidFill>
                      </w14:textFill>
                    </w:rPr>
                    <w:t>不涉及</w:t>
                  </w:r>
                  <w:r>
                    <w:rPr>
                      <w:bCs/>
                      <w:i w:val="0"/>
                      <w:iCs w:val="0"/>
                      <w:color w:val="000000" w:themeColor="text1"/>
                      <w:kern w:val="0"/>
                      <w:szCs w:val="21"/>
                      <w:highlight w:val="none"/>
                      <w14:textFill>
                        <w14:solidFill>
                          <w14:schemeClr w14:val="tx1"/>
                        </w14:solidFill>
                      </w14:textFill>
                    </w:rPr>
                    <w:t>；</w:t>
                  </w:r>
                </w:p>
                <w:p w14:paraId="15348205">
                  <w:pPr>
                    <w:snapToGrid w:val="0"/>
                    <w:rPr>
                      <w:bCs/>
                      <w:i w:val="0"/>
                      <w:iCs w:val="0"/>
                      <w:color w:val="000000" w:themeColor="text1"/>
                      <w:kern w:val="0"/>
                      <w:szCs w:val="21"/>
                      <w:highlight w:val="none"/>
                      <w14:textFill>
                        <w14:solidFill>
                          <w14:schemeClr w14:val="tx1"/>
                        </w14:solidFill>
                      </w14:textFill>
                    </w:rPr>
                  </w:pPr>
                  <w:r>
                    <w:rPr>
                      <w:rFonts w:hint="eastAsia"/>
                      <w:bCs/>
                      <w:i w:val="0"/>
                      <w:iCs w:val="0"/>
                      <w:color w:val="000000" w:themeColor="text1"/>
                      <w:kern w:val="0"/>
                      <w:szCs w:val="21"/>
                      <w:highlight w:val="none"/>
                      <w14:textFill>
                        <w14:solidFill>
                          <w14:schemeClr w14:val="tx1"/>
                        </w14:solidFill>
                      </w14:textFill>
                    </w:rPr>
                    <w:t>3、</w:t>
                  </w:r>
                  <w:r>
                    <w:rPr>
                      <w:bCs/>
                      <w:i w:val="0"/>
                      <w:iCs w:val="0"/>
                      <w:color w:val="000000" w:themeColor="text1"/>
                      <w:kern w:val="0"/>
                      <w:szCs w:val="21"/>
                      <w:highlight w:val="none"/>
                      <w14:textFill>
                        <w14:solidFill>
                          <w14:schemeClr w14:val="tx1"/>
                        </w14:solidFill>
                      </w14:textFill>
                    </w:rPr>
                    <w:t>本项目不涉及脱硫石膏和废渣。项目产生的固废主要为职工生活垃圾、化粪池污泥、</w:t>
                  </w:r>
                  <w:r>
                    <w:rPr>
                      <w:rFonts w:hint="default" w:ascii="Times New Roman" w:hAnsi="Times New Roman" w:eastAsia="宋体" w:cs="Times New Roman"/>
                      <w:bCs/>
                      <w:i w:val="0"/>
                      <w:iCs w:val="0"/>
                      <w:color w:val="000000" w:themeColor="text1"/>
                      <w:kern w:val="0"/>
                      <w:sz w:val="21"/>
                      <w:szCs w:val="21"/>
                      <w:highlight w:val="none"/>
                      <w:u w:val="none"/>
                      <w:lang w:val="en-US" w:eastAsia="zh-CN"/>
                      <w14:textFill>
                        <w14:solidFill>
                          <w14:schemeClr w14:val="tx1"/>
                        </w14:solidFill>
                      </w14:textFill>
                    </w:rPr>
                    <w:t>肉末残渣</w:t>
                  </w:r>
                  <w:r>
                    <w:rPr>
                      <w:rFonts w:hint="eastAsia" w:ascii="Times New Roman" w:hAnsi="Times New Roman" w:eastAsia="宋体" w:cs="Times New Roman"/>
                      <w:bCs/>
                      <w:i w:val="0"/>
                      <w:iCs w:val="0"/>
                      <w:color w:val="000000" w:themeColor="text1"/>
                      <w:kern w:val="0"/>
                      <w:sz w:val="21"/>
                      <w:szCs w:val="21"/>
                      <w:highlight w:val="none"/>
                      <w:u w:val="none"/>
                      <w:lang w:val="en-US" w:eastAsia="zh-CN"/>
                      <w14:textFill>
                        <w14:solidFill>
                          <w14:schemeClr w14:val="tx1"/>
                        </w14:solidFill>
                      </w14:textFill>
                    </w:rPr>
                    <w:t>、</w:t>
                  </w:r>
                  <w:r>
                    <w:rPr>
                      <w:rFonts w:hint="eastAsia"/>
                      <w:bCs/>
                      <w:i w:val="0"/>
                      <w:iCs w:val="0"/>
                      <w:color w:val="000000" w:themeColor="text1"/>
                      <w:kern w:val="0"/>
                      <w:szCs w:val="21"/>
                      <w:highlight w:val="none"/>
                      <w:lang w:val="en-US" w:eastAsia="zh-CN"/>
                      <w14:textFill>
                        <w14:solidFill>
                          <w14:schemeClr w14:val="tx1"/>
                        </w14:solidFill>
                      </w14:textFill>
                    </w:rPr>
                    <w:t>蔬菜残渣、</w:t>
                  </w:r>
                  <w:r>
                    <w:rPr>
                      <w:rFonts w:hint="default" w:ascii="Times New Roman" w:hAnsi="Times New Roman" w:eastAsia="宋体" w:cs="Times New Roman"/>
                      <w:bCs/>
                      <w:i w:val="0"/>
                      <w:iCs w:val="0"/>
                      <w:color w:val="000000" w:themeColor="text1"/>
                      <w:kern w:val="0"/>
                      <w:sz w:val="21"/>
                      <w:szCs w:val="21"/>
                      <w:highlight w:val="none"/>
                      <w:u w:val="none"/>
                      <w14:textFill>
                        <w14:solidFill>
                          <w14:schemeClr w14:val="tx1"/>
                        </w14:solidFill>
                      </w14:textFill>
                    </w:rPr>
                    <w:t>废油脂</w:t>
                  </w:r>
                  <w:r>
                    <w:rPr>
                      <w:rFonts w:hint="eastAsia" w:ascii="Times New Roman" w:hAnsi="Times New Roman" w:eastAsia="宋体" w:cs="Times New Roman"/>
                      <w:bCs/>
                      <w:i w:val="0"/>
                      <w:iCs w:val="0"/>
                      <w:color w:val="000000" w:themeColor="text1"/>
                      <w:kern w:val="0"/>
                      <w:sz w:val="21"/>
                      <w:szCs w:val="21"/>
                      <w:highlight w:val="none"/>
                      <w:u w:val="none"/>
                      <w:lang w:eastAsia="zh-CN"/>
                      <w14:textFill>
                        <w14:solidFill>
                          <w14:schemeClr w14:val="tx1"/>
                        </w14:solidFill>
                      </w14:textFill>
                    </w:rPr>
                    <w:t>、</w:t>
                  </w:r>
                  <w:r>
                    <w:rPr>
                      <w:rFonts w:hint="default" w:ascii="Times New Roman" w:hAnsi="Times New Roman" w:eastAsia="宋体" w:cs="Times New Roman"/>
                      <w:bCs/>
                      <w:i w:val="0"/>
                      <w:iCs w:val="0"/>
                      <w:color w:val="000000" w:themeColor="text1"/>
                      <w:kern w:val="0"/>
                      <w:sz w:val="21"/>
                      <w:szCs w:val="21"/>
                      <w:highlight w:val="none"/>
                      <w:u w:val="none"/>
                      <w:lang w:val="en-US" w:eastAsia="zh-CN"/>
                      <w14:textFill>
                        <w14:solidFill>
                          <w14:schemeClr w14:val="tx1"/>
                        </w14:solidFill>
                      </w14:textFill>
                    </w:rPr>
                    <w:t>食品残渣</w:t>
                  </w:r>
                  <w:r>
                    <w:rPr>
                      <w:rFonts w:hint="eastAsia" w:ascii="Times New Roman" w:hAnsi="Times New Roman" w:eastAsia="宋体" w:cs="Times New Roman"/>
                      <w:bCs/>
                      <w:i w:val="0"/>
                      <w:iCs w:val="0"/>
                      <w:color w:val="000000" w:themeColor="text1"/>
                      <w:kern w:val="0"/>
                      <w:sz w:val="21"/>
                      <w:szCs w:val="21"/>
                      <w:highlight w:val="none"/>
                      <w:u w:val="none"/>
                      <w:lang w:val="en-US" w:eastAsia="zh-CN"/>
                      <w14:textFill>
                        <w14:solidFill>
                          <w14:schemeClr w14:val="tx1"/>
                        </w14:solidFill>
                      </w14:textFill>
                    </w:rPr>
                    <w:t>、</w:t>
                  </w:r>
                  <w:r>
                    <w:rPr>
                      <w:i w:val="0"/>
                      <w:iCs w:val="0"/>
                      <w:color w:val="000000" w:themeColor="text1"/>
                      <w:sz w:val="21"/>
                      <w:szCs w:val="21"/>
                      <w:highlight w:val="none"/>
                      <w14:textFill>
                        <w14:solidFill>
                          <w14:schemeClr w14:val="tx1"/>
                        </w14:solidFill>
                      </w14:textFill>
                    </w:rPr>
                    <w:t>废石英砂</w:t>
                  </w:r>
                  <w:r>
                    <w:rPr>
                      <w:rFonts w:hint="eastAsia"/>
                      <w:bCs/>
                      <w:i w:val="0"/>
                      <w:iCs w:val="0"/>
                      <w:color w:val="000000" w:themeColor="text1"/>
                      <w:kern w:val="0"/>
                      <w:szCs w:val="21"/>
                      <w:highlight w:val="none"/>
                      <w14:textFill>
                        <w14:solidFill>
                          <w14:schemeClr w14:val="tx1"/>
                        </w14:solidFill>
                      </w14:textFill>
                    </w:rPr>
                    <w:t>、</w:t>
                  </w:r>
                  <w:r>
                    <w:rPr>
                      <w:i w:val="0"/>
                      <w:iCs w:val="0"/>
                      <w:color w:val="000000" w:themeColor="text1"/>
                      <w:sz w:val="21"/>
                      <w:szCs w:val="21"/>
                      <w:highlight w:val="none"/>
                      <w14:textFill>
                        <w14:solidFill>
                          <w14:schemeClr w14:val="tx1"/>
                        </w14:solidFill>
                      </w14:textFill>
                    </w:rPr>
                    <w:t>废滤芯</w:t>
                  </w:r>
                  <w:r>
                    <w:rPr>
                      <w:rFonts w:hint="eastAsia"/>
                      <w:bCs/>
                      <w:i w:val="0"/>
                      <w:iCs w:val="0"/>
                      <w:color w:val="000000" w:themeColor="text1"/>
                      <w:kern w:val="0"/>
                      <w:szCs w:val="21"/>
                      <w:highlight w:val="none"/>
                      <w:lang w:eastAsia="zh-CN"/>
                      <w14:textFill>
                        <w14:solidFill>
                          <w14:schemeClr w14:val="tx1"/>
                        </w14:solidFill>
                      </w14:textFill>
                    </w:rPr>
                    <w:t>、</w:t>
                  </w:r>
                  <w:r>
                    <w:rPr>
                      <w:i w:val="0"/>
                      <w:iCs w:val="0"/>
                      <w:color w:val="000000" w:themeColor="text1"/>
                      <w:sz w:val="21"/>
                      <w:szCs w:val="21"/>
                      <w:highlight w:val="none"/>
                      <w14:textFill>
                        <w14:solidFill>
                          <w14:schemeClr w14:val="tx1"/>
                        </w14:solidFill>
                      </w14:textFill>
                    </w:rPr>
                    <w:t>废活性炭</w:t>
                  </w:r>
                  <w:r>
                    <w:rPr>
                      <w:rFonts w:hint="eastAsia"/>
                      <w:i w:val="0"/>
                      <w:iCs w:val="0"/>
                      <w:color w:val="000000" w:themeColor="text1"/>
                      <w:sz w:val="21"/>
                      <w:szCs w:val="21"/>
                      <w:highlight w:val="none"/>
                      <w:lang w:eastAsia="zh-CN"/>
                      <w14:textFill>
                        <w14:solidFill>
                          <w14:schemeClr w14:val="tx1"/>
                        </w14:solidFill>
                      </w14:textFill>
                    </w:rPr>
                    <w:t>、</w:t>
                  </w:r>
                  <w:r>
                    <w:rPr>
                      <w:bCs/>
                      <w:i w:val="0"/>
                      <w:iCs w:val="0"/>
                      <w:color w:val="000000" w:themeColor="text1"/>
                      <w:kern w:val="0"/>
                      <w:sz w:val="21"/>
                      <w:szCs w:val="21"/>
                      <w:highlight w:val="none"/>
                      <w14:textFill>
                        <w14:solidFill>
                          <w14:schemeClr w14:val="tx1"/>
                        </w14:solidFill>
                      </w14:textFill>
                    </w:rPr>
                    <w:t>废反渗透膜</w:t>
                  </w:r>
                  <w:r>
                    <w:rPr>
                      <w:rFonts w:hint="eastAsia"/>
                      <w:bCs/>
                      <w:i w:val="0"/>
                      <w:iCs w:val="0"/>
                      <w:color w:val="000000" w:themeColor="text1"/>
                      <w:kern w:val="0"/>
                      <w:szCs w:val="21"/>
                      <w:highlight w:val="none"/>
                      <w14:textFill>
                        <w14:solidFill>
                          <w14:schemeClr w14:val="tx1"/>
                        </w14:solidFill>
                      </w14:textFill>
                    </w:rPr>
                    <w:t>、废包装材料、</w:t>
                  </w:r>
                  <w:r>
                    <w:rPr>
                      <w:bCs/>
                      <w:i w:val="0"/>
                      <w:iCs w:val="0"/>
                      <w:color w:val="000000" w:themeColor="text1"/>
                      <w:kern w:val="0"/>
                      <w:szCs w:val="21"/>
                      <w:highlight w:val="none"/>
                      <w14:textFill>
                        <w14:solidFill>
                          <w14:schemeClr w14:val="tx1"/>
                        </w14:solidFill>
                      </w14:textFill>
                    </w:rPr>
                    <w:t>污水处理站污泥以及废润滑油及废润滑油桶。项目固废采取相应措施妥善处置，不产生二次污染。</w:t>
                  </w:r>
                </w:p>
              </w:tc>
              <w:tc>
                <w:tcPr>
                  <w:tcW w:w="532" w:type="pct"/>
                  <w:shd w:val="clear" w:color="auto" w:fill="auto"/>
                  <w:vAlign w:val="center"/>
                </w:tcPr>
                <w:p w14:paraId="5E62CCD4">
                  <w:pPr>
                    <w:snapToGrid w:val="0"/>
                    <w:jc w:val="center"/>
                    <w:rPr>
                      <w:rFonts w:hint="eastAsia" w:eastAsia="宋体"/>
                      <w:bCs/>
                      <w:i w:val="0"/>
                      <w:iCs w:val="0"/>
                      <w:color w:val="000000" w:themeColor="text1"/>
                      <w:kern w:val="0"/>
                      <w:szCs w:val="21"/>
                      <w:highlight w:val="none"/>
                      <w:lang w:val="en-US" w:eastAsia="zh-CN"/>
                      <w14:textFill>
                        <w14:solidFill>
                          <w14:schemeClr w14:val="tx1"/>
                        </w14:solidFill>
                      </w14:textFill>
                    </w:rPr>
                  </w:pPr>
                  <w:r>
                    <w:rPr>
                      <w:rFonts w:hint="eastAsia"/>
                      <w:bCs/>
                      <w:i w:val="0"/>
                      <w:iCs w:val="0"/>
                      <w:color w:val="000000" w:themeColor="text1"/>
                      <w:kern w:val="0"/>
                      <w:szCs w:val="21"/>
                      <w:highlight w:val="none"/>
                      <w:lang w:val="en-US" w:eastAsia="zh-CN"/>
                      <w14:textFill>
                        <w14:solidFill>
                          <w14:schemeClr w14:val="tx1"/>
                        </w14:solidFill>
                      </w14:textFill>
                    </w:rPr>
                    <w:t>相符</w:t>
                  </w:r>
                </w:p>
              </w:tc>
            </w:tr>
            <w:tr w14:paraId="3F2678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560364CD">
                  <w:pPr>
                    <w:widowControl/>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kern w:val="0"/>
                      <w:szCs w:val="21"/>
                      <w:highlight w:val="none"/>
                      <w:u w:val="none"/>
                      <w:lang w:bidi="ar"/>
                      <w14:textFill>
                        <w14:solidFill>
                          <w14:schemeClr w14:val="tx1"/>
                        </w14:solidFill>
                      </w14:textFill>
                    </w:rPr>
                    <w:t>视频监管</w:t>
                  </w:r>
                </w:p>
              </w:tc>
              <w:tc>
                <w:tcPr>
                  <w:tcW w:w="1977" w:type="pct"/>
                  <w:shd w:val="clear" w:color="auto" w:fill="auto"/>
                  <w:vAlign w:val="center"/>
                </w:tcPr>
                <w:p w14:paraId="56FC1878">
                  <w:pPr>
                    <w:widowControl/>
                    <w:jc w:val="both"/>
                    <w:rPr>
                      <w:rFonts w:hint="eastAsia"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kern w:val="0"/>
                      <w:szCs w:val="21"/>
                      <w:highlight w:val="none"/>
                      <w:u w:val="none"/>
                      <w:lang w:bidi="ar"/>
                      <w14:textFill>
                        <w14:solidFill>
                          <w14:schemeClr w14:val="tx1"/>
                        </w14:solidFill>
                      </w14:textFill>
                    </w:rPr>
                    <w:t>未安装自动在线监控的企业，应在主要生产设备（投料口、卸料口等位置）安装视频监控设施，相关数据保存6个月以上</w:t>
                  </w:r>
                  <w:r>
                    <w:rPr>
                      <w:rFonts w:hint="eastAsia"/>
                      <w:i w:val="0"/>
                      <w:iCs w:val="0"/>
                      <w:color w:val="000000" w:themeColor="text1"/>
                      <w:kern w:val="0"/>
                      <w:szCs w:val="21"/>
                      <w:highlight w:val="none"/>
                      <w:u w:val="none"/>
                      <w:lang w:eastAsia="zh-CN" w:bidi="ar"/>
                      <w14:textFill>
                        <w14:solidFill>
                          <w14:schemeClr w14:val="tx1"/>
                        </w14:solidFill>
                      </w14:textFill>
                    </w:rPr>
                    <w:t>。</w:t>
                  </w:r>
                </w:p>
              </w:tc>
              <w:tc>
                <w:tcPr>
                  <w:tcW w:w="1813" w:type="pct"/>
                  <w:shd w:val="clear" w:color="auto" w:fill="auto"/>
                  <w:vAlign w:val="center"/>
                </w:tcPr>
                <w:p w14:paraId="65B61F57">
                  <w:pPr>
                    <w:snapToGrid w:val="0"/>
                    <w:rPr>
                      <w:bCs/>
                      <w:i w:val="0"/>
                      <w:iCs w:val="0"/>
                      <w:color w:val="000000" w:themeColor="text1"/>
                      <w:kern w:val="0"/>
                      <w:szCs w:val="21"/>
                      <w:highlight w:val="none"/>
                      <w14:textFill>
                        <w14:solidFill>
                          <w14:schemeClr w14:val="tx1"/>
                        </w14:solidFill>
                      </w14:textFill>
                    </w:rPr>
                  </w:pPr>
                  <w:r>
                    <w:rPr>
                      <w:bCs/>
                      <w:i w:val="0"/>
                      <w:iCs w:val="0"/>
                      <w:color w:val="000000" w:themeColor="text1"/>
                      <w:kern w:val="0"/>
                      <w:szCs w:val="21"/>
                      <w:highlight w:val="none"/>
                      <w14:textFill>
                        <w14:solidFill>
                          <w14:schemeClr w14:val="tx1"/>
                        </w14:solidFill>
                      </w14:textFill>
                    </w:rPr>
                    <w:t>主要生产设备（投料口等位置）安装视频监控设施，相关数据保存6个月以上</w:t>
                  </w:r>
                  <w:r>
                    <w:rPr>
                      <w:rFonts w:hint="eastAsia"/>
                      <w:bCs/>
                      <w:i w:val="0"/>
                      <w:iCs w:val="0"/>
                      <w:color w:val="000000" w:themeColor="text1"/>
                      <w:kern w:val="0"/>
                      <w:szCs w:val="21"/>
                      <w:highlight w:val="none"/>
                      <w14:textFill>
                        <w14:solidFill>
                          <w14:schemeClr w14:val="tx1"/>
                        </w14:solidFill>
                      </w14:textFill>
                    </w:rPr>
                    <w:t>。</w:t>
                  </w:r>
                </w:p>
              </w:tc>
              <w:tc>
                <w:tcPr>
                  <w:tcW w:w="532" w:type="pct"/>
                  <w:shd w:val="clear" w:color="auto" w:fill="auto"/>
                  <w:vAlign w:val="center"/>
                </w:tcPr>
                <w:p w14:paraId="77CDEF5A">
                  <w:pPr>
                    <w:snapToGrid w:val="0"/>
                    <w:jc w:val="center"/>
                    <w:rPr>
                      <w:bCs/>
                      <w:i w:val="0"/>
                      <w:iCs w:val="0"/>
                      <w:color w:val="000000" w:themeColor="text1"/>
                      <w:kern w:val="0"/>
                      <w:szCs w:val="21"/>
                      <w:highlight w:val="none"/>
                      <w14:textFill>
                        <w14:solidFill>
                          <w14:schemeClr w14:val="tx1"/>
                        </w14:solidFill>
                      </w14:textFill>
                    </w:rPr>
                  </w:pPr>
                  <w:r>
                    <w:rPr>
                      <w:bCs/>
                      <w:i w:val="0"/>
                      <w:iCs w:val="0"/>
                      <w:color w:val="000000" w:themeColor="text1"/>
                      <w:kern w:val="0"/>
                      <w:szCs w:val="21"/>
                      <w:highlight w:val="none"/>
                      <w14:textFill>
                        <w14:solidFill>
                          <w14:schemeClr w14:val="tx1"/>
                        </w14:solidFill>
                      </w14:textFill>
                    </w:rPr>
                    <w:t>相符</w:t>
                  </w:r>
                </w:p>
              </w:tc>
            </w:tr>
            <w:tr w14:paraId="39F41B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5"/>
                  <w:vAlign w:val="center"/>
                </w:tcPr>
                <w:p w14:paraId="65E2D97A">
                  <w:pPr>
                    <w:jc w:val="center"/>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14:textFill>
                        <w14:solidFill>
                          <w14:schemeClr w14:val="tx1"/>
                        </w14:solidFill>
                      </w14:textFill>
                    </w:rPr>
                    <w:t>三</w:t>
                  </w:r>
                  <w:r>
                    <w:rPr>
                      <w:i w:val="0"/>
                      <w:iCs w:val="0"/>
                      <w:color w:val="000000" w:themeColor="text1"/>
                      <w:szCs w:val="21"/>
                      <w:highlight w:val="none"/>
                      <w14:textFill>
                        <w14:solidFill>
                          <w14:schemeClr w14:val="tx1"/>
                        </w14:solidFill>
                      </w14:textFill>
                    </w:rPr>
                    <w:t>、其他基本要求</w:t>
                  </w:r>
                </w:p>
              </w:tc>
            </w:tr>
            <w:tr w14:paraId="5F9664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27DECA55">
                  <w:pPr>
                    <w:widowControl/>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kern w:val="0"/>
                      <w:szCs w:val="21"/>
                      <w:highlight w:val="none"/>
                      <w:u w:val="none"/>
                      <w:lang w:bidi="ar"/>
                      <w14:textFill>
                        <w14:solidFill>
                          <w14:schemeClr w14:val="tx1"/>
                        </w14:solidFill>
                      </w14:textFill>
                    </w:rPr>
                    <w:t>厂容厂貌</w:t>
                  </w:r>
                </w:p>
              </w:tc>
              <w:tc>
                <w:tcPr>
                  <w:tcW w:w="1977" w:type="pct"/>
                  <w:shd w:val="clear" w:color="auto" w:fill="auto"/>
                  <w:vAlign w:val="center"/>
                </w:tcPr>
                <w:p w14:paraId="4C64F078">
                  <w:pPr>
                    <w:widowControl/>
                    <w:jc w:val="both"/>
                    <w:rPr>
                      <w:i w:val="0"/>
                      <w:iCs w:val="0"/>
                      <w:color w:val="000000" w:themeColor="text1"/>
                      <w:szCs w:val="21"/>
                      <w:highlight w:val="none"/>
                      <w:u w:val="none"/>
                      <w14:textFill>
                        <w14:solidFill>
                          <w14:schemeClr w14:val="tx1"/>
                        </w14:solidFill>
                      </w14:textFill>
                    </w:rPr>
                  </w:pPr>
                  <w:r>
                    <w:rPr>
                      <w:i w:val="0"/>
                      <w:iCs w:val="0"/>
                      <w:color w:val="000000" w:themeColor="text1"/>
                      <w:kern w:val="0"/>
                      <w:szCs w:val="21"/>
                      <w:highlight w:val="none"/>
                      <w:u w:val="none"/>
                      <w:lang w:bidi="ar"/>
                      <w14:textFill>
                        <w14:solidFill>
                          <w14:schemeClr w14:val="tx1"/>
                        </w14:solidFill>
                      </w14:textFill>
                    </w:rPr>
                    <w:t>1.厂区内道路、原辅材料和燃料堆场等路面应硬化；</w:t>
                  </w:r>
                </w:p>
                <w:p w14:paraId="476C69E3">
                  <w:pPr>
                    <w:widowControl/>
                    <w:jc w:val="both"/>
                    <w:rPr>
                      <w:i w:val="0"/>
                      <w:iCs w:val="0"/>
                      <w:color w:val="000000" w:themeColor="text1"/>
                      <w:szCs w:val="21"/>
                      <w:highlight w:val="none"/>
                      <w:u w:val="none"/>
                      <w14:textFill>
                        <w14:solidFill>
                          <w14:schemeClr w14:val="tx1"/>
                        </w14:solidFill>
                      </w14:textFill>
                    </w:rPr>
                  </w:pPr>
                  <w:r>
                    <w:rPr>
                      <w:i w:val="0"/>
                      <w:iCs w:val="0"/>
                      <w:color w:val="000000" w:themeColor="text1"/>
                      <w:kern w:val="0"/>
                      <w:szCs w:val="21"/>
                      <w:highlight w:val="none"/>
                      <w:u w:val="none"/>
                      <w:lang w:bidi="ar"/>
                      <w14:textFill>
                        <w14:solidFill>
                          <w14:schemeClr w14:val="tx1"/>
                        </w14:solidFill>
                      </w14:textFill>
                    </w:rPr>
                    <w:t>2.厂区内道路采取定期清扫、洒水等措施，保持清洁，路面无明显可见积尘；</w:t>
                  </w:r>
                </w:p>
                <w:p w14:paraId="79D2DF74">
                  <w:pPr>
                    <w:widowControl/>
                    <w:jc w:val="both"/>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kern w:val="0"/>
                      <w:szCs w:val="21"/>
                      <w:highlight w:val="none"/>
                      <w:u w:val="none"/>
                      <w:lang w:bidi="ar"/>
                      <w14:textFill>
                        <w14:solidFill>
                          <w14:schemeClr w14:val="tx1"/>
                        </w14:solidFill>
                      </w14:textFill>
                    </w:rPr>
                    <w:t>3.其他未利用地优先绿化，或进行硬化，无成片裸露土地。</w:t>
                  </w:r>
                </w:p>
              </w:tc>
              <w:tc>
                <w:tcPr>
                  <w:tcW w:w="1813" w:type="pct"/>
                  <w:vAlign w:val="center"/>
                </w:tcPr>
                <w:p w14:paraId="5B98DC07">
                  <w:pP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评价要求项目</w:t>
                  </w:r>
                  <w:commentRangeStart w:id="18"/>
                  <w:r>
                    <w:rPr>
                      <w:i w:val="0"/>
                      <w:iCs w:val="0"/>
                      <w:color w:val="000000" w:themeColor="text1"/>
                      <w:szCs w:val="21"/>
                      <w:highlight w:val="none"/>
                      <w14:textFill>
                        <w14:solidFill>
                          <w14:schemeClr w14:val="tx1"/>
                        </w14:solidFill>
                      </w14:textFill>
                    </w:rPr>
                    <w:t>厂区物料公</w:t>
                  </w:r>
                  <w:commentRangeEnd w:id="18"/>
                  <w:r>
                    <w:commentReference w:id="18"/>
                  </w:r>
                  <w:r>
                    <w:rPr>
                      <w:i w:val="0"/>
                      <w:iCs w:val="0"/>
                      <w:color w:val="000000" w:themeColor="text1"/>
                      <w:szCs w:val="21"/>
                      <w:highlight w:val="none"/>
                      <w14:textFill>
                        <w14:solidFill>
                          <w14:schemeClr w14:val="tx1"/>
                        </w14:solidFill>
                      </w14:textFill>
                    </w:rPr>
                    <w:t>路运输车辆使用国五及以上排放标准重型载货车辆，其他车辆达到国四排放标准，厂内运输车辆达到国五及以上排放标准，厂内非道路移动机械国三及以上排放标准。项目营运期危险废物出入厂区运输，委托有危险废物运输资质的单位，委托期间约定运输车辆使用国五及以上车辆</w:t>
                  </w:r>
                  <w:commentRangeStart w:id="19"/>
                  <w:r>
                    <w:rPr>
                      <w:i w:val="0"/>
                      <w:iCs w:val="0"/>
                      <w:color w:val="000000" w:themeColor="text1"/>
                      <w:szCs w:val="21"/>
                      <w:highlight w:val="none"/>
                      <w14:textFill>
                        <w14:solidFill>
                          <w14:schemeClr w14:val="tx1"/>
                        </w14:solidFill>
                      </w14:textFill>
                    </w:rPr>
                    <w:t>。</w:t>
                  </w:r>
                  <w:commentRangeEnd w:id="19"/>
                  <w:r>
                    <w:commentReference w:id="19"/>
                  </w:r>
                </w:p>
              </w:tc>
              <w:tc>
                <w:tcPr>
                  <w:tcW w:w="532" w:type="pct"/>
                  <w:vAlign w:val="center"/>
                </w:tcPr>
                <w:p w14:paraId="3F0BFDA8">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690F98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restart"/>
                  <w:shd w:val="clear" w:color="auto" w:fill="auto"/>
                  <w:vAlign w:val="center"/>
                </w:tcPr>
                <w:p w14:paraId="0EB942A8">
                  <w:pPr>
                    <w:widowControl/>
                    <w:jc w:val="center"/>
                    <w:rPr>
                      <w:i w:val="0"/>
                      <w:iCs w:val="0"/>
                      <w:color w:val="000000" w:themeColor="text1"/>
                      <w:kern w:val="0"/>
                      <w:szCs w:val="21"/>
                      <w:highlight w:val="none"/>
                      <w:u w:val="none"/>
                      <w:lang w:bidi="ar"/>
                      <w14:textFill>
                        <w14:solidFill>
                          <w14:schemeClr w14:val="tx1"/>
                        </w14:solidFill>
                      </w14:textFill>
                    </w:rPr>
                  </w:pPr>
                  <w:r>
                    <w:rPr>
                      <w:i w:val="0"/>
                      <w:iCs w:val="0"/>
                      <w:color w:val="000000" w:themeColor="text1"/>
                      <w:kern w:val="0"/>
                      <w:szCs w:val="21"/>
                      <w:highlight w:val="none"/>
                      <w:u w:val="none"/>
                      <w:lang w:val="en-US" w:eastAsia="zh-CN" w:bidi="ar"/>
                      <w14:textFill>
                        <w14:solidFill>
                          <w14:schemeClr w14:val="tx1"/>
                        </w14:solidFill>
                      </w14:textFill>
                    </w:rPr>
                    <w:t>环境</w:t>
                  </w:r>
                  <w:r>
                    <w:rPr>
                      <w:rFonts w:hint="eastAsia"/>
                      <w:i w:val="0"/>
                      <w:iCs w:val="0"/>
                      <w:color w:val="000000" w:themeColor="text1"/>
                      <w:kern w:val="0"/>
                      <w:szCs w:val="21"/>
                      <w:highlight w:val="none"/>
                      <w:u w:val="none"/>
                      <w:lang w:val="en-US" w:eastAsia="zh-CN" w:bidi="ar"/>
                      <w14:textFill>
                        <w14:solidFill>
                          <w14:schemeClr w14:val="tx1"/>
                        </w14:solidFill>
                      </w14:textFill>
                    </w:rPr>
                    <w:t>管理水平</w:t>
                  </w:r>
                </w:p>
              </w:tc>
              <w:tc>
                <w:tcPr>
                  <w:tcW w:w="397" w:type="pct"/>
                  <w:shd w:val="clear" w:color="auto" w:fill="auto"/>
                  <w:vAlign w:val="center"/>
                </w:tcPr>
                <w:p w14:paraId="528B37C0">
                  <w:pPr>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环保档案</w:t>
                  </w:r>
                </w:p>
              </w:tc>
              <w:tc>
                <w:tcPr>
                  <w:tcW w:w="1977" w:type="pct"/>
                  <w:shd w:val="clear" w:color="auto" w:fill="auto"/>
                  <w:vAlign w:val="center"/>
                </w:tcPr>
                <w:p w14:paraId="436CD153">
                  <w:pPr>
                    <w:jc w:val="both"/>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1.环评批复文件和竣工验收文件/现状评估文件；</w:t>
                  </w:r>
                </w:p>
                <w:p w14:paraId="694F2F8A">
                  <w:pPr>
                    <w:jc w:val="both"/>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2.废气治理设施运行管理规程；</w:t>
                  </w:r>
                </w:p>
                <w:p w14:paraId="2E0245B3">
                  <w:pPr>
                    <w:jc w:val="both"/>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3.一年内废气监测报告；</w:t>
                  </w:r>
                </w:p>
                <w:p w14:paraId="707A2019">
                  <w:pPr>
                    <w:jc w:val="both"/>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4.国家版排污许可证，并按要求开展自行监测和信息披露，规范设置废弃排放口标志牌、二维码标识和采样平台、采样孔。</w:t>
                  </w:r>
                </w:p>
              </w:tc>
              <w:tc>
                <w:tcPr>
                  <w:tcW w:w="1813" w:type="pct"/>
                  <w:shd w:val="clear" w:color="auto" w:fill="auto"/>
                  <w:vAlign w:val="center"/>
                </w:tcPr>
                <w:p w14:paraId="6FF7EE8E">
                  <w:pPr>
                    <w:pStyle w:val="40"/>
                    <w:spacing w:line="240" w:lineRule="auto"/>
                    <w:ind w:left="0" w:leftChars="0" w:right="0" w:rightChars="0" w:firstLine="0" w:firstLineChars="0"/>
                    <w:jc w:val="both"/>
                    <w:rPr>
                      <w:rFonts w:hint="eastAsia" w:ascii="Times New Roman" w:hAnsi="Times New Roman" w:eastAsia="宋体" w:cs="Times New Roman"/>
                      <w:bCs/>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 w:val="21"/>
                      <w:szCs w:val="21"/>
                      <w:highlight w:val="none"/>
                      <w:u w:val="none"/>
                      <w14:textFill>
                        <w14:solidFill>
                          <w14:schemeClr w14:val="tx1"/>
                        </w14:solidFill>
                      </w14:textFill>
                    </w:rPr>
                    <w:t>项目正在进行环境影响评价，取得批复后进行填报国家版排污许可证，并完善环境管理制度、废气治理设施运行管理规程。并按要求每年进行废气例行监测</w:t>
                  </w:r>
                  <w:r>
                    <w:rPr>
                      <w:rFonts w:hint="eastAsia"/>
                      <w:i w:val="0"/>
                      <w:iCs w:val="0"/>
                      <w:color w:val="000000" w:themeColor="text1"/>
                      <w:sz w:val="21"/>
                      <w:szCs w:val="21"/>
                      <w:highlight w:val="none"/>
                      <w:u w:val="none"/>
                      <w:lang w:eastAsia="zh-CN"/>
                      <w14:textFill>
                        <w14:solidFill>
                          <w14:schemeClr w14:val="tx1"/>
                        </w14:solidFill>
                      </w14:textFill>
                    </w:rPr>
                    <w:t>。</w:t>
                  </w:r>
                </w:p>
              </w:tc>
              <w:tc>
                <w:tcPr>
                  <w:tcW w:w="532" w:type="pct"/>
                  <w:vAlign w:val="center"/>
                </w:tcPr>
                <w:p w14:paraId="23ABDF38">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6DFA00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shd w:val="clear" w:color="auto" w:fill="auto"/>
                  <w:vAlign w:val="center"/>
                </w:tcPr>
                <w:p w14:paraId="0E6AE518">
                  <w:pPr>
                    <w:widowControl/>
                    <w:jc w:val="center"/>
                    <w:rPr>
                      <w:i w:val="0"/>
                      <w:iCs w:val="0"/>
                      <w:color w:val="000000" w:themeColor="text1"/>
                      <w:kern w:val="0"/>
                      <w:szCs w:val="21"/>
                      <w:highlight w:val="none"/>
                      <w:u w:val="none"/>
                      <w:lang w:val="en-US" w:eastAsia="zh-CN" w:bidi="ar"/>
                      <w14:textFill>
                        <w14:solidFill>
                          <w14:schemeClr w14:val="tx1"/>
                        </w14:solidFill>
                      </w14:textFill>
                    </w:rPr>
                  </w:pPr>
                </w:p>
              </w:tc>
              <w:tc>
                <w:tcPr>
                  <w:tcW w:w="397" w:type="pct"/>
                  <w:shd w:val="clear" w:color="auto" w:fill="auto"/>
                  <w:vAlign w:val="center"/>
                </w:tcPr>
                <w:p w14:paraId="3E50BDE4">
                  <w:pPr>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台账记录</w:t>
                  </w:r>
                </w:p>
              </w:tc>
              <w:tc>
                <w:tcPr>
                  <w:tcW w:w="1977" w:type="pct"/>
                  <w:shd w:val="clear" w:color="auto" w:fill="auto"/>
                  <w:vAlign w:val="center"/>
                </w:tcPr>
                <w:p w14:paraId="293B2A09">
                  <w:pPr>
                    <w:jc w:val="both"/>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1.生产设施运行管理信息（生产时间、运行负荷、产品产量等）；</w:t>
                  </w:r>
                </w:p>
                <w:p w14:paraId="3592A53B">
                  <w:pPr>
                    <w:jc w:val="both"/>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2.废气污染治理设施运行管理信息（除尘滤料等更换量和时间）；</w:t>
                  </w:r>
                </w:p>
                <w:p w14:paraId="41C8FE25">
                  <w:pPr>
                    <w:jc w:val="both"/>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3.监测记录信息（主要污染排放口废气排放记录（手工监测和在线监测））等；</w:t>
                  </w:r>
                </w:p>
                <w:p w14:paraId="0858792B">
                  <w:pPr>
                    <w:jc w:val="both"/>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4.主要原辅材料、燃料消耗记录；</w:t>
                  </w:r>
                </w:p>
                <w:p w14:paraId="25BD73BD">
                  <w:pPr>
                    <w:jc w:val="both"/>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5.电消耗记录。</w:t>
                  </w:r>
                </w:p>
              </w:tc>
              <w:tc>
                <w:tcPr>
                  <w:tcW w:w="1813" w:type="pct"/>
                  <w:shd w:val="clear" w:color="auto" w:fill="auto"/>
                  <w:vAlign w:val="center"/>
                </w:tcPr>
                <w:p w14:paraId="195B07D5">
                  <w:pPr>
                    <w:pStyle w:val="40"/>
                    <w:spacing w:line="240" w:lineRule="auto"/>
                    <w:ind w:left="0" w:leftChars="0" w:right="0" w:rightChars="0" w:firstLine="0" w:firstLineChars="0"/>
                    <w:jc w:val="both"/>
                    <w:rPr>
                      <w:rFonts w:ascii="Times New Roman" w:hAnsi="Times New Roman" w:eastAsia="宋体" w:cs="Times New Roman"/>
                      <w:bCs/>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 w:val="21"/>
                      <w:szCs w:val="21"/>
                      <w:highlight w:val="none"/>
                      <w:u w:val="none"/>
                      <w14:textFill>
                        <w14:solidFill>
                          <w14:schemeClr w14:val="tx1"/>
                        </w14:solidFill>
                      </w14:textFill>
                    </w:rPr>
                    <w:t>项目建成后生产过程记录生产设施运行管理信息，废气污染治理设施运行管理信息，监测记录信息，主要原辅材料记录，固废危废暂存、处理记录。</w:t>
                  </w:r>
                </w:p>
              </w:tc>
              <w:tc>
                <w:tcPr>
                  <w:tcW w:w="532" w:type="pct"/>
                  <w:vAlign w:val="center"/>
                </w:tcPr>
                <w:p w14:paraId="2B99E51D">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69460E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shd w:val="clear" w:color="auto" w:fill="auto"/>
                  <w:vAlign w:val="center"/>
                </w:tcPr>
                <w:p w14:paraId="5E4064FF">
                  <w:pPr>
                    <w:widowControl/>
                    <w:jc w:val="center"/>
                    <w:rPr>
                      <w:i w:val="0"/>
                      <w:iCs w:val="0"/>
                      <w:color w:val="000000" w:themeColor="text1"/>
                      <w:kern w:val="0"/>
                      <w:szCs w:val="21"/>
                      <w:highlight w:val="none"/>
                      <w:u w:val="none"/>
                      <w:lang w:val="en-US" w:eastAsia="zh-CN" w:bidi="ar"/>
                      <w14:textFill>
                        <w14:solidFill>
                          <w14:schemeClr w14:val="tx1"/>
                        </w14:solidFill>
                      </w14:textFill>
                    </w:rPr>
                  </w:pPr>
                </w:p>
              </w:tc>
              <w:tc>
                <w:tcPr>
                  <w:tcW w:w="397" w:type="pct"/>
                  <w:shd w:val="clear" w:color="auto" w:fill="auto"/>
                  <w:vAlign w:val="center"/>
                </w:tcPr>
                <w:p w14:paraId="73C0E7D6">
                  <w:pPr>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人员配置</w:t>
                  </w:r>
                </w:p>
              </w:tc>
              <w:tc>
                <w:tcPr>
                  <w:tcW w:w="1977" w:type="pct"/>
                  <w:shd w:val="clear" w:color="auto" w:fill="auto"/>
                  <w:vAlign w:val="center"/>
                </w:tcPr>
                <w:p w14:paraId="29179214">
                  <w:pPr>
                    <w:jc w:val="both"/>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配备专环保人员，并具备相应的环境管理能力（学历、培训、从业经验等）。</w:t>
                  </w:r>
                </w:p>
              </w:tc>
              <w:tc>
                <w:tcPr>
                  <w:tcW w:w="1813" w:type="pct"/>
                  <w:shd w:val="clear" w:color="auto" w:fill="auto"/>
                  <w:vAlign w:val="center"/>
                </w:tcPr>
                <w:p w14:paraId="4E1E5919">
                  <w:pPr>
                    <w:widowControl/>
                    <w:adjustRightInd w:val="0"/>
                    <w:snapToGrid w:val="0"/>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项目建成后按要求</w:t>
                  </w:r>
                  <w:r>
                    <w:rPr>
                      <w:i w:val="0"/>
                      <w:iCs w:val="0"/>
                      <w:color w:val="000000" w:themeColor="text1"/>
                      <w:kern w:val="0"/>
                      <w:szCs w:val="21"/>
                      <w:highlight w:val="none"/>
                      <w:u w:val="none"/>
                      <w:lang w:bidi="ar"/>
                      <w14:textFill>
                        <w14:solidFill>
                          <w14:schemeClr w14:val="tx1"/>
                        </w14:solidFill>
                      </w14:textFill>
                    </w:rPr>
                    <w:t>配备专职环保人员，并具备相应的环境管理能力（学历、培训、从业经验等）。</w:t>
                  </w:r>
                </w:p>
              </w:tc>
              <w:tc>
                <w:tcPr>
                  <w:tcW w:w="532" w:type="pct"/>
                  <w:vAlign w:val="center"/>
                </w:tcPr>
                <w:p w14:paraId="538AEDDF">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55DA7B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47" w:hRule="atLeast"/>
                <w:jc w:val="center"/>
              </w:trPr>
              <w:tc>
                <w:tcPr>
                  <w:tcW w:w="676" w:type="pct"/>
                  <w:gridSpan w:val="2"/>
                  <w:shd w:val="clear" w:color="auto" w:fill="auto"/>
                  <w:vAlign w:val="center"/>
                </w:tcPr>
                <w:p w14:paraId="546D65D5">
                  <w:pPr>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运输方式</w:t>
                  </w:r>
                </w:p>
              </w:tc>
              <w:tc>
                <w:tcPr>
                  <w:tcW w:w="1977" w:type="pct"/>
                  <w:shd w:val="clear" w:color="auto" w:fill="auto"/>
                  <w:vAlign w:val="center"/>
                </w:tcPr>
                <w:p w14:paraId="6035D52F">
                  <w:pPr>
                    <w:jc w:val="both"/>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1.物料、产品等公路运输全部使用国五及以上排放标准重型载货车辆（重型燃气车辆达到国六排放标准）或新能源车辆；</w:t>
                  </w:r>
                </w:p>
                <w:p w14:paraId="447EF363">
                  <w:pPr>
                    <w:jc w:val="both"/>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2.厂内运输全部使用国五及以上排放标准（重型燃气车辆达到国六排放标准）或使用新能源车辆；</w:t>
                  </w:r>
                </w:p>
                <w:p w14:paraId="5C283C5F">
                  <w:pPr>
                    <w:jc w:val="both"/>
                    <w:rPr>
                      <w:i w:val="0"/>
                      <w:iCs w:val="0"/>
                      <w:color w:val="000000" w:themeColor="text1"/>
                      <w:szCs w:val="21"/>
                      <w:highlight w:val="none"/>
                      <w:u w:val="none"/>
                      <w14:textFill>
                        <w14:solidFill>
                          <w14:schemeClr w14:val="tx1"/>
                        </w14:solidFill>
                      </w14:textFill>
                    </w:rPr>
                  </w:pPr>
                  <w:r>
                    <w:rPr>
                      <w:i w:val="0"/>
                      <w:iCs w:val="0"/>
                      <w:color w:val="000000" w:themeColor="text1"/>
                      <w:szCs w:val="21"/>
                      <w:highlight w:val="none"/>
                      <w:u w:val="none"/>
                      <w14:textFill>
                        <w14:solidFill>
                          <w14:schemeClr w14:val="tx1"/>
                        </w14:solidFill>
                      </w14:textFill>
                    </w:rPr>
                    <w:t>3.危险品及危废运输全部使用国五及以上排放标准（重型燃气车辆达到国六排放标准）或新能源车辆；</w:t>
                  </w:r>
                </w:p>
                <w:p w14:paraId="7C2EAAA4">
                  <w:pPr>
                    <w:jc w:val="both"/>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4.厂内非道路移动机械全部使用国三及以上排放标准或使用新能源（电动、氢能）机械</w:t>
                  </w:r>
                </w:p>
              </w:tc>
              <w:tc>
                <w:tcPr>
                  <w:tcW w:w="1813" w:type="pct"/>
                  <w:vAlign w:val="center"/>
                </w:tcPr>
                <w:p w14:paraId="2366D5FE">
                  <w:pP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评价建议企业参照《重污染天气重点行业移动源应急管理技术指南》建立门禁视频监控系统和电子台账。安装高清视频监控系统并能保留数据6个月以上。</w:t>
                  </w:r>
                </w:p>
              </w:tc>
              <w:tc>
                <w:tcPr>
                  <w:tcW w:w="532" w:type="pct"/>
                  <w:vAlign w:val="center"/>
                </w:tcPr>
                <w:p w14:paraId="156B6591">
                  <w:pPr>
                    <w:jc w:val="center"/>
                    <w:rPr>
                      <w:i w:val="0"/>
                      <w:iCs w:val="0"/>
                      <w:color w:val="000000" w:themeColor="text1"/>
                      <w:szCs w:val="21"/>
                      <w:highlight w:val="none"/>
                      <w14:textFill>
                        <w14:solidFill>
                          <w14:schemeClr w14:val="tx1"/>
                        </w14:solidFill>
                      </w14:textFill>
                    </w:rPr>
                  </w:pPr>
                  <w:commentRangeStart w:id="20"/>
                  <w:r>
                    <w:rPr>
                      <w:i w:val="0"/>
                      <w:iCs w:val="0"/>
                      <w:color w:val="000000" w:themeColor="text1"/>
                      <w:szCs w:val="21"/>
                      <w:highlight w:val="none"/>
                      <w14:textFill>
                        <w14:solidFill>
                          <w14:schemeClr w14:val="tx1"/>
                        </w14:solidFill>
                      </w14:textFill>
                    </w:rPr>
                    <w:t>相符</w:t>
                  </w:r>
                  <w:commentRangeEnd w:id="20"/>
                  <w:r>
                    <w:commentReference w:id="20"/>
                  </w:r>
                </w:p>
              </w:tc>
            </w:tr>
            <w:tr w14:paraId="1757F6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11D69FB8">
                  <w:pPr>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运输监管</w:t>
                  </w:r>
                </w:p>
              </w:tc>
              <w:tc>
                <w:tcPr>
                  <w:tcW w:w="1977" w:type="pct"/>
                  <w:shd w:val="clear" w:color="auto" w:fill="auto"/>
                  <w:vAlign w:val="center"/>
                </w:tcPr>
                <w:p w14:paraId="2740F43C">
                  <w:pPr>
                    <w:jc w:val="center"/>
                    <w:rPr>
                      <w:rFonts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i w:val="0"/>
                      <w:iCs w:val="0"/>
                      <w:color w:val="000000" w:themeColor="text1"/>
                      <w:szCs w:val="21"/>
                      <w:highlight w:val="none"/>
                      <w:u w:val="none"/>
                      <w14:textFill>
                        <w14:solidFill>
                          <w14:schemeClr w14:val="tx1"/>
                        </w14:solidFill>
                      </w14:textFill>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1813" w:type="pct"/>
                  <w:vAlign w:val="center"/>
                </w:tcPr>
                <w:p w14:paraId="61D10E1E">
                  <w:pP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企业正在完善环保文件，并建立健全环境管理制度配备环境管理人员。</w:t>
                  </w:r>
                </w:p>
              </w:tc>
              <w:tc>
                <w:tcPr>
                  <w:tcW w:w="532" w:type="pct"/>
                  <w:vAlign w:val="center"/>
                </w:tcPr>
                <w:p w14:paraId="67781C99">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w:t>
                  </w:r>
                </w:p>
              </w:tc>
            </w:tr>
            <w:tr w14:paraId="41993E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5"/>
                  <w:vAlign w:val="center"/>
                </w:tcPr>
                <w:p w14:paraId="0B268054">
                  <w:pPr>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涉锅炉/</w:t>
                  </w:r>
                  <w:r>
                    <w:rPr>
                      <w:rFonts w:hint="eastAsia"/>
                      <w:i w:val="0"/>
                      <w:iCs w:val="0"/>
                      <w:color w:val="000000" w:themeColor="text1"/>
                      <w:szCs w:val="21"/>
                      <w:highlight w:val="none"/>
                      <w14:textFill>
                        <w14:solidFill>
                          <w14:schemeClr w14:val="tx1"/>
                        </w14:solidFill>
                      </w14:textFill>
                    </w:rPr>
                    <w:t>炉窑企业绩效分级指标</w:t>
                  </w:r>
                </w:p>
              </w:tc>
            </w:tr>
            <w:tr w14:paraId="7DCAE6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3AFDA1FD">
                  <w:pPr>
                    <w:adjustRightInd w:val="0"/>
                    <w:snapToGrid w:val="0"/>
                    <w:jc w:val="center"/>
                    <w:rPr>
                      <w:rFonts w:eastAsiaTheme="minorEastAsia"/>
                      <w:i w:val="0"/>
                      <w:iCs w:val="0"/>
                      <w:color w:val="000000" w:themeColor="text1"/>
                      <w:sz w:val="21"/>
                      <w:szCs w:val="21"/>
                      <w:highlight w:val="none"/>
                      <w14:textFill>
                        <w14:solidFill>
                          <w14:schemeClr w14:val="tx1"/>
                        </w14:solidFill>
                      </w14:textFill>
                    </w:rPr>
                  </w:pPr>
                  <w:r>
                    <w:rPr>
                      <w:rFonts w:hint="eastAsia"/>
                      <w:i w:val="0"/>
                      <w:iCs w:val="0"/>
                      <w:color w:val="000000" w:themeColor="text1"/>
                      <w:szCs w:val="21"/>
                      <w:highlight w:val="none"/>
                      <w14:textFill>
                        <w14:solidFill>
                          <w14:schemeClr w14:val="tx1"/>
                        </w14:solidFill>
                      </w14:textFill>
                    </w:rPr>
                    <w:t>差异化指标</w:t>
                  </w:r>
                </w:p>
              </w:tc>
              <w:tc>
                <w:tcPr>
                  <w:tcW w:w="1977" w:type="pct"/>
                  <w:shd w:val="clear" w:color="auto" w:fill="auto"/>
                  <w:vAlign w:val="center"/>
                </w:tcPr>
                <w:p w14:paraId="2E541D54">
                  <w:pPr>
                    <w:adjustRightInd w:val="0"/>
                    <w:snapToGrid w:val="0"/>
                    <w:jc w:val="center"/>
                    <w:rPr>
                      <w:rFonts w:hint="eastAsia"/>
                      <w:i w:val="0"/>
                      <w:iCs w:val="0"/>
                      <w:color w:val="000000" w:themeColor="text1"/>
                      <w:kern w:val="0"/>
                      <w:szCs w:val="21"/>
                      <w:highlight w:val="none"/>
                      <w:lang w:bidi="ar"/>
                      <w14:textFill>
                        <w14:solidFill>
                          <w14:schemeClr w14:val="tx1"/>
                        </w14:solidFill>
                      </w14:textFill>
                    </w:rPr>
                  </w:pPr>
                  <w:r>
                    <w:rPr>
                      <w:rFonts w:hint="eastAsia"/>
                      <w:i w:val="0"/>
                      <w:iCs w:val="0"/>
                      <w:color w:val="000000" w:themeColor="text1"/>
                      <w:szCs w:val="21"/>
                      <w:highlight w:val="none"/>
                      <w14:textFill>
                        <w14:solidFill>
                          <w14:schemeClr w14:val="tx1"/>
                        </w14:solidFill>
                      </w14:textFill>
                    </w:rPr>
                    <w:t>A级企业</w:t>
                  </w:r>
                </w:p>
              </w:tc>
              <w:tc>
                <w:tcPr>
                  <w:tcW w:w="1813" w:type="pct"/>
                  <w:shd w:val="clear" w:color="auto" w:fill="auto"/>
                  <w:vAlign w:val="center"/>
                </w:tcPr>
                <w:p w14:paraId="2C51EEC6">
                  <w:pPr>
                    <w:adjustRightInd w:val="0"/>
                    <w:snapToGrid w:val="0"/>
                    <w:jc w:val="center"/>
                    <w:rPr>
                      <w:rFonts w:hint="eastAsia" w:eastAsiaTheme="minorEastAsia"/>
                      <w:i w:val="0"/>
                      <w:iCs w:val="0"/>
                      <w:color w:val="000000" w:themeColor="text1"/>
                      <w:sz w:val="2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企业对标情况</w:t>
                  </w:r>
                </w:p>
              </w:tc>
              <w:tc>
                <w:tcPr>
                  <w:tcW w:w="532" w:type="pct"/>
                  <w:shd w:val="clear" w:color="auto" w:fill="auto"/>
                  <w:vAlign w:val="center"/>
                </w:tcPr>
                <w:p w14:paraId="4D415F06">
                  <w:pPr>
                    <w:adjustRightInd w:val="0"/>
                    <w:snapToGrid w:val="0"/>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相符性</w:t>
                  </w:r>
                </w:p>
              </w:tc>
            </w:tr>
            <w:tr w14:paraId="5B6760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5197541C">
                  <w:pPr>
                    <w:pStyle w:val="40"/>
                    <w:spacing w:line="240" w:lineRule="auto"/>
                    <w:ind w:firstLine="0" w:firstLineChars="0"/>
                    <w:textAlignment w:val="baseline"/>
                    <w:rPr>
                      <w:rFonts w:eastAsiaTheme="minorEastAsia"/>
                      <w:i w:val="0"/>
                      <w:iCs w:val="0"/>
                      <w:color w:val="000000" w:themeColor="text1"/>
                      <w:sz w:val="21"/>
                      <w:szCs w:val="21"/>
                      <w:highlight w:val="none"/>
                      <w14:textFill>
                        <w14:solidFill>
                          <w14:schemeClr w14:val="tx1"/>
                        </w14:solidFill>
                      </w14:textFill>
                    </w:rPr>
                  </w:pPr>
                  <w:r>
                    <w:rPr>
                      <w:rFonts w:eastAsiaTheme="minorEastAsia"/>
                      <w:i w:val="0"/>
                      <w:iCs w:val="0"/>
                      <w:color w:val="000000" w:themeColor="text1"/>
                      <w:sz w:val="21"/>
                      <w:szCs w:val="21"/>
                      <w:highlight w:val="none"/>
                      <w14:textFill>
                        <w14:solidFill>
                          <w14:schemeClr w14:val="tx1"/>
                        </w14:solidFill>
                      </w14:textFill>
                    </w:rPr>
                    <w:t>能源类型</w:t>
                  </w:r>
                </w:p>
              </w:tc>
              <w:tc>
                <w:tcPr>
                  <w:tcW w:w="1977" w:type="pct"/>
                  <w:shd w:val="clear" w:color="auto" w:fill="auto"/>
                  <w:vAlign w:val="center"/>
                </w:tcPr>
                <w:p w14:paraId="35466542">
                  <w:pPr>
                    <w:widowControl/>
                    <w:jc w:val="both"/>
                    <w:rPr>
                      <w:i w:val="0"/>
                      <w:iCs w:val="0"/>
                      <w:color w:val="000000" w:themeColor="text1"/>
                      <w:kern w:val="0"/>
                      <w:szCs w:val="21"/>
                      <w:highlight w:val="none"/>
                      <w:lang w:bidi="ar"/>
                      <w14:textFill>
                        <w14:solidFill>
                          <w14:schemeClr w14:val="tx1"/>
                        </w14:solidFill>
                      </w14:textFill>
                    </w:rPr>
                  </w:pPr>
                  <w:r>
                    <w:rPr>
                      <w:rFonts w:hint="eastAsia"/>
                      <w:i w:val="0"/>
                      <w:iCs w:val="0"/>
                      <w:color w:val="000000" w:themeColor="text1"/>
                      <w:kern w:val="0"/>
                      <w:szCs w:val="21"/>
                      <w:highlight w:val="none"/>
                      <w:lang w:bidi="ar"/>
                      <w14:textFill>
                        <w14:solidFill>
                          <w14:schemeClr w14:val="tx1"/>
                        </w14:solidFill>
                      </w14:textFill>
                    </w:rPr>
                    <w:t>以电、天然气为能源</w:t>
                  </w:r>
                </w:p>
              </w:tc>
              <w:tc>
                <w:tcPr>
                  <w:tcW w:w="1813" w:type="pct"/>
                  <w:shd w:val="clear" w:color="auto" w:fill="auto"/>
                  <w:vAlign w:val="center"/>
                </w:tcPr>
                <w:p w14:paraId="1DCB55BA">
                  <w:pPr>
                    <w:pStyle w:val="40"/>
                    <w:spacing w:line="240" w:lineRule="auto"/>
                    <w:ind w:firstLine="0" w:firstLineChars="0"/>
                    <w:jc w:val="both"/>
                    <w:textAlignment w:val="baseline"/>
                    <w:rPr>
                      <w:rFonts w:eastAsiaTheme="minorEastAsia"/>
                      <w:i w:val="0"/>
                      <w:iCs w:val="0"/>
                      <w:color w:val="000000" w:themeColor="text1"/>
                      <w:sz w:val="21"/>
                      <w:szCs w:val="21"/>
                      <w:highlight w:val="none"/>
                      <w14:textFill>
                        <w14:solidFill>
                          <w14:schemeClr w14:val="tx1"/>
                        </w14:solidFill>
                      </w14:textFill>
                    </w:rPr>
                  </w:pPr>
                  <w:r>
                    <w:rPr>
                      <w:rFonts w:hint="eastAsia" w:eastAsiaTheme="minorEastAsia"/>
                      <w:i w:val="0"/>
                      <w:iCs w:val="0"/>
                      <w:color w:val="000000" w:themeColor="text1"/>
                      <w:sz w:val="21"/>
                      <w:szCs w:val="21"/>
                      <w:highlight w:val="none"/>
                      <w14:textFill>
                        <w14:solidFill>
                          <w14:schemeClr w14:val="tx1"/>
                        </w14:solidFill>
                      </w14:textFill>
                    </w:rPr>
                    <w:t>本项目以天然气为能源</w:t>
                  </w:r>
                </w:p>
              </w:tc>
              <w:tc>
                <w:tcPr>
                  <w:tcW w:w="532" w:type="pct"/>
                  <w:shd w:val="clear" w:color="auto" w:fill="auto"/>
                  <w:vAlign w:val="center"/>
                </w:tcPr>
                <w:p w14:paraId="1004EBF1">
                  <w:pPr>
                    <w:adjustRightInd w:val="0"/>
                    <w:snapToGrid w:val="0"/>
                    <w:jc w:val="center"/>
                    <w:rPr>
                      <w:rFonts w:ascii="Times New Roman" w:hAnsi="Times New Roman" w:eastAsia="宋体" w:cs="Times New Roman"/>
                      <w:i w:val="0"/>
                      <w:iCs w:val="0"/>
                      <w:color w:val="000000" w:themeColor="text1"/>
                      <w:kern w:val="2"/>
                      <w:sz w:val="21"/>
                      <w:szCs w:val="21"/>
                      <w:highlight w:val="none"/>
                      <w:lang w:val="en-US" w:eastAsia="zh-CN" w:bidi="ar-SA"/>
                      <w14:textFill>
                        <w14:solidFill>
                          <w14:schemeClr w14:val="tx1"/>
                        </w14:solidFill>
                      </w14:textFill>
                    </w:rPr>
                  </w:pPr>
                  <w:r>
                    <w:rPr>
                      <w:i w:val="0"/>
                      <w:iCs w:val="0"/>
                      <w:color w:val="000000" w:themeColor="text1"/>
                      <w:szCs w:val="21"/>
                      <w:highlight w:val="none"/>
                      <w14:textFill>
                        <w14:solidFill>
                          <w14:schemeClr w14:val="tx1"/>
                        </w14:solidFill>
                      </w14:textFill>
                    </w:rPr>
                    <w:t>相符性</w:t>
                  </w:r>
                </w:p>
              </w:tc>
            </w:tr>
            <w:tr w14:paraId="37A041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523546F9">
                  <w:pPr>
                    <w:pStyle w:val="40"/>
                    <w:spacing w:line="240" w:lineRule="auto"/>
                    <w:ind w:firstLine="0" w:firstLineChars="0"/>
                    <w:textAlignment w:val="baseline"/>
                    <w:rPr>
                      <w:rFonts w:eastAsiaTheme="minorEastAsia"/>
                      <w:i w:val="0"/>
                      <w:iCs w:val="0"/>
                      <w:color w:val="000000" w:themeColor="text1"/>
                      <w:sz w:val="21"/>
                      <w:szCs w:val="21"/>
                      <w:highlight w:val="none"/>
                      <w14:textFill>
                        <w14:solidFill>
                          <w14:schemeClr w14:val="tx1"/>
                        </w14:solidFill>
                      </w14:textFill>
                    </w:rPr>
                  </w:pPr>
                  <w:r>
                    <w:rPr>
                      <w:rFonts w:eastAsiaTheme="minorEastAsia"/>
                      <w:i w:val="0"/>
                      <w:iCs w:val="0"/>
                      <w:color w:val="000000" w:themeColor="text1"/>
                      <w:sz w:val="21"/>
                      <w:szCs w:val="21"/>
                      <w:highlight w:val="none"/>
                      <w14:textFill>
                        <w14:solidFill>
                          <w14:schemeClr w14:val="tx1"/>
                        </w14:solidFill>
                      </w14:textFill>
                    </w:rPr>
                    <w:t>生产工艺</w:t>
                  </w:r>
                </w:p>
              </w:tc>
              <w:tc>
                <w:tcPr>
                  <w:tcW w:w="1977" w:type="pct"/>
                  <w:shd w:val="clear" w:color="auto" w:fill="auto"/>
                  <w:vAlign w:val="center"/>
                </w:tcPr>
                <w:p w14:paraId="04430E9B">
                  <w:pPr>
                    <w:widowControl/>
                    <w:rPr>
                      <w:rFonts w:hint="eastAsia"/>
                      <w:i w:val="0"/>
                      <w:iCs w:val="0"/>
                      <w:color w:val="000000" w:themeColor="text1"/>
                      <w:kern w:val="0"/>
                      <w:szCs w:val="21"/>
                      <w:highlight w:val="none"/>
                      <w:lang w:val="en-US" w:eastAsia="zh-CN" w:bidi="ar"/>
                      <w14:textFill>
                        <w14:solidFill>
                          <w14:schemeClr w14:val="tx1"/>
                        </w14:solidFill>
                      </w14:textFill>
                    </w:rPr>
                  </w:pPr>
                  <w:r>
                    <w:rPr>
                      <w:rFonts w:hint="default"/>
                      <w:i w:val="0"/>
                      <w:iCs w:val="0"/>
                      <w:color w:val="000000" w:themeColor="text1"/>
                      <w:kern w:val="0"/>
                      <w:szCs w:val="21"/>
                      <w:highlight w:val="none"/>
                      <w:lang w:val="en-US" w:eastAsia="zh-CN" w:bidi="ar"/>
                      <w14:textFill>
                        <w14:solidFill>
                          <w14:schemeClr w14:val="tx1"/>
                        </w14:solidFill>
                      </w14:textFill>
                    </w:rPr>
                    <w:t>1.</w:t>
                  </w:r>
                  <w:r>
                    <w:rPr>
                      <w:i w:val="0"/>
                      <w:iCs w:val="0"/>
                      <w:color w:val="000000" w:themeColor="text1"/>
                      <w:kern w:val="0"/>
                      <w:szCs w:val="21"/>
                      <w:highlight w:val="none"/>
                      <w:lang w:val="en-US" w:eastAsia="zh-CN" w:bidi="ar"/>
                      <w14:textFill>
                        <w14:solidFill>
                          <w14:schemeClr w14:val="tx1"/>
                        </w14:solidFill>
                      </w14:textFill>
                    </w:rPr>
                    <w:t>属于《产业结构调整指导目录（</w:t>
                  </w:r>
                  <w:r>
                    <w:rPr>
                      <w:rFonts w:hint="default"/>
                      <w:i w:val="0"/>
                      <w:iCs w:val="0"/>
                      <w:color w:val="000000" w:themeColor="text1"/>
                      <w:kern w:val="0"/>
                      <w:szCs w:val="21"/>
                      <w:highlight w:val="none"/>
                      <w:lang w:val="en-US" w:eastAsia="zh-CN" w:bidi="ar"/>
                      <w14:textFill>
                        <w14:solidFill>
                          <w14:schemeClr w14:val="tx1"/>
                        </w14:solidFill>
                      </w14:textFill>
                    </w:rPr>
                    <w:t>2024</w:t>
                  </w:r>
                  <w:r>
                    <w:rPr>
                      <w:rFonts w:hint="eastAsia"/>
                      <w:i w:val="0"/>
                      <w:iCs w:val="0"/>
                      <w:color w:val="000000" w:themeColor="text1"/>
                      <w:kern w:val="0"/>
                      <w:szCs w:val="21"/>
                      <w:highlight w:val="none"/>
                      <w:lang w:val="en-US" w:eastAsia="zh-CN" w:bidi="ar"/>
                      <w14:textFill>
                        <w14:solidFill>
                          <w14:schemeClr w14:val="tx1"/>
                        </w14:solidFill>
                      </w14:textFill>
                    </w:rPr>
                    <w:t>）》鼓励类和允许类；</w:t>
                  </w:r>
                </w:p>
                <w:p w14:paraId="3774C044">
                  <w:pPr>
                    <w:widowControl/>
                    <w:rPr>
                      <w:rFonts w:hint="eastAsia"/>
                      <w:i w:val="0"/>
                      <w:iCs w:val="0"/>
                      <w:color w:val="000000" w:themeColor="text1"/>
                      <w:kern w:val="0"/>
                      <w:szCs w:val="21"/>
                      <w:highlight w:val="none"/>
                      <w:lang w:val="en-US" w:eastAsia="zh-CN" w:bidi="ar"/>
                      <w14:textFill>
                        <w14:solidFill>
                          <w14:schemeClr w14:val="tx1"/>
                        </w14:solidFill>
                      </w14:textFill>
                    </w:rPr>
                  </w:pPr>
                  <w:r>
                    <w:rPr>
                      <w:rFonts w:hint="default"/>
                      <w:i w:val="0"/>
                      <w:iCs w:val="0"/>
                      <w:color w:val="000000" w:themeColor="text1"/>
                      <w:kern w:val="0"/>
                      <w:szCs w:val="21"/>
                      <w:highlight w:val="none"/>
                      <w:lang w:val="en-US" w:eastAsia="zh-CN" w:bidi="ar"/>
                      <w14:textFill>
                        <w14:solidFill>
                          <w14:schemeClr w14:val="tx1"/>
                        </w14:solidFill>
                      </w14:textFill>
                    </w:rPr>
                    <w:t>2.</w:t>
                  </w:r>
                  <w:r>
                    <w:rPr>
                      <w:rFonts w:hint="eastAsia"/>
                      <w:i w:val="0"/>
                      <w:iCs w:val="0"/>
                      <w:color w:val="000000" w:themeColor="text1"/>
                      <w:kern w:val="0"/>
                      <w:szCs w:val="21"/>
                      <w:highlight w:val="none"/>
                      <w:lang w:val="en-US" w:eastAsia="zh-CN" w:bidi="ar"/>
                      <w14:textFill>
                        <w14:solidFill>
                          <w14:schemeClr w14:val="tx1"/>
                        </w14:solidFill>
                      </w14:textFill>
                    </w:rPr>
                    <w:t>符合相关行业产业政策；</w:t>
                  </w:r>
                </w:p>
                <w:p w14:paraId="0B280744">
                  <w:pPr>
                    <w:widowControl/>
                    <w:rPr>
                      <w:rFonts w:hint="eastAsia"/>
                      <w:i w:val="0"/>
                      <w:iCs w:val="0"/>
                      <w:color w:val="000000" w:themeColor="text1"/>
                      <w:kern w:val="0"/>
                      <w:szCs w:val="21"/>
                      <w:highlight w:val="none"/>
                      <w:lang w:val="en-US" w:eastAsia="zh-CN" w:bidi="ar"/>
                      <w14:textFill>
                        <w14:solidFill>
                          <w14:schemeClr w14:val="tx1"/>
                        </w14:solidFill>
                      </w14:textFill>
                    </w:rPr>
                  </w:pPr>
                  <w:r>
                    <w:rPr>
                      <w:rFonts w:hint="default"/>
                      <w:i w:val="0"/>
                      <w:iCs w:val="0"/>
                      <w:color w:val="000000" w:themeColor="text1"/>
                      <w:kern w:val="0"/>
                      <w:szCs w:val="21"/>
                      <w:highlight w:val="none"/>
                      <w:lang w:val="en-US" w:eastAsia="zh-CN" w:bidi="ar"/>
                      <w14:textFill>
                        <w14:solidFill>
                          <w14:schemeClr w14:val="tx1"/>
                        </w14:solidFill>
                      </w14:textFill>
                    </w:rPr>
                    <w:t>3.</w:t>
                  </w:r>
                  <w:r>
                    <w:rPr>
                      <w:rFonts w:hint="eastAsia"/>
                      <w:i w:val="0"/>
                      <w:iCs w:val="0"/>
                      <w:color w:val="000000" w:themeColor="text1"/>
                      <w:kern w:val="0"/>
                      <w:szCs w:val="21"/>
                      <w:highlight w:val="none"/>
                      <w:lang w:val="en-US" w:eastAsia="zh-CN" w:bidi="ar"/>
                      <w14:textFill>
                        <w14:solidFill>
                          <w14:schemeClr w14:val="tx1"/>
                        </w14:solidFill>
                      </w14:textFill>
                    </w:rPr>
                    <w:t>符合河南省相关政策要求；</w:t>
                  </w:r>
                </w:p>
                <w:p w14:paraId="5A05DE3D">
                  <w:pPr>
                    <w:widowControl/>
                    <w:rPr>
                      <w:i w:val="0"/>
                      <w:iCs w:val="0"/>
                      <w:color w:val="000000" w:themeColor="text1"/>
                      <w:kern w:val="0"/>
                      <w:szCs w:val="21"/>
                      <w:highlight w:val="none"/>
                      <w:lang w:bidi="ar"/>
                      <w14:textFill>
                        <w14:solidFill>
                          <w14:schemeClr w14:val="tx1"/>
                        </w14:solidFill>
                      </w14:textFill>
                    </w:rPr>
                  </w:pPr>
                  <w:r>
                    <w:rPr>
                      <w:rFonts w:hint="default"/>
                      <w:i w:val="0"/>
                      <w:iCs w:val="0"/>
                      <w:color w:val="000000" w:themeColor="text1"/>
                      <w:kern w:val="0"/>
                      <w:szCs w:val="21"/>
                      <w:highlight w:val="none"/>
                      <w:lang w:val="en-US" w:eastAsia="zh-CN" w:bidi="ar"/>
                      <w14:textFill>
                        <w14:solidFill>
                          <w14:schemeClr w14:val="tx1"/>
                        </w14:solidFill>
                      </w14:textFill>
                    </w:rPr>
                    <w:t>4.</w:t>
                  </w:r>
                  <w:r>
                    <w:rPr>
                      <w:rFonts w:hint="eastAsia"/>
                      <w:i w:val="0"/>
                      <w:iCs w:val="0"/>
                      <w:color w:val="000000" w:themeColor="text1"/>
                      <w:kern w:val="0"/>
                      <w:szCs w:val="21"/>
                      <w:highlight w:val="none"/>
                      <w:lang w:val="en-US" w:eastAsia="zh-CN" w:bidi="ar"/>
                      <w14:textFill>
                        <w14:solidFill>
                          <w14:schemeClr w14:val="tx1"/>
                        </w14:solidFill>
                      </w14:textFill>
                    </w:rPr>
                    <w:t>符合市级规划。</w:t>
                  </w:r>
                </w:p>
              </w:tc>
              <w:tc>
                <w:tcPr>
                  <w:tcW w:w="1813" w:type="pct"/>
                  <w:shd w:val="clear" w:color="auto" w:fill="auto"/>
                  <w:vAlign w:val="center"/>
                </w:tcPr>
                <w:p w14:paraId="6D7C56C4">
                  <w:pPr>
                    <w:pStyle w:val="40"/>
                    <w:spacing w:line="240" w:lineRule="auto"/>
                    <w:ind w:firstLine="0" w:firstLineChars="0"/>
                    <w:jc w:val="both"/>
                    <w:textAlignment w:val="baseline"/>
                    <w:rPr>
                      <w:rFonts w:eastAsiaTheme="minorEastAsia"/>
                      <w:i w:val="0"/>
                      <w:iCs w:val="0"/>
                      <w:color w:val="000000" w:themeColor="text1"/>
                      <w:sz w:val="21"/>
                      <w:szCs w:val="21"/>
                      <w:highlight w:val="none"/>
                      <w14:textFill>
                        <w14:solidFill>
                          <w14:schemeClr w14:val="tx1"/>
                        </w14:solidFill>
                      </w14:textFill>
                    </w:rPr>
                  </w:pPr>
                  <w:r>
                    <w:rPr>
                      <w:rFonts w:hint="eastAsia" w:eastAsiaTheme="minorEastAsia"/>
                      <w:i w:val="0"/>
                      <w:iCs w:val="0"/>
                      <w:color w:val="000000" w:themeColor="text1"/>
                      <w:sz w:val="21"/>
                      <w:szCs w:val="21"/>
                      <w:highlight w:val="none"/>
                      <w14:textFill>
                        <w14:solidFill>
                          <w14:schemeClr w14:val="tx1"/>
                        </w14:solidFill>
                      </w14:textFill>
                    </w:rPr>
                    <w:t>本项目属于《产业结构调整指导目录（2024年版）》中的</w:t>
                  </w:r>
                  <w:r>
                    <w:rPr>
                      <w:rFonts w:hint="eastAsia" w:eastAsiaTheme="minorEastAsia"/>
                      <w:i w:val="0"/>
                      <w:iCs w:val="0"/>
                      <w:color w:val="000000" w:themeColor="text1"/>
                      <w:sz w:val="21"/>
                      <w:szCs w:val="21"/>
                      <w:highlight w:val="none"/>
                      <w:lang w:val="en-US" w:eastAsia="zh-CN"/>
                      <w14:textFill>
                        <w14:solidFill>
                          <w14:schemeClr w14:val="tx1"/>
                        </w14:solidFill>
                      </w14:textFill>
                    </w:rPr>
                    <w:t>鼓励</w:t>
                  </w:r>
                  <w:r>
                    <w:rPr>
                      <w:rFonts w:hint="eastAsia" w:eastAsiaTheme="minorEastAsia"/>
                      <w:i w:val="0"/>
                      <w:iCs w:val="0"/>
                      <w:color w:val="000000" w:themeColor="text1"/>
                      <w:sz w:val="21"/>
                      <w:szCs w:val="21"/>
                      <w:highlight w:val="none"/>
                      <w14:textFill>
                        <w14:solidFill>
                          <w14:schemeClr w14:val="tx1"/>
                        </w14:solidFill>
                      </w14:textFill>
                    </w:rPr>
                    <w:t>类；且符合相关行业产业政策、河南省相关政策要求以及市级规划</w:t>
                  </w:r>
                </w:p>
              </w:tc>
              <w:tc>
                <w:tcPr>
                  <w:tcW w:w="532" w:type="pct"/>
                  <w:shd w:val="clear" w:color="auto" w:fill="auto"/>
                  <w:vAlign w:val="center"/>
                </w:tcPr>
                <w:p w14:paraId="640BAF47">
                  <w:pPr>
                    <w:spacing w:line="240" w:lineRule="auto"/>
                    <w:ind w:firstLine="0" w:firstLineChars="0"/>
                    <w:jc w:val="center"/>
                    <w:textAlignment w:val="baseline"/>
                    <w:rPr>
                      <w:rFonts w:eastAsiaTheme="minorEastAsia"/>
                      <w:i w:val="0"/>
                      <w:iCs w:val="0"/>
                      <w:color w:val="000000" w:themeColor="text1"/>
                      <w:sz w:val="21"/>
                      <w:szCs w:val="21"/>
                      <w:highlight w:val="none"/>
                      <w14:textFill>
                        <w14:solidFill>
                          <w14:schemeClr w14:val="tx1"/>
                        </w14:solidFill>
                      </w14:textFill>
                    </w:rPr>
                  </w:pPr>
                  <w:r>
                    <w:rPr>
                      <w:rFonts w:hint="eastAsia"/>
                      <w:i w:val="0"/>
                      <w:iCs w:val="0"/>
                      <w:color w:val="000000" w:themeColor="text1"/>
                      <w:highlight w:val="none"/>
                      <w14:textFill>
                        <w14:solidFill>
                          <w14:schemeClr w14:val="tx1"/>
                        </w14:solidFill>
                      </w14:textFill>
                    </w:rPr>
                    <w:t>相符</w:t>
                  </w:r>
                </w:p>
              </w:tc>
            </w:tr>
            <w:tr w14:paraId="03676E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shd w:val="clear" w:color="auto" w:fill="auto"/>
                  <w:vAlign w:val="center"/>
                </w:tcPr>
                <w:p w14:paraId="60CDA33C">
                  <w:pPr>
                    <w:spacing w:before="60" w:after="60"/>
                    <w:jc w:val="center"/>
                    <w:outlineLvl w:val="0"/>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污染治理技术</w:t>
                  </w:r>
                </w:p>
              </w:tc>
              <w:tc>
                <w:tcPr>
                  <w:tcW w:w="1977" w:type="pct"/>
                  <w:shd w:val="clear" w:color="auto" w:fill="auto"/>
                </w:tcPr>
                <w:p w14:paraId="491C1CF1">
                  <w:pPr>
                    <w:spacing w:before="60" w:after="60"/>
                    <w:rPr>
                      <w:i w:val="0"/>
                      <w:iCs w:val="0"/>
                      <w:color w:val="000000" w:themeColor="text1"/>
                      <w:szCs w:val="21"/>
                      <w:highlight w:val="none"/>
                      <w14:textFill>
                        <w14:solidFill>
                          <w14:schemeClr w14:val="tx1"/>
                        </w14:solidFill>
                      </w14:textFill>
                    </w:rPr>
                  </w:pPr>
                  <w:r>
                    <w:rPr>
                      <w:rFonts w:hint="default"/>
                      <w:i w:val="0"/>
                      <w:iCs w:val="0"/>
                      <w:color w:val="000000" w:themeColor="text1"/>
                      <w:szCs w:val="21"/>
                      <w:highlight w:val="none"/>
                      <w:lang w:val="en-US" w:eastAsia="zh-CN"/>
                      <w14:textFill>
                        <w14:solidFill>
                          <w14:schemeClr w14:val="tx1"/>
                        </w14:solidFill>
                      </w14:textFill>
                    </w:rPr>
                    <w:t>1.</w:t>
                  </w:r>
                  <w:r>
                    <w:rPr>
                      <w:i w:val="0"/>
                      <w:iCs w:val="0"/>
                      <w:color w:val="000000" w:themeColor="text1"/>
                      <w:szCs w:val="21"/>
                      <w:highlight w:val="none"/>
                      <w:lang w:val="en-US" w:eastAsia="zh-CN"/>
                      <w14:textFill>
                        <w14:solidFill>
                          <w14:schemeClr w14:val="tx1"/>
                        </w14:solidFill>
                      </w14:textFill>
                    </w:rPr>
                    <w:t>电窑：</w:t>
                  </w:r>
                </w:p>
                <w:p w14:paraId="06E718B5">
                  <w:pPr>
                    <w:spacing w:before="60" w:after="60"/>
                    <w:rPr>
                      <w:i w:val="0"/>
                      <w:iCs w:val="0"/>
                      <w:color w:val="000000" w:themeColor="text1"/>
                      <w:szCs w:val="21"/>
                      <w:highlight w:val="none"/>
                      <w14:textFill>
                        <w14:solidFill>
                          <w14:schemeClr w14:val="tx1"/>
                        </w14:solidFill>
                      </w14:textFill>
                    </w:rPr>
                  </w:pPr>
                  <w:r>
                    <w:rPr>
                      <w:rFonts w:hint="default"/>
                      <w:i w:val="0"/>
                      <w:iCs w:val="0"/>
                      <w:color w:val="000000" w:themeColor="text1"/>
                      <w:szCs w:val="21"/>
                      <w:highlight w:val="none"/>
                      <w:lang w:val="en-US" w:eastAsia="zh-CN"/>
                      <w14:textFill>
                        <w14:solidFill>
                          <w14:schemeClr w14:val="tx1"/>
                        </w14:solidFill>
                      </w14:textFill>
                    </w:rPr>
                    <w:t>PM</w:t>
                  </w:r>
                  <w:r>
                    <w:rPr>
                      <w:rFonts w:hint="eastAsia"/>
                      <w:i w:val="0"/>
                      <w:iCs w:val="0"/>
                      <w:color w:val="000000" w:themeColor="text1"/>
                      <w:szCs w:val="21"/>
                      <w:highlight w:val="none"/>
                      <w:lang w:val="en-US" w:eastAsia="zh-CN"/>
                      <w14:textFill>
                        <w14:solidFill>
                          <w14:schemeClr w14:val="tx1"/>
                        </w14:solidFill>
                      </w14:textFill>
                    </w:rPr>
                    <w:t>采用袋式除尘、电袋复合除尘、湿电除尘、静电除尘等高效除尘技术。</w:t>
                  </w:r>
                </w:p>
                <w:p w14:paraId="143DA503">
                  <w:pPr>
                    <w:spacing w:before="60" w:after="60"/>
                    <w:rPr>
                      <w:i w:val="0"/>
                      <w:iCs w:val="0"/>
                      <w:color w:val="000000" w:themeColor="text1"/>
                      <w:szCs w:val="21"/>
                      <w:highlight w:val="none"/>
                      <w14:textFill>
                        <w14:solidFill>
                          <w14:schemeClr w14:val="tx1"/>
                        </w14:solidFill>
                      </w14:textFill>
                    </w:rPr>
                  </w:pPr>
                  <w:r>
                    <w:rPr>
                      <w:rFonts w:hint="default"/>
                      <w:i w:val="0"/>
                      <w:iCs w:val="0"/>
                      <w:color w:val="000000" w:themeColor="text1"/>
                      <w:szCs w:val="21"/>
                      <w:highlight w:val="none"/>
                      <w:lang w:val="en-US" w:eastAsia="zh-CN"/>
                      <w14:textFill>
                        <w14:solidFill>
                          <w14:schemeClr w14:val="tx1"/>
                        </w14:solidFill>
                      </w14:textFill>
                    </w:rPr>
                    <w:t>2.</w:t>
                  </w:r>
                  <w:r>
                    <w:rPr>
                      <w:rFonts w:hint="eastAsia"/>
                      <w:i w:val="0"/>
                      <w:iCs w:val="0"/>
                      <w:color w:val="000000" w:themeColor="text1"/>
                      <w:szCs w:val="21"/>
                      <w:highlight w:val="none"/>
                      <w:lang w:val="en-US" w:eastAsia="zh-CN"/>
                      <w14:textFill>
                        <w14:solidFill>
                          <w14:schemeClr w14:val="tx1"/>
                        </w14:solidFill>
                      </w14:textFill>
                    </w:rPr>
                    <w:t>燃气锅炉</w:t>
                  </w:r>
                  <w:r>
                    <w:rPr>
                      <w:rFonts w:hint="default"/>
                      <w:i w:val="0"/>
                      <w:iCs w:val="0"/>
                      <w:color w:val="000000" w:themeColor="text1"/>
                      <w:szCs w:val="21"/>
                      <w:highlight w:val="none"/>
                      <w:lang w:val="en-US" w:eastAsia="zh-CN"/>
                      <w14:textFill>
                        <w14:solidFill>
                          <w14:schemeClr w14:val="tx1"/>
                        </w14:solidFill>
                      </w14:textFill>
                    </w:rPr>
                    <w:t>/</w:t>
                  </w:r>
                  <w:r>
                    <w:rPr>
                      <w:rFonts w:hint="eastAsia"/>
                      <w:i w:val="0"/>
                      <w:iCs w:val="0"/>
                      <w:color w:val="000000" w:themeColor="text1"/>
                      <w:szCs w:val="21"/>
                      <w:highlight w:val="none"/>
                      <w:lang w:val="en-US" w:eastAsia="zh-CN"/>
                      <w14:textFill>
                        <w14:solidFill>
                          <w14:schemeClr w14:val="tx1"/>
                        </w14:solidFill>
                      </w14:textFill>
                    </w:rPr>
                    <w:t>炉窑：</w:t>
                  </w:r>
                </w:p>
                <w:p w14:paraId="7538F8F2">
                  <w:pPr>
                    <w:spacing w:before="60" w:after="60"/>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1</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PM</w:t>
                  </w:r>
                  <w:r>
                    <w:rPr>
                      <w:rFonts w:hint="eastAsia"/>
                      <w:i w:val="0"/>
                      <w:iCs w:val="0"/>
                      <w:color w:val="000000" w:themeColor="text1"/>
                      <w:szCs w:val="21"/>
                      <w:highlight w:val="none"/>
                      <w:vertAlign w:val="superscript"/>
                      <w:lang w:val="en-US" w:eastAsia="zh-CN"/>
                      <w14:textFill>
                        <w14:solidFill>
                          <w14:schemeClr w14:val="tx1"/>
                        </w14:solidFill>
                      </w14:textFill>
                    </w:rPr>
                    <w:t>【</w:t>
                  </w:r>
                  <w:r>
                    <w:rPr>
                      <w:rFonts w:hint="default"/>
                      <w:i w:val="0"/>
                      <w:iCs w:val="0"/>
                      <w:color w:val="000000" w:themeColor="text1"/>
                      <w:szCs w:val="21"/>
                      <w:highlight w:val="none"/>
                      <w:vertAlign w:val="superscript"/>
                      <w:lang w:val="en-US" w:eastAsia="zh-CN"/>
                      <w14:textFill>
                        <w14:solidFill>
                          <w14:schemeClr w14:val="tx1"/>
                        </w14:solidFill>
                      </w14:textFill>
                    </w:rPr>
                    <w:t>1</w:t>
                  </w:r>
                  <w:r>
                    <w:rPr>
                      <w:rFonts w:hint="eastAsia"/>
                      <w:i w:val="0"/>
                      <w:iCs w:val="0"/>
                      <w:color w:val="000000" w:themeColor="text1"/>
                      <w:szCs w:val="21"/>
                      <w:highlight w:val="none"/>
                      <w:vertAlign w:val="superscript"/>
                      <w:lang w:val="en-US" w:eastAsia="zh-CN"/>
                      <w14:textFill>
                        <w14:solidFill>
                          <w14:schemeClr w14:val="tx1"/>
                        </w14:solidFill>
                      </w14:textFill>
                    </w:rPr>
                    <w:t>】</w:t>
                  </w:r>
                  <w:r>
                    <w:rPr>
                      <w:rFonts w:hint="eastAsia"/>
                      <w:i w:val="0"/>
                      <w:iCs w:val="0"/>
                      <w:color w:val="000000" w:themeColor="text1"/>
                      <w:szCs w:val="21"/>
                      <w:highlight w:val="none"/>
                      <w:lang w:val="en-US" w:eastAsia="zh-CN"/>
                      <w14:textFill>
                        <w14:solidFill>
                          <w14:schemeClr w14:val="tx1"/>
                        </w14:solidFill>
                      </w14:textFill>
                    </w:rPr>
                    <w:t>采用袋式除尘、静电除尘、湿电除尘等高效除尘技术；</w:t>
                  </w:r>
                </w:p>
                <w:p w14:paraId="014BAA1E">
                  <w:pPr>
                    <w:spacing w:before="60" w:after="60"/>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2</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NOx</w:t>
                  </w:r>
                  <w:r>
                    <w:rPr>
                      <w:rFonts w:hint="eastAsia"/>
                      <w:i w:val="0"/>
                      <w:iCs w:val="0"/>
                      <w:color w:val="000000" w:themeColor="text1"/>
                      <w:szCs w:val="21"/>
                      <w:highlight w:val="none"/>
                      <w:vertAlign w:val="superscript"/>
                      <w:lang w:val="en-US" w:eastAsia="zh-CN"/>
                      <w14:textFill>
                        <w14:solidFill>
                          <w14:schemeClr w14:val="tx1"/>
                        </w14:solidFill>
                      </w14:textFill>
                    </w:rPr>
                    <w:t>【</w:t>
                  </w:r>
                  <w:r>
                    <w:rPr>
                      <w:rFonts w:hint="default"/>
                      <w:i w:val="0"/>
                      <w:iCs w:val="0"/>
                      <w:color w:val="000000" w:themeColor="text1"/>
                      <w:szCs w:val="21"/>
                      <w:highlight w:val="none"/>
                      <w:vertAlign w:val="superscript"/>
                      <w:lang w:val="en-US" w:eastAsia="zh-CN"/>
                      <w14:textFill>
                        <w14:solidFill>
                          <w14:schemeClr w14:val="tx1"/>
                        </w14:solidFill>
                      </w14:textFill>
                    </w:rPr>
                    <w:t>2</w:t>
                  </w:r>
                  <w:r>
                    <w:rPr>
                      <w:rFonts w:hint="eastAsia"/>
                      <w:i w:val="0"/>
                      <w:iCs w:val="0"/>
                      <w:color w:val="000000" w:themeColor="text1"/>
                      <w:szCs w:val="21"/>
                      <w:highlight w:val="none"/>
                      <w:vertAlign w:val="superscript"/>
                      <w:lang w:val="en-US" w:eastAsia="zh-CN"/>
                      <w14:textFill>
                        <w14:solidFill>
                          <w14:schemeClr w14:val="tx1"/>
                        </w14:solidFill>
                      </w14:textFill>
                    </w:rPr>
                    <w:t>】</w:t>
                  </w:r>
                  <w:r>
                    <w:rPr>
                      <w:rFonts w:hint="eastAsia"/>
                      <w:i w:val="0"/>
                      <w:iCs w:val="0"/>
                      <w:color w:val="000000" w:themeColor="text1"/>
                      <w:szCs w:val="21"/>
                      <w:highlight w:val="none"/>
                      <w:lang w:val="en-US" w:eastAsia="zh-CN"/>
                      <w14:textFill>
                        <w14:solidFill>
                          <w14:schemeClr w14:val="tx1"/>
                        </w14:solidFill>
                      </w14:textFill>
                    </w:rPr>
                    <w:t>采用低氮燃烧或</w:t>
                  </w:r>
                  <w:r>
                    <w:rPr>
                      <w:rFonts w:hint="default"/>
                      <w:i w:val="0"/>
                      <w:iCs w:val="0"/>
                      <w:color w:val="000000" w:themeColor="text1"/>
                      <w:szCs w:val="21"/>
                      <w:highlight w:val="none"/>
                      <w:lang w:val="en-US" w:eastAsia="zh-CN"/>
                      <w14:textFill>
                        <w14:solidFill>
                          <w14:schemeClr w14:val="tx1"/>
                        </w14:solidFill>
                      </w14:textFill>
                    </w:rPr>
                    <w:t>SNCR/SCR</w:t>
                  </w:r>
                  <w:r>
                    <w:rPr>
                      <w:rFonts w:hint="eastAsia"/>
                      <w:i w:val="0"/>
                      <w:iCs w:val="0"/>
                      <w:color w:val="000000" w:themeColor="text1"/>
                      <w:szCs w:val="21"/>
                      <w:highlight w:val="none"/>
                      <w:lang w:val="en-US" w:eastAsia="zh-CN"/>
                      <w14:textFill>
                        <w14:solidFill>
                          <w14:schemeClr w14:val="tx1"/>
                        </w14:solidFill>
                      </w14:textFill>
                    </w:rPr>
                    <w:t>等技术。使用氨法脱硝的企业，氨的装卸、储存、输送、制备等过程全密闭，并采取有氨气泄漏检测和收集措施；采用尿素作为还原剂的配备有尿素加热水解制氨系统。</w:t>
                  </w:r>
                </w:p>
                <w:p w14:paraId="57467972">
                  <w:pPr>
                    <w:spacing w:before="60" w:after="60"/>
                    <w:rPr>
                      <w:i w:val="0"/>
                      <w:iCs w:val="0"/>
                      <w:color w:val="000000" w:themeColor="text1"/>
                      <w:szCs w:val="21"/>
                      <w:highlight w:val="none"/>
                      <w14:textFill>
                        <w14:solidFill>
                          <w14:schemeClr w14:val="tx1"/>
                        </w14:solidFill>
                      </w14:textFill>
                    </w:rPr>
                  </w:pPr>
                  <w:r>
                    <w:rPr>
                      <w:rFonts w:hint="default"/>
                      <w:i w:val="0"/>
                      <w:iCs w:val="0"/>
                      <w:color w:val="000000" w:themeColor="text1"/>
                      <w:szCs w:val="21"/>
                      <w:highlight w:val="none"/>
                      <w:lang w:val="en-US" w:eastAsia="zh-CN"/>
                      <w14:textFill>
                        <w14:solidFill>
                          <w14:schemeClr w14:val="tx1"/>
                        </w14:solidFill>
                      </w14:textFill>
                    </w:rPr>
                    <w:t>3.</w:t>
                  </w:r>
                  <w:r>
                    <w:rPr>
                      <w:rFonts w:hint="eastAsia"/>
                      <w:i w:val="0"/>
                      <w:iCs w:val="0"/>
                      <w:color w:val="000000" w:themeColor="text1"/>
                      <w:szCs w:val="21"/>
                      <w:highlight w:val="none"/>
                      <w:lang w:val="en-US" w:eastAsia="zh-CN"/>
                      <w14:textFill>
                        <w14:solidFill>
                          <w14:schemeClr w14:val="tx1"/>
                        </w14:solidFill>
                      </w14:textFill>
                    </w:rPr>
                    <w:t>其他工序（非锅炉</w:t>
                  </w:r>
                  <w:r>
                    <w:rPr>
                      <w:rFonts w:hint="default"/>
                      <w:i w:val="0"/>
                      <w:iCs w:val="0"/>
                      <w:color w:val="000000" w:themeColor="text1"/>
                      <w:szCs w:val="21"/>
                      <w:highlight w:val="none"/>
                      <w:lang w:val="en-US" w:eastAsia="zh-CN"/>
                      <w14:textFill>
                        <w14:solidFill>
                          <w14:schemeClr w14:val="tx1"/>
                        </w14:solidFill>
                      </w14:textFill>
                    </w:rPr>
                    <w:t>/</w:t>
                  </w:r>
                  <w:r>
                    <w:rPr>
                      <w:rFonts w:hint="eastAsia"/>
                      <w:i w:val="0"/>
                      <w:iCs w:val="0"/>
                      <w:color w:val="000000" w:themeColor="text1"/>
                      <w:szCs w:val="21"/>
                      <w:highlight w:val="none"/>
                      <w:lang w:val="en-US" w:eastAsia="zh-CN"/>
                      <w14:textFill>
                        <w14:solidFill>
                          <w14:schemeClr w14:val="tx1"/>
                        </w14:solidFill>
                      </w14:textFill>
                    </w:rPr>
                    <w:t>炉窑）：</w:t>
                  </w:r>
                </w:p>
                <w:p w14:paraId="13958449">
                  <w:pPr>
                    <w:spacing w:before="60" w:after="60"/>
                    <w:rPr>
                      <w:i w:val="0"/>
                      <w:iCs w:val="0"/>
                      <w:color w:val="000000" w:themeColor="text1"/>
                      <w:szCs w:val="21"/>
                      <w:highlight w:val="none"/>
                      <w14:textFill>
                        <w14:solidFill>
                          <w14:schemeClr w14:val="tx1"/>
                        </w14:solidFill>
                      </w14:textFill>
                    </w:rPr>
                  </w:pPr>
                  <w:r>
                    <w:rPr>
                      <w:rFonts w:hint="default"/>
                      <w:i w:val="0"/>
                      <w:iCs w:val="0"/>
                      <w:color w:val="000000" w:themeColor="text1"/>
                      <w:szCs w:val="21"/>
                      <w:highlight w:val="none"/>
                      <w:lang w:val="en-US" w:eastAsia="zh-CN"/>
                      <w14:textFill>
                        <w14:solidFill>
                          <w14:schemeClr w14:val="tx1"/>
                        </w14:solidFill>
                      </w14:textFill>
                    </w:rPr>
                    <w:t>PM</w:t>
                  </w:r>
                  <w:r>
                    <w:rPr>
                      <w:rFonts w:hint="eastAsia"/>
                      <w:i w:val="0"/>
                      <w:iCs w:val="0"/>
                      <w:color w:val="000000" w:themeColor="text1"/>
                      <w:szCs w:val="21"/>
                      <w:highlight w:val="none"/>
                      <w:lang w:val="en-US" w:eastAsia="zh-CN"/>
                      <w14:textFill>
                        <w14:solidFill>
                          <w14:schemeClr w14:val="tx1"/>
                        </w14:solidFill>
                      </w14:textFill>
                    </w:rPr>
                    <w:t>采用覆膜袋式除尘或其他先进除尘工艺。</w:t>
                  </w:r>
                </w:p>
              </w:tc>
              <w:tc>
                <w:tcPr>
                  <w:tcW w:w="1813" w:type="pct"/>
                  <w:shd w:val="clear" w:color="auto" w:fill="auto"/>
                  <w:vAlign w:val="center"/>
                </w:tcPr>
                <w:p w14:paraId="7AA0E173">
                  <w:pPr>
                    <w:pStyle w:val="40"/>
                    <w:spacing w:line="240" w:lineRule="auto"/>
                    <w:ind w:firstLine="0" w:firstLineChars="0"/>
                    <w:jc w:val="both"/>
                    <w:textAlignment w:val="baseline"/>
                    <w:rPr>
                      <w:rFonts w:eastAsiaTheme="minorEastAsia"/>
                      <w:i w:val="0"/>
                      <w:iCs w:val="0"/>
                      <w:color w:val="000000" w:themeColor="text1"/>
                      <w:sz w:val="21"/>
                      <w:szCs w:val="21"/>
                      <w:highlight w:val="none"/>
                      <w14:textFill>
                        <w14:solidFill>
                          <w14:schemeClr w14:val="tx1"/>
                        </w14:solidFill>
                      </w14:textFill>
                    </w:rPr>
                  </w:pPr>
                  <w:r>
                    <w:rPr>
                      <w:rFonts w:eastAsiaTheme="minorEastAsia"/>
                      <w:i w:val="0"/>
                      <w:iCs w:val="0"/>
                      <w:color w:val="000000" w:themeColor="text1"/>
                      <w:sz w:val="21"/>
                      <w:szCs w:val="21"/>
                      <w:highlight w:val="none"/>
                      <w14:textFill>
                        <w14:solidFill>
                          <w14:schemeClr w14:val="tx1"/>
                        </w14:solidFill>
                      </w14:textFill>
                    </w:rPr>
                    <w:t>1、本项</w:t>
                  </w:r>
                  <w:commentRangeStart w:id="21"/>
                  <w:r>
                    <w:rPr>
                      <w:rFonts w:eastAsiaTheme="minorEastAsia"/>
                      <w:i w:val="0"/>
                      <w:iCs w:val="0"/>
                      <w:color w:val="000000" w:themeColor="text1"/>
                      <w:sz w:val="21"/>
                      <w:szCs w:val="21"/>
                      <w:highlight w:val="none"/>
                      <w14:textFill>
                        <w14:solidFill>
                          <w14:schemeClr w14:val="tx1"/>
                        </w14:solidFill>
                      </w14:textFill>
                    </w:rPr>
                    <w:t>目加热采用天然气，</w:t>
                  </w:r>
                  <w:commentRangeEnd w:id="21"/>
                  <w:r>
                    <w:commentReference w:id="21"/>
                  </w:r>
                  <w:r>
                    <w:rPr>
                      <w:rFonts w:hint="eastAsia" w:eastAsiaTheme="minorEastAsia"/>
                      <w:bCs w:val="0"/>
                      <w:i w:val="0"/>
                      <w:iCs w:val="0"/>
                      <w:color w:val="000000" w:themeColor="text1"/>
                      <w:sz w:val="21"/>
                      <w:szCs w:val="21"/>
                      <w:highlight w:val="none"/>
                      <w:lang w:val="en-US" w:eastAsia="zh-CN"/>
                      <w14:textFill>
                        <w14:solidFill>
                          <w14:schemeClr w14:val="tx1"/>
                        </w14:solidFill>
                      </w14:textFill>
                    </w:rPr>
                    <w:t>本项目使用天然气蒸汽发生器</w:t>
                  </w:r>
                  <w:r>
                    <w:rPr>
                      <w:rFonts w:eastAsiaTheme="minorEastAsia"/>
                      <w:i w:val="0"/>
                      <w:iCs w:val="0"/>
                      <w:color w:val="000000" w:themeColor="text1"/>
                      <w:sz w:val="21"/>
                      <w:szCs w:val="21"/>
                      <w:highlight w:val="none"/>
                      <w14:textFill>
                        <w14:solidFill>
                          <w14:schemeClr w14:val="tx1"/>
                        </w14:solidFill>
                      </w14:textFill>
                    </w:rPr>
                    <w:t>，燃</w:t>
                  </w:r>
                  <w:commentRangeStart w:id="22"/>
                  <w:r>
                    <w:rPr>
                      <w:rFonts w:eastAsiaTheme="minorEastAsia"/>
                      <w:i w:val="0"/>
                      <w:iCs w:val="0"/>
                      <w:color w:val="000000" w:themeColor="text1"/>
                      <w:sz w:val="21"/>
                      <w:szCs w:val="21"/>
                      <w:highlight w:val="none"/>
                      <w14:textFill>
                        <w14:solidFill>
                          <w14:schemeClr w14:val="tx1"/>
                        </w14:solidFill>
                      </w14:textFill>
                    </w:rPr>
                    <w:t>气燃烧时不接触其他物质</w:t>
                  </w:r>
                  <w:commentRangeEnd w:id="22"/>
                  <w:r>
                    <w:commentReference w:id="22"/>
                  </w:r>
                  <w:r>
                    <w:rPr>
                      <w:rFonts w:eastAsiaTheme="minorEastAsia"/>
                      <w:i w:val="0"/>
                      <w:iCs w:val="0"/>
                      <w:color w:val="000000" w:themeColor="text1"/>
                      <w:sz w:val="21"/>
                      <w:szCs w:val="21"/>
                      <w:highlight w:val="none"/>
                      <w14:textFill>
                        <w14:solidFill>
                          <w14:schemeClr w14:val="tx1"/>
                        </w14:solidFill>
                      </w14:textFill>
                    </w:rPr>
                    <w:t>，天然气属于清洁能源；根据预测，颗粒物直排可以满足排放标准要求；</w:t>
                  </w:r>
                </w:p>
                <w:p w14:paraId="27FA8DB2">
                  <w:pPr>
                    <w:pStyle w:val="40"/>
                    <w:spacing w:line="240" w:lineRule="auto"/>
                    <w:ind w:firstLine="0" w:firstLineChars="0"/>
                    <w:jc w:val="both"/>
                    <w:textAlignment w:val="baseline"/>
                    <w:rPr>
                      <w:rFonts w:eastAsiaTheme="minorEastAsia"/>
                      <w:i w:val="0"/>
                      <w:iCs w:val="0"/>
                      <w:color w:val="000000" w:themeColor="text1"/>
                      <w:sz w:val="21"/>
                      <w:szCs w:val="21"/>
                      <w:highlight w:val="none"/>
                      <w14:textFill>
                        <w14:solidFill>
                          <w14:schemeClr w14:val="tx1"/>
                        </w14:solidFill>
                      </w14:textFill>
                    </w:rPr>
                  </w:pPr>
                  <w:r>
                    <w:rPr>
                      <w:rFonts w:eastAsiaTheme="minorEastAsia"/>
                      <w:i w:val="0"/>
                      <w:iCs w:val="0"/>
                      <w:color w:val="000000" w:themeColor="text1"/>
                      <w:sz w:val="21"/>
                      <w:szCs w:val="21"/>
                      <w:highlight w:val="none"/>
                      <w14:textFill>
                        <w14:solidFill>
                          <w14:schemeClr w14:val="tx1"/>
                        </w14:solidFill>
                      </w14:textFill>
                    </w:rPr>
                    <w:t>2、NOx治理采用低氮燃烧</w:t>
                  </w:r>
                  <w:r>
                    <w:rPr>
                      <w:rFonts w:hint="eastAsia" w:eastAsiaTheme="minorEastAsia"/>
                      <w:i w:val="0"/>
                      <w:iCs w:val="0"/>
                      <w:color w:val="000000" w:themeColor="text1"/>
                      <w:sz w:val="21"/>
                      <w:szCs w:val="21"/>
                      <w:highlight w:val="none"/>
                      <w14:textFill>
                        <w14:solidFill>
                          <w14:schemeClr w14:val="tx1"/>
                        </w14:solidFill>
                      </w14:textFill>
                    </w:rPr>
                    <w:t>技术</w:t>
                  </w:r>
                  <w:r>
                    <w:rPr>
                      <w:rFonts w:eastAsiaTheme="minorEastAsia"/>
                      <w:i w:val="0"/>
                      <w:iCs w:val="0"/>
                      <w:color w:val="000000" w:themeColor="text1"/>
                      <w:sz w:val="21"/>
                      <w:szCs w:val="21"/>
                      <w:highlight w:val="none"/>
                      <w14:textFill>
                        <w14:solidFill>
                          <w14:schemeClr w14:val="tx1"/>
                        </w14:solidFill>
                      </w14:textFill>
                    </w:rPr>
                    <w:t>；</w:t>
                  </w:r>
                </w:p>
                <w:p w14:paraId="14960D67">
                  <w:pPr>
                    <w:pStyle w:val="40"/>
                    <w:spacing w:line="240" w:lineRule="auto"/>
                    <w:ind w:firstLine="0" w:firstLineChars="0"/>
                    <w:jc w:val="both"/>
                    <w:textAlignment w:val="baseline"/>
                    <w:rPr>
                      <w:rFonts w:eastAsiaTheme="minorEastAsia"/>
                      <w:i w:val="0"/>
                      <w:iCs w:val="0"/>
                      <w:color w:val="000000" w:themeColor="text1"/>
                      <w:sz w:val="21"/>
                      <w:szCs w:val="21"/>
                      <w:highlight w:val="none"/>
                      <w14:textFill>
                        <w14:solidFill>
                          <w14:schemeClr w14:val="tx1"/>
                        </w14:solidFill>
                      </w14:textFill>
                    </w:rPr>
                  </w:pPr>
                  <w:r>
                    <w:rPr>
                      <w:rFonts w:eastAsiaTheme="minorEastAsia"/>
                      <w:i w:val="0"/>
                      <w:iCs w:val="0"/>
                      <w:color w:val="000000" w:themeColor="text1"/>
                      <w:sz w:val="21"/>
                      <w:szCs w:val="21"/>
                      <w:highlight w:val="none"/>
                      <w14:textFill>
                        <w14:solidFill>
                          <w14:schemeClr w14:val="tx1"/>
                        </w14:solidFill>
                      </w14:textFill>
                    </w:rPr>
                    <w:t>3、</w:t>
                  </w:r>
                  <w:r>
                    <w:rPr>
                      <w:i w:val="0"/>
                      <w:iCs w:val="0"/>
                      <w:color w:val="000000" w:themeColor="text1"/>
                      <w:sz w:val="21"/>
                      <w:szCs w:val="21"/>
                      <w:highlight w:val="none"/>
                      <w14:textFill>
                        <w14:solidFill>
                          <w14:schemeClr w14:val="tx1"/>
                        </w14:solidFill>
                      </w14:textFill>
                    </w:rPr>
                    <w:t>项目</w:t>
                  </w:r>
                  <w:r>
                    <w:rPr>
                      <w:rFonts w:hint="eastAsia"/>
                      <w:i w:val="0"/>
                      <w:iCs w:val="0"/>
                      <w:color w:val="000000" w:themeColor="text1"/>
                      <w:sz w:val="21"/>
                      <w:szCs w:val="21"/>
                      <w:highlight w:val="none"/>
                      <w:lang w:val="en-US" w:eastAsia="zh-CN"/>
                      <w14:textFill>
                        <w14:solidFill>
                          <w14:schemeClr w14:val="tx1"/>
                        </w14:solidFill>
                      </w14:textFill>
                    </w:rPr>
                    <w:t>和面</w:t>
                  </w:r>
                  <w:r>
                    <w:rPr>
                      <w:rFonts w:hint="eastAsia"/>
                      <w:i w:val="0"/>
                      <w:iCs w:val="0"/>
                      <w:color w:val="000000" w:themeColor="text1"/>
                      <w:sz w:val="21"/>
                      <w:szCs w:val="21"/>
                      <w:highlight w:val="none"/>
                      <w14:textFill>
                        <w14:solidFill>
                          <w14:schemeClr w14:val="tx1"/>
                        </w14:solidFill>
                      </w14:textFill>
                    </w:rPr>
                    <w:t>工序和面机为全封闭式</w:t>
                  </w:r>
                  <w:r>
                    <w:rPr>
                      <w:rFonts w:hint="eastAsia"/>
                      <w:i w:val="0"/>
                      <w:iCs w:val="0"/>
                      <w:color w:val="000000" w:themeColor="text1"/>
                      <w:sz w:val="21"/>
                      <w:szCs w:val="21"/>
                      <w:highlight w:val="none"/>
                      <w:lang w:val="en-US" w:eastAsia="zh-CN"/>
                      <w14:textFill>
                        <w14:solidFill>
                          <w14:schemeClr w14:val="tx1"/>
                        </w14:solidFill>
                      </w14:textFill>
                    </w:rPr>
                    <w:t>密闭和面间</w:t>
                  </w:r>
                  <w:r>
                    <w:rPr>
                      <w:rFonts w:hint="eastAsia"/>
                      <w:i w:val="0"/>
                      <w:iCs w:val="0"/>
                      <w:color w:val="000000" w:themeColor="text1"/>
                      <w:sz w:val="21"/>
                      <w:szCs w:val="21"/>
                      <w:highlight w:val="none"/>
                      <w14:textFill>
                        <w14:solidFill>
                          <w14:schemeClr w14:val="tx1"/>
                        </w14:solidFill>
                      </w14:textFill>
                    </w:rPr>
                    <w:t>内进行，并采取抑尘措施</w:t>
                  </w:r>
                  <w:r>
                    <w:rPr>
                      <w:rFonts w:eastAsiaTheme="minorEastAsia"/>
                      <w:i w:val="0"/>
                      <w:iCs w:val="0"/>
                      <w:color w:val="000000" w:themeColor="text1"/>
                      <w:sz w:val="21"/>
                      <w:szCs w:val="21"/>
                      <w:highlight w:val="none"/>
                      <w14:textFill>
                        <w14:solidFill>
                          <w14:schemeClr w14:val="tx1"/>
                        </w14:solidFill>
                      </w14:textFill>
                    </w:rPr>
                    <w:t>。</w:t>
                  </w:r>
                </w:p>
              </w:tc>
              <w:tc>
                <w:tcPr>
                  <w:tcW w:w="532" w:type="pct"/>
                  <w:shd w:val="clear" w:color="auto" w:fill="auto"/>
                  <w:vAlign w:val="center"/>
                </w:tcPr>
                <w:p w14:paraId="3BCF67C1">
                  <w:pPr>
                    <w:spacing w:line="240" w:lineRule="auto"/>
                    <w:ind w:firstLine="0" w:firstLineChars="0"/>
                    <w:jc w:val="center"/>
                    <w:textAlignment w:val="baseline"/>
                    <w:rPr>
                      <w:rFonts w:eastAsiaTheme="minorEastAsia"/>
                      <w:i w:val="0"/>
                      <w:iCs w:val="0"/>
                      <w:color w:val="000000" w:themeColor="text1"/>
                      <w:sz w:val="21"/>
                      <w:szCs w:val="21"/>
                      <w:highlight w:val="none"/>
                      <w14:textFill>
                        <w14:solidFill>
                          <w14:schemeClr w14:val="tx1"/>
                        </w14:solidFill>
                      </w14:textFill>
                    </w:rPr>
                  </w:pPr>
                  <w:r>
                    <w:rPr>
                      <w:rFonts w:hint="eastAsia"/>
                      <w:i w:val="0"/>
                      <w:iCs w:val="0"/>
                      <w:color w:val="000000" w:themeColor="text1"/>
                      <w:highlight w:val="none"/>
                      <w14:textFill>
                        <w14:solidFill>
                          <w14:schemeClr w14:val="tx1"/>
                        </w14:solidFill>
                      </w14:textFill>
                    </w:rPr>
                    <w:t>相符</w:t>
                  </w:r>
                </w:p>
              </w:tc>
            </w:tr>
            <w:tr w14:paraId="3D79EE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restart"/>
                  <w:shd w:val="clear" w:color="auto" w:fill="auto"/>
                  <w:vAlign w:val="center"/>
                </w:tcPr>
                <w:p w14:paraId="58BD0E7C">
                  <w:pPr>
                    <w:spacing w:before="60" w:after="60"/>
                    <w:jc w:val="center"/>
                    <w:outlineLvl w:val="0"/>
                    <w:rPr>
                      <w:rFonts w:eastAsiaTheme="minorEastAsia"/>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排放限值</w:t>
                  </w:r>
                </w:p>
              </w:tc>
              <w:tc>
                <w:tcPr>
                  <w:tcW w:w="397" w:type="pct"/>
                  <w:vMerge w:val="restart"/>
                  <w:shd w:val="clear" w:color="auto" w:fill="auto"/>
                  <w:vAlign w:val="center"/>
                </w:tcPr>
                <w:p w14:paraId="54FAE80F">
                  <w:pPr>
                    <w:spacing w:before="60" w:after="60"/>
                    <w:jc w:val="center"/>
                    <w:outlineLvl w:val="0"/>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锅炉</w:t>
                  </w:r>
                </w:p>
              </w:tc>
              <w:tc>
                <w:tcPr>
                  <w:tcW w:w="1977" w:type="pct"/>
                  <w:shd w:val="clear" w:color="auto" w:fill="auto"/>
                </w:tcPr>
                <w:p w14:paraId="7BD9C170">
                  <w:pPr>
                    <w:spacing w:before="60" w:after="60"/>
                    <w:rPr>
                      <w:i w:val="0"/>
                      <w:iCs w:val="0"/>
                      <w:color w:val="000000" w:themeColor="text1"/>
                      <w:szCs w:val="21"/>
                      <w:highlight w:val="none"/>
                      <w14:textFill>
                        <w14:solidFill>
                          <w14:schemeClr w14:val="tx1"/>
                        </w14:solidFill>
                      </w14:textFill>
                    </w:rPr>
                  </w:pPr>
                  <w:r>
                    <w:rPr>
                      <w:rFonts w:hint="default"/>
                      <w:i w:val="0"/>
                      <w:iCs w:val="0"/>
                      <w:color w:val="000000" w:themeColor="text1"/>
                      <w:szCs w:val="21"/>
                      <w:highlight w:val="none"/>
                      <w:lang w:val="en-US" w:eastAsia="zh-CN"/>
                      <w14:textFill>
                        <w14:solidFill>
                          <w14:schemeClr w14:val="tx1"/>
                        </w14:solidFill>
                      </w14:textFill>
                    </w:rPr>
                    <w:t>PM</w:t>
                  </w:r>
                  <w:r>
                    <w:rPr>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SO</w:t>
                  </w:r>
                  <w:r>
                    <w:rPr>
                      <w:rFonts w:hint="default"/>
                      <w:i w:val="0"/>
                      <w:iCs w:val="0"/>
                      <w:color w:val="000000" w:themeColor="text1"/>
                      <w:szCs w:val="21"/>
                      <w:highlight w:val="none"/>
                      <w:vertAlign w:val="subscript"/>
                      <w:lang w:val="en-US" w:eastAsia="zh-CN"/>
                      <w14:textFill>
                        <w14:solidFill>
                          <w14:schemeClr w14:val="tx1"/>
                        </w14:solidFill>
                      </w14:textFill>
                    </w:rPr>
                    <w:t>2</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NOx</w:t>
                  </w:r>
                  <w:r>
                    <w:rPr>
                      <w:rFonts w:hint="eastAsia"/>
                      <w:i w:val="0"/>
                      <w:iCs w:val="0"/>
                      <w:color w:val="000000" w:themeColor="text1"/>
                      <w:szCs w:val="21"/>
                      <w:highlight w:val="none"/>
                      <w:lang w:val="en-US" w:eastAsia="zh-CN"/>
                      <w14:textFill>
                        <w14:solidFill>
                          <w14:schemeClr w14:val="tx1"/>
                        </w14:solidFill>
                      </w14:textFill>
                    </w:rPr>
                    <w:t>排放浓度分别不高于：</w:t>
                  </w:r>
                </w:p>
                <w:p w14:paraId="088240EB">
                  <w:pPr>
                    <w:spacing w:before="60" w:after="60"/>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燃气：</w:t>
                  </w:r>
                  <w:r>
                    <w:rPr>
                      <w:rFonts w:hint="default"/>
                      <w:i w:val="0"/>
                      <w:iCs w:val="0"/>
                      <w:color w:val="000000" w:themeColor="text1"/>
                      <w:szCs w:val="21"/>
                      <w:highlight w:val="none"/>
                      <w:lang w:val="en-US" w:eastAsia="zh-CN"/>
                      <w14:textFill>
                        <w14:solidFill>
                          <w14:schemeClr w14:val="tx1"/>
                        </w14:solidFill>
                      </w14:textFill>
                    </w:rPr>
                    <w:t>5</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10</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50/30</w:t>
                  </w:r>
                  <w:r>
                    <w:rPr>
                      <w:rFonts w:hint="eastAsia"/>
                      <w:i w:val="0"/>
                      <w:iCs w:val="0"/>
                      <w:color w:val="000000" w:themeColor="text1"/>
                      <w:szCs w:val="21"/>
                      <w:highlight w:val="none"/>
                      <w:vertAlign w:val="superscript"/>
                      <w:lang w:val="en-US" w:eastAsia="zh-CN"/>
                      <w14:textFill>
                        <w14:solidFill>
                          <w14:schemeClr w14:val="tx1"/>
                        </w14:solidFill>
                      </w14:textFill>
                    </w:rPr>
                    <w:t>【</w:t>
                  </w:r>
                  <w:r>
                    <w:rPr>
                      <w:rFonts w:hint="default"/>
                      <w:i w:val="0"/>
                      <w:iCs w:val="0"/>
                      <w:color w:val="000000" w:themeColor="text1"/>
                      <w:szCs w:val="21"/>
                      <w:highlight w:val="none"/>
                      <w:vertAlign w:val="superscript"/>
                      <w:lang w:val="en-US" w:eastAsia="zh-CN"/>
                      <w14:textFill>
                        <w14:solidFill>
                          <w14:schemeClr w14:val="tx1"/>
                        </w14:solidFill>
                      </w14:textFill>
                    </w:rPr>
                    <w:t>4</w:t>
                  </w:r>
                  <w:r>
                    <w:rPr>
                      <w:rFonts w:hint="eastAsia"/>
                      <w:i w:val="0"/>
                      <w:iCs w:val="0"/>
                      <w:color w:val="000000" w:themeColor="text1"/>
                      <w:szCs w:val="21"/>
                      <w:highlight w:val="none"/>
                      <w:vertAlign w:val="superscript"/>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mg/m</w:t>
                  </w:r>
                  <w:r>
                    <w:rPr>
                      <w:rFonts w:hint="default"/>
                      <w:i w:val="0"/>
                      <w:iCs w:val="0"/>
                      <w:color w:val="000000" w:themeColor="text1"/>
                      <w:szCs w:val="21"/>
                      <w:highlight w:val="none"/>
                      <w:vertAlign w:val="superscript"/>
                      <w:lang w:val="en-US" w:eastAsia="zh-CN"/>
                      <w14:textFill>
                        <w14:solidFill>
                          <w14:schemeClr w14:val="tx1"/>
                        </w14:solidFill>
                      </w14:textFill>
                    </w:rPr>
                    <w:t>3</w:t>
                  </w:r>
                  <w:r>
                    <w:rPr>
                      <w:rFonts w:hint="eastAsia"/>
                      <w:i w:val="0"/>
                      <w:iCs w:val="0"/>
                      <w:color w:val="000000" w:themeColor="text1"/>
                      <w:szCs w:val="21"/>
                      <w:highlight w:val="none"/>
                      <w:lang w:val="en-US" w:eastAsia="zh-CN"/>
                      <w14:textFill>
                        <w14:solidFill>
                          <w14:schemeClr w14:val="tx1"/>
                        </w14:solidFill>
                      </w14:textFill>
                    </w:rPr>
                    <w:t>（基准含氧量：</w:t>
                  </w:r>
                  <w:r>
                    <w:rPr>
                      <w:rFonts w:hint="default"/>
                      <w:i w:val="0"/>
                      <w:iCs w:val="0"/>
                      <w:color w:val="000000" w:themeColor="text1"/>
                      <w:szCs w:val="21"/>
                      <w:highlight w:val="none"/>
                      <w:lang w:val="en-US" w:eastAsia="zh-CN"/>
                      <w14:textFill>
                        <w14:solidFill>
                          <w14:schemeClr w14:val="tx1"/>
                        </w14:solidFill>
                      </w14:textFill>
                    </w:rPr>
                    <w:t>3.5%</w:t>
                  </w:r>
                  <w:r>
                    <w:rPr>
                      <w:rFonts w:hint="eastAsia"/>
                      <w:i w:val="0"/>
                      <w:iCs w:val="0"/>
                      <w:color w:val="000000" w:themeColor="text1"/>
                      <w:szCs w:val="21"/>
                      <w:highlight w:val="none"/>
                      <w:lang w:val="en-US" w:eastAsia="zh-CN"/>
                      <w14:textFill>
                        <w14:solidFill>
                          <w14:schemeClr w14:val="tx1"/>
                        </w14:solidFill>
                      </w14:textFill>
                    </w:rPr>
                    <w:t>）</w:t>
                  </w:r>
                </w:p>
              </w:tc>
              <w:tc>
                <w:tcPr>
                  <w:tcW w:w="1813" w:type="pct"/>
                  <w:shd w:val="clear" w:color="auto" w:fill="auto"/>
                  <w:vAlign w:val="center"/>
                </w:tcPr>
                <w:p w14:paraId="18C2D847">
                  <w:pPr>
                    <w:jc w:val="both"/>
                    <w:rPr>
                      <w:i w:val="0"/>
                      <w:iCs w:val="0"/>
                      <w:color w:val="000000" w:themeColor="text1"/>
                      <w:highlight w:val="none"/>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本项目为新建项目</w:t>
                  </w:r>
                  <w:r>
                    <w:rPr>
                      <w:i w:val="0"/>
                      <w:iCs w:val="0"/>
                      <w:color w:val="000000" w:themeColor="text1"/>
                      <w:szCs w:val="21"/>
                      <w:highlight w:val="none"/>
                      <w14:textFill>
                        <w14:solidFill>
                          <w14:schemeClr w14:val="tx1"/>
                        </w14:solidFill>
                      </w14:textFill>
                    </w:rPr>
                    <w:t>，本项目营运期PM、SO</w:t>
                  </w:r>
                  <w:r>
                    <w:rPr>
                      <w:i w:val="0"/>
                      <w:iCs w:val="0"/>
                      <w:color w:val="000000" w:themeColor="text1"/>
                      <w:szCs w:val="21"/>
                      <w:highlight w:val="none"/>
                      <w:vertAlign w:val="subscript"/>
                      <w14:textFill>
                        <w14:solidFill>
                          <w14:schemeClr w14:val="tx1"/>
                        </w14:solidFill>
                      </w14:textFill>
                    </w:rPr>
                    <w:t>2</w:t>
                  </w:r>
                  <w:r>
                    <w:rPr>
                      <w:i w:val="0"/>
                      <w:iCs w:val="0"/>
                      <w:color w:val="000000" w:themeColor="text1"/>
                      <w:szCs w:val="21"/>
                      <w:highlight w:val="none"/>
                      <w14:textFill>
                        <w14:solidFill>
                          <w14:schemeClr w14:val="tx1"/>
                        </w14:solidFill>
                      </w14:textFill>
                    </w:rPr>
                    <w:t>、NO</w:t>
                  </w:r>
                  <w:r>
                    <w:rPr>
                      <w:i w:val="0"/>
                      <w:iCs w:val="0"/>
                      <w:color w:val="000000" w:themeColor="text1"/>
                      <w:szCs w:val="21"/>
                      <w:highlight w:val="none"/>
                      <w:vertAlign w:val="subscript"/>
                      <w14:textFill>
                        <w14:solidFill>
                          <w14:schemeClr w14:val="tx1"/>
                        </w14:solidFill>
                      </w14:textFill>
                    </w:rPr>
                    <w:t>x</w:t>
                  </w:r>
                  <w:r>
                    <w:rPr>
                      <w:i w:val="0"/>
                      <w:iCs w:val="0"/>
                      <w:color w:val="000000" w:themeColor="text1"/>
                      <w:szCs w:val="21"/>
                      <w:highlight w:val="none"/>
                      <w14:textFill>
                        <w14:solidFill>
                          <w14:schemeClr w14:val="tx1"/>
                        </w14:solidFill>
                      </w14:textFill>
                    </w:rPr>
                    <w:t>排放浓度分别不高于：</w:t>
                  </w:r>
                  <w:r>
                    <w:rPr>
                      <w:rFonts w:hint="eastAsia"/>
                      <w:i w:val="0"/>
                      <w:iCs w:val="0"/>
                      <w:color w:val="000000" w:themeColor="text1"/>
                      <w:szCs w:val="21"/>
                      <w:highlight w:val="none"/>
                      <w14:textFill>
                        <w14:solidFill>
                          <w14:schemeClr w14:val="tx1"/>
                        </w14:solidFill>
                      </w14:textFill>
                    </w:rPr>
                    <w:t>5</w:t>
                  </w:r>
                  <w:r>
                    <w:rPr>
                      <w:i w:val="0"/>
                      <w:iCs w:val="0"/>
                      <w:color w:val="000000" w:themeColor="text1"/>
                      <w:szCs w:val="21"/>
                      <w:highlight w:val="none"/>
                      <w14:textFill>
                        <w14:solidFill>
                          <w14:schemeClr w14:val="tx1"/>
                        </w14:solidFill>
                      </w14:textFill>
                    </w:rPr>
                    <w:t>、</w:t>
                  </w:r>
                  <w:r>
                    <w:rPr>
                      <w:rFonts w:hint="eastAsia"/>
                      <w:i w:val="0"/>
                      <w:iCs w:val="0"/>
                      <w:color w:val="000000" w:themeColor="text1"/>
                      <w:szCs w:val="21"/>
                      <w:highlight w:val="none"/>
                      <w14:textFill>
                        <w14:solidFill>
                          <w14:schemeClr w14:val="tx1"/>
                        </w14:solidFill>
                      </w14:textFill>
                    </w:rPr>
                    <w:t>10</w:t>
                  </w:r>
                  <w:r>
                    <w:rPr>
                      <w:i w:val="0"/>
                      <w:iCs w:val="0"/>
                      <w:color w:val="000000" w:themeColor="text1"/>
                      <w:szCs w:val="21"/>
                      <w:highlight w:val="none"/>
                      <w14:textFill>
                        <w14:solidFill>
                          <w14:schemeClr w14:val="tx1"/>
                        </w14:solidFill>
                      </w14:textFill>
                    </w:rPr>
                    <w:t>、</w:t>
                  </w:r>
                  <w:r>
                    <w:rPr>
                      <w:rFonts w:hint="eastAsia"/>
                      <w:i w:val="0"/>
                      <w:iCs w:val="0"/>
                      <w:color w:val="000000" w:themeColor="text1"/>
                      <w:szCs w:val="21"/>
                      <w:highlight w:val="none"/>
                      <w:lang w:val="en-US" w:eastAsia="zh-CN"/>
                      <w14:textFill>
                        <w14:solidFill>
                          <w14:schemeClr w14:val="tx1"/>
                        </w14:solidFill>
                      </w14:textFill>
                    </w:rPr>
                    <w:t>3</w:t>
                  </w:r>
                  <w:r>
                    <w:rPr>
                      <w:i w:val="0"/>
                      <w:iCs w:val="0"/>
                      <w:color w:val="000000" w:themeColor="text1"/>
                      <w:szCs w:val="21"/>
                      <w:highlight w:val="none"/>
                      <w14:textFill>
                        <w14:solidFill>
                          <w14:schemeClr w14:val="tx1"/>
                        </w14:solidFill>
                      </w14:textFill>
                    </w:rPr>
                    <w:t>0mg/m</w:t>
                  </w:r>
                  <w:r>
                    <w:rPr>
                      <w:i w:val="0"/>
                      <w:iCs w:val="0"/>
                      <w:color w:val="000000" w:themeColor="text1"/>
                      <w:szCs w:val="21"/>
                      <w:highlight w:val="none"/>
                      <w:vertAlign w:val="superscript"/>
                      <w14:textFill>
                        <w14:solidFill>
                          <w14:schemeClr w14:val="tx1"/>
                        </w14:solidFill>
                      </w14:textFill>
                    </w:rPr>
                    <w:t>3</w:t>
                  </w:r>
                  <w:r>
                    <w:rPr>
                      <w:i w:val="0"/>
                      <w:iCs w:val="0"/>
                      <w:color w:val="000000" w:themeColor="text1"/>
                      <w:szCs w:val="21"/>
                      <w:highlight w:val="none"/>
                      <w14:textFill>
                        <w14:solidFill>
                          <w14:schemeClr w14:val="tx1"/>
                        </w14:solidFill>
                      </w14:textFill>
                    </w:rPr>
                    <w:t>（燃气）。</w:t>
                  </w:r>
                </w:p>
              </w:tc>
              <w:tc>
                <w:tcPr>
                  <w:tcW w:w="532" w:type="pct"/>
                  <w:shd w:val="clear" w:color="auto" w:fill="auto"/>
                  <w:vAlign w:val="center"/>
                </w:tcPr>
                <w:p w14:paraId="7DA28DD7">
                  <w:pPr>
                    <w:jc w:val="center"/>
                    <w:rPr>
                      <w:i w:val="0"/>
                      <w:iCs w:val="0"/>
                      <w:color w:val="000000" w:themeColor="text1"/>
                      <w:highlight w:val="none"/>
                      <w14:textFill>
                        <w14:solidFill>
                          <w14:schemeClr w14:val="tx1"/>
                        </w14:solidFill>
                      </w14:textFill>
                    </w:rPr>
                  </w:pPr>
                  <w:r>
                    <w:rPr>
                      <w:rFonts w:hint="eastAsia"/>
                      <w:i w:val="0"/>
                      <w:iCs w:val="0"/>
                      <w:color w:val="000000" w:themeColor="text1"/>
                      <w:highlight w:val="none"/>
                      <w14:textFill>
                        <w14:solidFill>
                          <w14:schemeClr w14:val="tx1"/>
                        </w14:solidFill>
                      </w14:textFill>
                    </w:rPr>
                    <w:t>相符</w:t>
                  </w:r>
                </w:p>
              </w:tc>
            </w:tr>
            <w:tr w14:paraId="326493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shd w:val="clear" w:color="auto" w:fill="auto"/>
                  <w:vAlign w:val="center"/>
                </w:tcPr>
                <w:p w14:paraId="3EE2D9FD">
                  <w:pPr>
                    <w:spacing w:before="60" w:after="60"/>
                    <w:jc w:val="center"/>
                    <w:outlineLvl w:val="0"/>
                    <w:rPr>
                      <w:i w:val="0"/>
                      <w:iCs w:val="0"/>
                      <w:color w:val="000000" w:themeColor="text1"/>
                      <w:szCs w:val="21"/>
                      <w:highlight w:val="none"/>
                      <w14:textFill>
                        <w14:solidFill>
                          <w14:schemeClr w14:val="tx1"/>
                        </w14:solidFill>
                      </w14:textFill>
                    </w:rPr>
                  </w:pPr>
                </w:p>
              </w:tc>
              <w:tc>
                <w:tcPr>
                  <w:tcW w:w="397" w:type="pct"/>
                  <w:vMerge w:val="continue"/>
                  <w:shd w:val="clear" w:color="auto" w:fill="auto"/>
                  <w:vAlign w:val="center"/>
                </w:tcPr>
                <w:p w14:paraId="73D4845A">
                  <w:pPr>
                    <w:spacing w:before="60" w:after="60"/>
                    <w:jc w:val="center"/>
                    <w:outlineLvl w:val="0"/>
                    <w:rPr>
                      <w:i w:val="0"/>
                      <w:iCs w:val="0"/>
                      <w:color w:val="000000" w:themeColor="text1"/>
                      <w:szCs w:val="21"/>
                      <w:highlight w:val="none"/>
                      <w14:textFill>
                        <w14:solidFill>
                          <w14:schemeClr w14:val="tx1"/>
                        </w14:solidFill>
                      </w14:textFill>
                    </w:rPr>
                  </w:pPr>
                </w:p>
              </w:tc>
              <w:tc>
                <w:tcPr>
                  <w:tcW w:w="4323" w:type="pct"/>
                  <w:gridSpan w:val="3"/>
                  <w:shd w:val="clear" w:color="auto" w:fill="auto"/>
                  <w:vAlign w:val="center"/>
                </w:tcPr>
                <w:p w14:paraId="56DF535E">
                  <w:pPr>
                    <w:jc w:val="both"/>
                    <w:rPr>
                      <w:rFonts w:hint="eastAsia"/>
                      <w:i w:val="0"/>
                      <w:iCs w:val="0"/>
                      <w:color w:val="000000" w:themeColor="text1"/>
                      <w:highlight w:val="none"/>
                      <w14:textFill>
                        <w14:solidFill>
                          <w14:schemeClr w14:val="tx1"/>
                        </w14:solidFill>
                      </w14:textFill>
                    </w:rPr>
                  </w:pPr>
                  <w:r>
                    <w:rPr>
                      <w:rFonts w:hint="eastAsia"/>
                      <w:i w:val="0"/>
                      <w:iCs w:val="0"/>
                      <w:color w:val="000000" w:themeColor="text1"/>
                      <w:highlight w:val="none"/>
                      <w:lang w:val="en-US" w:eastAsia="zh-CN"/>
                      <w14:textFill>
                        <w14:solidFill>
                          <w14:schemeClr w14:val="tx1"/>
                        </w14:solidFill>
                      </w14:textFill>
                    </w:rPr>
                    <w:t>氨逃逸排放浓度不高于8mg/m</w:t>
                  </w:r>
                  <w:r>
                    <w:rPr>
                      <w:rFonts w:hint="eastAsia"/>
                      <w:i w:val="0"/>
                      <w:iCs w:val="0"/>
                      <w:color w:val="000000" w:themeColor="text1"/>
                      <w:highlight w:val="none"/>
                      <w:vertAlign w:val="superscript"/>
                      <w:lang w:val="en-US" w:eastAsia="zh-CN"/>
                      <w14:textFill>
                        <w14:solidFill>
                          <w14:schemeClr w14:val="tx1"/>
                        </w14:solidFill>
                      </w14:textFill>
                    </w:rPr>
                    <w:t>3</w:t>
                  </w:r>
                  <w:r>
                    <w:rPr>
                      <w:rFonts w:hint="eastAsia"/>
                      <w:i w:val="0"/>
                      <w:iCs w:val="0"/>
                      <w:color w:val="000000" w:themeColor="text1"/>
                      <w:highlight w:val="none"/>
                      <w:lang w:val="en-US" w:eastAsia="zh-CN"/>
                      <w14:textFill>
                        <w14:solidFill>
                          <w14:schemeClr w14:val="tx1"/>
                        </w14:solidFill>
                      </w14:textFill>
                    </w:rPr>
                    <w:t>（使用氨水、尿素作还原剂）</w:t>
                  </w:r>
                </w:p>
              </w:tc>
            </w:tr>
            <w:tr w14:paraId="13E35A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vAlign w:val="center"/>
                </w:tcPr>
                <w:p w14:paraId="743A3DA1">
                  <w:pPr>
                    <w:jc w:val="center"/>
                    <w:rPr>
                      <w:i w:val="0"/>
                      <w:iCs w:val="0"/>
                      <w:color w:val="000000" w:themeColor="text1"/>
                      <w:szCs w:val="21"/>
                      <w:highlight w:val="none"/>
                      <w14:textFill>
                        <w14:solidFill>
                          <w14:schemeClr w14:val="tx1"/>
                        </w14:solidFill>
                      </w14:textFill>
                    </w:rPr>
                  </w:pPr>
                </w:p>
              </w:tc>
              <w:tc>
                <w:tcPr>
                  <w:tcW w:w="397" w:type="pct"/>
                  <w:shd w:val="clear" w:color="auto" w:fill="auto"/>
                  <w:vAlign w:val="center"/>
                </w:tcPr>
                <w:p w14:paraId="6E818DF5">
                  <w:pPr>
                    <w:spacing w:before="60" w:after="60"/>
                    <w:jc w:val="center"/>
                    <w:outlineLvl w:val="0"/>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加热炉、热处理炉、干燥炉</w:t>
                  </w:r>
                </w:p>
              </w:tc>
              <w:tc>
                <w:tcPr>
                  <w:tcW w:w="1977" w:type="pct"/>
                  <w:shd w:val="clear" w:color="auto" w:fill="auto"/>
                  <w:vAlign w:val="center"/>
                </w:tcPr>
                <w:p w14:paraId="62F07560">
                  <w:pPr>
                    <w:spacing w:before="60" w:after="60"/>
                    <w:rPr>
                      <w:i w:val="0"/>
                      <w:iCs w:val="0"/>
                      <w:color w:val="000000" w:themeColor="text1"/>
                      <w:szCs w:val="21"/>
                      <w:highlight w:val="none"/>
                      <w14:textFill>
                        <w14:solidFill>
                          <w14:schemeClr w14:val="tx1"/>
                        </w14:solidFill>
                      </w14:textFill>
                    </w:rPr>
                  </w:pPr>
                  <w:r>
                    <w:rPr>
                      <w:rFonts w:hint="default"/>
                      <w:i w:val="0"/>
                      <w:iCs w:val="0"/>
                      <w:color w:val="000000" w:themeColor="text1"/>
                      <w:szCs w:val="21"/>
                      <w:highlight w:val="none"/>
                      <w:lang w:val="en-US" w:eastAsia="zh-CN"/>
                      <w14:textFill>
                        <w14:solidFill>
                          <w14:schemeClr w14:val="tx1"/>
                        </w14:solidFill>
                      </w14:textFill>
                    </w:rPr>
                    <w:t>PM</w:t>
                  </w:r>
                  <w:r>
                    <w:rPr>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SO</w:t>
                  </w:r>
                  <w:r>
                    <w:rPr>
                      <w:rFonts w:hint="default"/>
                      <w:i w:val="0"/>
                      <w:iCs w:val="0"/>
                      <w:color w:val="000000" w:themeColor="text1"/>
                      <w:szCs w:val="21"/>
                      <w:highlight w:val="none"/>
                      <w:vertAlign w:val="subscript"/>
                      <w:lang w:val="en-US" w:eastAsia="zh-CN"/>
                      <w14:textFill>
                        <w14:solidFill>
                          <w14:schemeClr w14:val="tx1"/>
                        </w14:solidFill>
                      </w14:textFill>
                    </w:rPr>
                    <w:t>2</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NOx</w:t>
                  </w:r>
                  <w:r>
                    <w:rPr>
                      <w:rFonts w:hint="eastAsia"/>
                      <w:i w:val="0"/>
                      <w:iCs w:val="0"/>
                      <w:color w:val="000000" w:themeColor="text1"/>
                      <w:szCs w:val="21"/>
                      <w:highlight w:val="none"/>
                      <w:lang w:val="en-US" w:eastAsia="zh-CN"/>
                      <w14:textFill>
                        <w14:solidFill>
                          <w14:schemeClr w14:val="tx1"/>
                        </w14:solidFill>
                      </w14:textFill>
                    </w:rPr>
                    <w:t>排放浓度分别不高于：</w:t>
                  </w:r>
                </w:p>
                <w:p w14:paraId="6FB3AAC6">
                  <w:pPr>
                    <w:spacing w:before="60" w:after="60"/>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电窑：</w:t>
                  </w:r>
                  <w:r>
                    <w:rPr>
                      <w:rFonts w:hint="default"/>
                      <w:i w:val="0"/>
                      <w:iCs w:val="0"/>
                      <w:color w:val="000000" w:themeColor="text1"/>
                      <w:szCs w:val="21"/>
                      <w:highlight w:val="none"/>
                      <w:lang w:val="en-US" w:eastAsia="zh-CN"/>
                      <w14:textFill>
                        <w14:solidFill>
                          <w14:schemeClr w14:val="tx1"/>
                        </w14:solidFill>
                      </w14:textFill>
                    </w:rPr>
                    <w:t>10mg/m</w:t>
                  </w:r>
                  <w:r>
                    <w:rPr>
                      <w:rFonts w:hint="default"/>
                      <w:i w:val="0"/>
                      <w:iCs w:val="0"/>
                      <w:color w:val="000000" w:themeColor="text1"/>
                      <w:szCs w:val="21"/>
                      <w:highlight w:val="none"/>
                      <w:vertAlign w:val="superscript"/>
                      <w:lang w:val="en-US" w:eastAsia="zh-CN"/>
                      <w14:textFill>
                        <w14:solidFill>
                          <w14:schemeClr w14:val="tx1"/>
                        </w14:solidFill>
                      </w14:textFill>
                    </w:rPr>
                    <w:t>3</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PM</w:t>
                  </w:r>
                  <w:r>
                    <w:rPr>
                      <w:rFonts w:hint="eastAsia"/>
                      <w:i w:val="0"/>
                      <w:iCs w:val="0"/>
                      <w:color w:val="000000" w:themeColor="text1"/>
                      <w:szCs w:val="21"/>
                      <w:highlight w:val="none"/>
                      <w:lang w:val="en-US" w:eastAsia="zh-CN"/>
                      <w14:textFill>
                        <w14:solidFill>
                          <w14:schemeClr w14:val="tx1"/>
                        </w14:solidFill>
                      </w14:textFill>
                    </w:rPr>
                    <w:t>）</w:t>
                  </w:r>
                </w:p>
                <w:p w14:paraId="326D7C1F">
                  <w:pPr>
                    <w:spacing w:before="60" w:after="60"/>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燃气：</w:t>
                  </w:r>
                  <w:r>
                    <w:rPr>
                      <w:rFonts w:hint="default"/>
                      <w:i w:val="0"/>
                      <w:iCs w:val="0"/>
                      <w:color w:val="000000" w:themeColor="text1"/>
                      <w:szCs w:val="21"/>
                      <w:highlight w:val="none"/>
                      <w:lang w:val="en-US" w:eastAsia="zh-CN"/>
                      <w14:textFill>
                        <w14:solidFill>
                          <w14:schemeClr w14:val="tx1"/>
                        </w14:solidFill>
                      </w14:textFill>
                    </w:rPr>
                    <w:t>10</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35</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50mg/m</w:t>
                  </w:r>
                  <w:r>
                    <w:rPr>
                      <w:rFonts w:hint="default"/>
                      <w:i w:val="0"/>
                      <w:iCs w:val="0"/>
                      <w:color w:val="000000" w:themeColor="text1"/>
                      <w:szCs w:val="21"/>
                      <w:highlight w:val="none"/>
                      <w:vertAlign w:val="superscript"/>
                      <w:lang w:val="en-US" w:eastAsia="zh-CN"/>
                      <w14:textFill>
                        <w14:solidFill>
                          <w14:schemeClr w14:val="tx1"/>
                        </w14:solidFill>
                      </w14:textFill>
                    </w:rPr>
                    <w:t>3</w:t>
                  </w:r>
                  <w:r>
                    <w:rPr>
                      <w:rFonts w:hint="eastAsia"/>
                      <w:i w:val="0"/>
                      <w:iCs w:val="0"/>
                      <w:color w:val="000000" w:themeColor="text1"/>
                      <w:szCs w:val="21"/>
                      <w:highlight w:val="none"/>
                      <w:lang w:val="en-US" w:eastAsia="zh-CN"/>
                      <w14:textFill>
                        <w14:solidFill>
                          <w14:schemeClr w14:val="tx1"/>
                        </w14:solidFill>
                      </w14:textFill>
                    </w:rPr>
                    <w:t>（基准含氧量：燃气</w:t>
                  </w:r>
                  <w:r>
                    <w:rPr>
                      <w:rFonts w:hint="default"/>
                      <w:i w:val="0"/>
                      <w:iCs w:val="0"/>
                      <w:color w:val="000000" w:themeColor="text1"/>
                      <w:szCs w:val="21"/>
                      <w:highlight w:val="none"/>
                      <w:lang w:val="en-US" w:eastAsia="zh-CN"/>
                      <w14:textFill>
                        <w14:solidFill>
                          <w14:schemeClr w14:val="tx1"/>
                        </w14:solidFill>
                      </w14:textFill>
                    </w:rPr>
                    <w:t>3.5%</w:t>
                  </w:r>
                  <w:r>
                    <w:rPr>
                      <w:rFonts w:hint="eastAsia"/>
                      <w:i w:val="0"/>
                      <w:iCs w:val="0"/>
                      <w:color w:val="000000" w:themeColor="text1"/>
                      <w:szCs w:val="21"/>
                      <w:highlight w:val="none"/>
                      <w:lang w:val="en-US" w:eastAsia="zh-CN"/>
                      <w14:textFill>
                        <w14:solidFill>
                          <w14:schemeClr w14:val="tx1"/>
                        </w14:solidFill>
                      </w14:textFill>
                    </w:rPr>
                    <w:t>，电窑和因工艺需要掺入空气</w:t>
                  </w:r>
                  <w:r>
                    <w:rPr>
                      <w:rFonts w:hint="default"/>
                      <w:i w:val="0"/>
                      <w:iCs w:val="0"/>
                      <w:color w:val="000000" w:themeColor="text1"/>
                      <w:szCs w:val="21"/>
                      <w:highlight w:val="none"/>
                      <w:lang w:val="en-US" w:eastAsia="zh-CN"/>
                      <w14:textFill>
                        <w14:solidFill>
                          <w14:schemeClr w14:val="tx1"/>
                        </w14:solidFill>
                      </w14:textFill>
                    </w:rPr>
                    <w:t>/</w:t>
                  </w:r>
                  <w:r>
                    <w:rPr>
                      <w:rFonts w:hint="eastAsia"/>
                      <w:i w:val="0"/>
                      <w:iCs w:val="0"/>
                      <w:color w:val="000000" w:themeColor="text1"/>
                      <w:szCs w:val="21"/>
                      <w:highlight w:val="none"/>
                      <w:lang w:val="en-US" w:eastAsia="zh-CN"/>
                      <w14:textFill>
                        <w14:solidFill>
                          <w14:schemeClr w14:val="tx1"/>
                        </w14:solidFill>
                      </w14:textFill>
                    </w:rPr>
                    <w:t>非密闭式生产的按实测浓度计）</w:t>
                  </w:r>
                </w:p>
              </w:tc>
              <w:tc>
                <w:tcPr>
                  <w:tcW w:w="1813" w:type="pct"/>
                  <w:shd w:val="clear" w:color="auto" w:fill="auto"/>
                  <w:vAlign w:val="center"/>
                </w:tcPr>
                <w:p w14:paraId="2C362413">
                  <w:pPr>
                    <w:jc w:val="both"/>
                    <w:rPr>
                      <w:i w:val="0"/>
                      <w:iCs w:val="0"/>
                      <w:color w:val="000000" w:themeColor="text1"/>
                      <w:highlight w:val="none"/>
                      <w14:textFill>
                        <w14:solidFill>
                          <w14:schemeClr w14:val="tx1"/>
                        </w14:solidFill>
                      </w14:textFill>
                    </w:rPr>
                  </w:pPr>
                  <w:r>
                    <w:rPr>
                      <w:rFonts w:eastAsiaTheme="minorEastAsia"/>
                      <w:i w:val="0"/>
                      <w:iCs w:val="0"/>
                      <w:color w:val="000000" w:themeColor="text1"/>
                      <w:szCs w:val="21"/>
                      <w:highlight w:val="none"/>
                      <w14:textFill>
                        <w14:solidFill>
                          <w14:schemeClr w14:val="tx1"/>
                        </w14:solidFill>
                      </w14:textFill>
                    </w:rPr>
                    <w:t>本项目不涉及。</w:t>
                  </w:r>
                </w:p>
              </w:tc>
              <w:tc>
                <w:tcPr>
                  <w:tcW w:w="532" w:type="pct"/>
                  <w:shd w:val="clear" w:color="auto" w:fill="auto"/>
                  <w:vAlign w:val="center"/>
                </w:tcPr>
                <w:p w14:paraId="7679C9A9">
                  <w:pPr>
                    <w:jc w:val="center"/>
                    <w:rPr>
                      <w:i w:val="0"/>
                      <w:iCs w:val="0"/>
                      <w:color w:val="000000" w:themeColor="text1"/>
                      <w:highlight w:val="none"/>
                      <w14:textFill>
                        <w14:solidFill>
                          <w14:schemeClr w14:val="tx1"/>
                        </w14:solidFill>
                      </w14:textFill>
                    </w:rPr>
                  </w:pPr>
                  <w:r>
                    <w:rPr>
                      <w:rFonts w:hint="eastAsia"/>
                      <w:i w:val="0"/>
                      <w:iCs w:val="0"/>
                      <w:color w:val="000000" w:themeColor="text1"/>
                      <w:highlight w:val="none"/>
                      <w14:textFill>
                        <w14:solidFill>
                          <w14:schemeClr w14:val="tx1"/>
                        </w14:solidFill>
                      </w14:textFill>
                    </w:rPr>
                    <w:t>相符</w:t>
                  </w:r>
                </w:p>
              </w:tc>
            </w:tr>
            <w:tr w14:paraId="1C7D64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vAlign w:val="center"/>
                </w:tcPr>
                <w:p w14:paraId="0B7594A6">
                  <w:pPr>
                    <w:jc w:val="center"/>
                    <w:rPr>
                      <w:i w:val="0"/>
                      <w:iCs w:val="0"/>
                      <w:color w:val="000000" w:themeColor="text1"/>
                      <w:szCs w:val="21"/>
                      <w:highlight w:val="none"/>
                      <w14:textFill>
                        <w14:solidFill>
                          <w14:schemeClr w14:val="tx1"/>
                        </w14:solidFill>
                      </w14:textFill>
                    </w:rPr>
                  </w:pPr>
                </w:p>
              </w:tc>
              <w:tc>
                <w:tcPr>
                  <w:tcW w:w="397" w:type="pct"/>
                  <w:shd w:val="clear" w:color="auto" w:fill="auto"/>
                  <w:vAlign w:val="center"/>
                </w:tcPr>
                <w:p w14:paraId="4ADDA5A2">
                  <w:pPr>
                    <w:spacing w:before="60" w:after="60"/>
                    <w:jc w:val="center"/>
                    <w:outlineLvl w:val="0"/>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其他炉窑</w:t>
                  </w:r>
                </w:p>
              </w:tc>
              <w:tc>
                <w:tcPr>
                  <w:tcW w:w="1977" w:type="pct"/>
                  <w:shd w:val="clear" w:color="auto" w:fill="auto"/>
                  <w:vAlign w:val="center"/>
                </w:tcPr>
                <w:p w14:paraId="682B93BE">
                  <w:pPr>
                    <w:spacing w:before="60" w:after="60"/>
                    <w:rPr>
                      <w:i w:val="0"/>
                      <w:iCs w:val="0"/>
                      <w:color w:val="000000" w:themeColor="text1"/>
                      <w:szCs w:val="21"/>
                      <w:highlight w:val="none"/>
                      <w14:textFill>
                        <w14:solidFill>
                          <w14:schemeClr w14:val="tx1"/>
                        </w14:solidFill>
                      </w14:textFill>
                    </w:rPr>
                  </w:pPr>
                  <w:r>
                    <w:rPr>
                      <w:rFonts w:hint="default"/>
                      <w:i w:val="0"/>
                      <w:iCs w:val="0"/>
                      <w:color w:val="000000" w:themeColor="text1"/>
                      <w:szCs w:val="21"/>
                      <w:highlight w:val="none"/>
                      <w:lang w:val="en-US" w:eastAsia="zh-CN"/>
                      <w14:textFill>
                        <w14:solidFill>
                          <w14:schemeClr w14:val="tx1"/>
                        </w14:solidFill>
                      </w14:textFill>
                    </w:rPr>
                    <w:t>PM</w:t>
                  </w:r>
                  <w:r>
                    <w:rPr>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SO</w:t>
                  </w:r>
                  <w:r>
                    <w:rPr>
                      <w:rFonts w:hint="default"/>
                      <w:i w:val="0"/>
                      <w:iCs w:val="0"/>
                      <w:color w:val="000000" w:themeColor="text1"/>
                      <w:szCs w:val="21"/>
                      <w:highlight w:val="none"/>
                      <w:vertAlign w:val="subscript"/>
                      <w:lang w:val="en-US" w:eastAsia="zh-CN"/>
                      <w14:textFill>
                        <w14:solidFill>
                          <w14:schemeClr w14:val="tx1"/>
                        </w14:solidFill>
                      </w14:textFill>
                    </w:rPr>
                    <w:t>2</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NOx</w:t>
                  </w:r>
                  <w:r>
                    <w:rPr>
                      <w:rFonts w:hint="eastAsia"/>
                      <w:i w:val="0"/>
                      <w:iCs w:val="0"/>
                      <w:color w:val="000000" w:themeColor="text1"/>
                      <w:szCs w:val="21"/>
                      <w:highlight w:val="none"/>
                      <w:lang w:val="en-US" w:eastAsia="zh-CN"/>
                      <w14:textFill>
                        <w14:solidFill>
                          <w14:schemeClr w14:val="tx1"/>
                        </w14:solidFill>
                      </w14:textFill>
                    </w:rPr>
                    <w:t>排放浓度分别不高于</w:t>
                  </w:r>
                  <w:r>
                    <w:rPr>
                      <w:rFonts w:hint="default"/>
                      <w:i w:val="0"/>
                      <w:iCs w:val="0"/>
                      <w:color w:val="000000" w:themeColor="text1"/>
                      <w:szCs w:val="21"/>
                      <w:highlight w:val="none"/>
                      <w:lang w:val="en-US" w:eastAsia="zh-CN"/>
                      <w14:textFill>
                        <w14:solidFill>
                          <w14:schemeClr w14:val="tx1"/>
                        </w14:solidFill>
                      </w14:textFill>
                    </w:rPr>
                    <w:t>10</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50</w:t>
                  </w:r>
                  <w:r>
                    <w:rPr>
                      <w:rFonts w:hint="eastAsia"/>
                      <w:i w:val="0"/>
                      <w:iCs w:val="0"/>
                      <w:color w:val="000000" w:themeColor="text1"/>
                      <w:szCs w:val="21"/>
                      <w:highlight w:val="none"/>
                      <w:lang w:val="en-US" w:eastAsia="zh-CN"/>
                      <w14:textFill>
                        <w14:solidFill>
                          <w14:schemeClr w14:val="tx1"/>
                        </w14:solidFill>
                      </w14:textFill>
                    </w:rPr>
                    <w:t>、</w:t>
                  </w:r>
                  <w:r>
                    <w:rPr>
                      <w:rFonts w:hint="default"/>
                      <w:i w:val="0"/>
                      <w:iCs w:val="0"/>
                      <w:color w:val="000000" w:themeColor="text1"/>
                      <w:szCs w:val="21"/>
                      <w:highlight w:val="none"/>
                      <w:lang w:val="en-US" w:eastAsia="zh-CN"/>
                      <w14:textFill>
                        <w14:solidFill>
                          <w14:schemeClr w14:val="tx1"/>
                        </w14:solidFill>
                      </w14:textFill>
                    </w:rPr>
                    <w:t>100mg/m</w:t>
                  </w:r>
                  <w:r>
                    <w:rPr>
                      <w:rFonts w:hint="eastAsia"/>
                      <w:i w:val="0"/>
                      <w:iCs w:val="0"/>
                      <w:color w:val="000000" w:themeColor="text1"/>
                      <w:szCs w:val="21"/>
                      <w:highlight w:val="none"/>
                      <w:vertAlign w:val="superscript"/>
                      <w:lang w:val="en-US" w:eastAsia="zh-CN"/>
                      <w14:textFill>
                        <w14:solidFill>
                          <w14:schemeClr w14:val="tx1"/>
                        </w14:solidFill>
                      </w14:textFill>
                    </w:rPr>
                    <w:t>3</w:t>
                  </w:r>
                  <w:r>
                    <w:rPr>
                      <w:rFonts w:hint="eastAsia"/>
                      <w:i w:val="0"/>
                      <w:iCs w:val="0"/>
                      <w:color w:val="000000" w:themeColor="text1"/>
                      <w:szCs w:val="21"/>
                      <w:highlight w:val="none"/>
                      <w:lang w:val="en-US" w:eastAsia="zh-CN"/>
                      <w14:textFill>
                        <w14:solidFill>
                          <w14:schemeClr w14:val="tx1"/>
                        </w14:solidFill>
                      </w14:textFill>
                    </w:rPr>
                    <w:t>（基准含氧量：</w:t>
                  </w:r>
                  <w:r>
                    <w:rPr>
                      <w:rFonts w:hint="default"/>
                      <w:i w:val="0"/>
                      <w:iCs w:val="0"/>
                      <w:color w:val="000000" w:themeColor="text1"/>
                      <w:szCs w:val="21"/>
                      <w:highlight w:val="none"/>
                      <w:lang w:val="en-US" w:eastAsia="zh-CN"/>
                      <w14:textFill>
                        <w14:solidFill>
                          <w14:schemeClr w14:val="tx1"/>
                        </w14:solidFill>
                      </w14:textFill>
                    </w:rPr>
                    <w:t>9%</w:t>
                  </w:r>
                  <w:r>
                    <w:rPr>
                      <w:rFonts w:hint="eastAsia"/>
                      <w:i w:val="0"/>
                      <w:iCs w:val="0"/>
                      <w:color w:val="000000" w:themeColor="text1"/>
                      <w:szCs w:val="21"/>
                      <w:highlight w:val="none"/>
                      <w:lang w:val="en-US" w:eastAsia="zh-CN"/>
                      <w14:textFill>
                        <w14:solidFill>
                          <w14:schemeClr w14:val="tx1"/>
                        </w14:solidFill>
                      </w14:textFill>
                    </w:rPr>
                    <w:t>）</w:t>
                  </w:r>
                </w:p>
              </w:tc>
              <w:tc>
                <w:tcPr>
                  <w:tcW w:w="1813" w:type="pct"/>
                  <w:shd w:val="clear" w:color="auto" w:fill="auto"/>
                  <w:vAlign w:val="center"/>
                </w:tcPr>
                <w:p w14:paraId="29A82176">
                  <w:pPr>
                    <w:pStyle w:val="40"/>
                    <w:spacing w:line="240" w:lineRule="auto"/>
                    <w:ind w:firstLine="0" w:firstLineChars="0"/>
                    <w:jc w:val="both"/>
                    <w:textAlignment w:val="baseline"/>
                    <w:rPr>
                      <w:rFonts w:eastAsiaTheme="minorEastAsia"/>
                      <w:i w:val="0"/>
                      <w:iCs w:val="0"/>
                      <w:color w:val="000000" w:themeColor="text1"/>
                      <w:sz w:val="21"/>
                      <w:szCs w:val="21"/>
                      <w:highlight w:val="none"/>
                      <w14:textFill>
                        <w14:solidFill>
                          <w14:schemeClr w14:val="tx1"/>
                        </w14:solidFill>
                      </w14:textFill>
                    </w:rPr>
                  </w:pPr>
                  <w:r>
                    <w:rPr>
                      <w:rFonts w:eastAsiaTheme="minorEastAsia"/>
                      <w:i w:val="0"/>
                      <w:iCs w:val="0"/>
                      <w:color w:val="000000" w:themeColor="text1"/>
                      <w:sz w:val="21"/>
                      <w:szCs w:val="21"/>
                      <w:highlight w:val="none"/>
                      <w14:textFill>
                        <w14:solidFill>
                          <w14:schemeClr w14:val="tx1"/>
                        </w14:solidFill>
                      </w14:textFill>
                    </w:rPr>
                    <w:t>本项目不涉及。</w:t>
                  </w:r>
                </w:p>
              </w:tc>
              <w:tc>
                <w:tcPr>
                  <w:tcW w:w="532" w:type="pct"/>
                  <w:shd w:val="clear" w:color="auto" w:fill="auto"/>
                  <w:vAlign w:val="center"/>
                </w:tcPr>
                <w:p w14:paraId="0CDC174F">
                  <w:pPr>
                    <w:jc w:val="center"/>
                    <w:rPr>
                      <w:i w:val="0"/>
                      <w:iCs w:val="0"/>
                      <w:color w:val="000000" w:themeColor="text1"/>
                      <w:highlight w:val="none"/>
                      <w14:textFill>
                        <w14:solidFill>
                          <w14:schemeClr w14:val="tx1"/>
                        </w14:solidFill>
                      </w14:textFill>
                    </w:rPr>
                  </w:pPr>
                  <w:r>
                    <w:rPr>
                      <w:rFonts w:hint="eastAsia"/>
                      <w:i w:val="0"/>
                      <w:iCs w:val="0"/>
                      <w:color w:val="000000" w:themeColor="text1"/>
                      <w:highlight w:val="none"/>
                      <w14:textFill>
                        <w14:solidFill>
                          <w14:schemeClr w14:val="tx1"/>
                        </w14:solidFill>
                      </w14:textFill>
                    </w:rPr>
                    <w:t>相符</w:t>
                  </w:r>
                </w:p>
              </w:tc>
            </w:tr>
            <w:tr w14:paraId="41C086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79" w:type="pct"/>
                  <w:vMerge w:val="continue"/>
                  <w:vAlign w:val="center"/>
                </w:tcPr>
                <w:p w14:paraId="315993F7">
                  <w:pPr>
                    <w:jc w:val="center"/>
                    <w:rPr>
                      <w:i w:val="0"/>
                      <w:iCs w:val="0"/>
                      <w:color w:val="000000" w:themeColor="text1"/>
                      <w:szCs w:val="21"/>
                      <w:highlight w:val="none"/>
                      <w14:textFill>
                        <w14:solidFill>
                          <w14:schemeClr w14:val="tx1"/>
                        </w14:solidFill>
                      </w14:textFill>
                    </w:rPr>
                  </w:pPr>
                </w:p>
              </w:tc>
              <w:tc>
                <w:tcPr>
                  <w:tcW w:w="397" w:type="pct"/>
                  <w:shd w:val="clear" w:color="auto" w:fill="auto"/>
                  <w:vAlign w:val="center"/>
                </w:tcPr>
                <w:p w14:paraId="5B76FF34">
                  <w:pPr>
                    <w:spacing w:before="60" w:after="60"/>
                    <w:jc w:val="center"/>
                    <w:outlineLvl w:val="0"/>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其他工序</w:t>
                  </w:r>
                </w:p>
              </w:tc>
              <w:tc>
                <w:tcPr>
                  <w:tcW w:w="1977" w:type="pct"/>
                  <w:shd w:val="clear" w:color="auto" w:fill="auto"/>
                  <w:vAlign w:val="center"/>
                </w:tcPr>
                <w:p w14:paraId="36D6FAEA">
                  <w:pPr>
                    <w:spacing w:before="60" w:after="60"/>
                    <w:jc w:val="center"/>
                    <w:rPr>
                      <w:i w:val="0"/>
                      <w:iCs w:val="0"/>
                      <w:color w:val="000000" w:themeColor="text1"/>
                      <w:szCs w:val="21"/>
                      <w:highlight w:val="none"/>
                      <w14:textFill>
                        <w14:solidFill>
                          <w14:schemeClr w14:val="tx1"/>
                        </w14:solidFill>
                      </w14:textFill>
                    </w:rPr>
                  </w:pPr>
                  <w:r>
                    <w:rPr>
                      <w:i w:val="0"/>
                      <w:iCs w:val="0"/>
                      <w:color w:val="000000" w:themeColor="text1"/>
                      <w:szCs w:val="21"/>
                      <w:highlight w:val="none"/>
                      <w14:textFill>
                        <w14:solidFill>
                          <w14:schemeClr w14:val="tx1"/>
                        </w14:solidFill>
                      </w14:textFill>
                    </w:rPr>
                    <w:t>PM排放浓度不高于10mg/m</w:t>
                  </w:r>
                  <w:r>
                    <w:rPr>
                      <w:i w:val="0"/>
                      <w:iCs w:val="0"/>
                      <w:color w:val="000000" w:themeColor="text1"/>
                      <w:szCs w:val="21"/>
                      <w:highlight w:val="none"/>
                      <w:vertAlign w:val="superscript"/>
                      <w14:textFill>
                        <w14:solidFill>
                          <w14:schemeClr w14:val="tx1"/>
                        </w14:solidFill>
                      </w14:textFill>
                    </w:rPr>
                    <w:t>3</w:t>
                  </w:r>
                  <w:r>
                    <w:rPr>
                      <w:i w:val="0"/>
                      <w:iCs w:val="0"/>
                      <w:color w:val="000000" w:themeColor="text1"/>
                      <w:szCs w:val="21"/>
                      <w:highlight w:val="none"/>
                      <w14:textFill>
                        <w14:solidFill>
                          <w14:schemeClr w14:val="tx1"/>
                        </w14:solidFill>
                      </w14:textFill>
                    </w:rPr>
                    <w:t>。</w:t>
                  </w:r>
                </w:p>
              </w:tc>
              <w:tc>
                <w:tcPr>
                  <w:tcW w:w="1813" w:type="pct"/>
                  <w:shd w:val="clear" w:color="auto" w:fill="auto"/>
                  <w:vAlign w:val="center"/>
                </w:tcPr>
                <w:p w14:paraId="0E81DE63">
                  <w:pPr>
                    <w:pStyle w:val="40"/>
                    <w:spacing w:line="240" w:lineRule="auto"/>
                    <w:ind w:firstLine="0" w:firstLineChars="0"/>
                    <w:jc w:val="both"/>
                    <w:textAlignment w:val="baseline"/>
                    <w:rPr>
                      <w:rFonts w:eastAsiaTheme="minorEastAsia"/>
                      <w:i w:val="0"/>
                      <w:iCs w:val="0"/>
                      <w:color w:val="000000" w:themeColor="text1"/>
                      <w:sz w:val="21"/>
                      <w:szCs w:val="21"/>
                      <w:highlight w:val="none"/>
                      <w14:textFill>
                        <w14:solidFill>
                          <w14:schemeClr w14:val="tx1"/>
                        </w14:solidFill>
                      </w14:textFill>
                    </w:rPr>
                  </w:pPr>
                  <w:r>
                    <w:rPr>
                      <w:i w:val="0"/>
                      <w:iCs w:val="0"/>
                      <w:color w:val="000000" w:themeColor="text1"/>
                      <w:sz w:val="21"/>
                      <w:szCs w:val="21"/>
                      <w:highlight w:val="none"/>
                      <w14:textFill>
                        <w14:solidFill>
                          <w14:schemeClr w14:val="tx1"/>
                        </w14:solidFill>
                      </w14:textFill>
                    </w:rPr>
                    <w:t>根据工程分析，本项目营运期</w:t>
                  </w:r>
                  <w:r>
                    <w:rPr>
                      <w:rFonts w:hint="eastAsia"/>
                      <w:i w:val="0"/>
                      <w:iCs w:val="0"/>
                      <w:color w:val="000000" w:themeColor="text1"/>
                      <w:sz w:val="21"/>
                      <w:szCs w:val="21"/>
                      <w:highlight w:val="none"/>
                      <w14:textFill>
                        <w14:solidFill>
                          <w14:schemeClr w14:val="tx1"/>
                        </w14:solidFill>
                      </w14:textFill>
                    </w:rPr>
                    <w:t>其他工序</w:t>
                  </w:r>
                  <w:r>
                    <w:rPr>
                      <w:i w:val="0"/>
                      <w:iCs w:val="0"/>
                      <w:color w:val="000000" w:themeColor="text1"/>
                      <w:sz w:val="21"/>
                      <w:szCs w:val="21"/>
                      <w:highlight w:val="none"/>
                      <w14:textFill>
                        <w14:solidFill>
                          <w14:schemeClr w14:val="tx1"/>
                        </w14:solidFill>
                      </w14:textFill>
                    </w:rPr>
                    <w:t>PM排放浓度</w:t>
                  </w:r>
                  <w:commentRangeStart w:id="23"/>
                  <w:r>
                    <w:rPr>
                      <w:i w:val="0"/>
                      <w:iCs w:val="0"/>
                      <w:color w:val="000000" w:themeColor="text1"/>
                      <w:sz w:val="21"/>
                      <w:szCs w:val="21"/>
                      <w:highlight w:val="none"/>
                      <w14:textFill>
                        <w14:solidFill>
                          <w14:schemeClr w14:val="tx1"/>
                        </w14:solidFill>
                      </w14:textFill>
                    </w:rPr>
                    <w:t>分别不</w:t>
                  </w:r>
                  <w:commentRangeEnd w:id="23"/>
                  <w:r>
                    <w:commentReference w:id="23"/>
                  </w:r>
                  <w:r>
                    <w:rPr>
                      <w:i w:val="0"/>
                      <w:iCs w:val="0"/>
                      <w:color w:val="000000" w:themeColor="text1"/>
                      <w:sz w:val="21"/>
                      <w:szCs w:val="21"/>
                      <w:highlight w:val="none"/>
                      <w14:textFill>
                        <w14:solidFill>
                          <w14:schemeClr w14:val="tx1"/>
                        </w14:solidFill>
                      </w14:textFill>
                    </w:rPr>
                    <w:t>高于10mg/m</w:t>
                  </w:r>
                  <w:r>
                    <w:rPr>
                      <w:i w:val="0"/>
                      <w:iCs w:val="0"/>
                      <w:color w:val="000000" w:themeColor="text1"/>
                      <w:sz w:val="21"/>
                      <w:szCs w:val="21"/>
                      <w:highlight w:val="none"/>
                      <w:vertAlign w:val="superscript"/>
                      <w14:textFill>
                        <w14:solidFill>
                          <w14:schemeClr w14:val="tx1"/>
                        </w14:solidFill>
                      </w14:textFill>
                    </w:rPr>
                    <w:t>3</w:t>
                  </w:r>
                  <w:r>
                    <w:rPr>
                      <w:i w:val="0"/>
                      <w:iCs w:val="0"/>
                      <w:color w:val="000000" w:themeColor="text1"/>
                      <w:sz w:val="21"/>
                      <w:szCs w:val="21"/>
                      <w:highlight w:val="none"/>
                      <w14:textFill>
                        <w14:solidFill>
                          <w14:schemeClr w14:val="tx1"/>
                        </w14:solidFill>
                      </w14:textFill>
                    </w:rPr>
                    <w:t>。</w:t>
                  </w:r>
                </w:p>
              </w:tc>
              <w:tc>
                <w:tcPr>
                  <w:tcW w:w="532" w:type="pct"/>
                  <w:shd w:val="clear" w:color="auto" w:fill="auto"/>
                  <w:vAlign w:val="center"/>
                </w:tcPr>
                <w:p w14:paraId="029C470C">
                  <w:pPr>
                    <w:jc w:val="center"/>
                    <w:rPr>
                      <w:i w:val="0"/>
                      <w:iCs w:val="0"/>
                      <w:color w:val="000000" w:themeColor="text1"/>
                      <w:highlight w:val="none"/>
                      <w14:textFill>
                        <w14:solidFill>
                          <w14:schemeClr w14:val="tx1"/>
                        </w14:solidFill>
                      </w14:textFill>
                    </w:rPr>
                  </w:pPr>
                  <w:r>
                    <w:rPr>
                      <w:rFonts w:hint="eastAsia"/>
                      <w:i w:val="0"/>
                      <w:iCs w:val="0"/>
                      <w:color w:val="000000" w:themeColor="text1"/>
                      <w:highlight w:val="none"/>
                      <w14:textFill>
                        <w14:solidFill>
                          <w14:schemeClr w14:val="tx1"/>
                        </w14:solidFill>
                      </w14:textFill>
                    </w:rPr>
                    <w:t>相符</w:t>
                  </w:r>
                </w:p>
              </w:tc>
            </w:tr>
            <w:tr w14:paraId="3FB759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6" w:type="pct"/>
                  <w:gridSpan w:val="2"/>
                  <w:vAlign w:val="center"/>
                </w:tcPr>
                <w:p w14:paraId="0BB68C52">
                  <w:pPr>
                    <w:jc w:val="center"/>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14:textFill>
                        <w14:solidFill>
                          <w14:schemeClr w14:val="tx1"/>
                        </w14:solidFill>
                      </w14:textFill>
                    </w:rPr>
                    <w:t>监测监控水平</w:t>
                  </w:r>
                </w:p>
              </w:tc>
              <w:tc>
                <w:tcPr>
                  <w:tcW w:w="1977" w:type="pct"/>
                  <w:vAlign w:val="center"/>
                </w:tcPr>
                <w:p w14:paraId="6FC76DA8">
                  <w:pPr>
                    <w:rPr>
                      <w:i w:val="0"/>
                      <w:iCs w:val="0"/>
                      <w:color w:val="000000" w:themeColor="text1"/>
                      <w:szCs w:val="21"/>
                      <w:highlight w:val="none"/>
                      <w14:textFill>
                        <w14:solidFill>
                          <w14:schemeClr w14:val="tx1"/>
                        </w14:solidFill>
                      </w14:textFill>
                    </w:rPr>
                  </w:pPr>
                  <w:r>
                    <w:rPr>
                      <w:i w:val="0"/>
                      <w:iCs w:val="0"/>
                      <w:color w:val="000000" w:themeColor="text1"/>
                      <w:szCs w:val="21"/>
                      <w:highlight w:val="none"/>
                      <w:lang w:val="en-US" w:eastAsia="zh-CN"/>
                      <w14:textFill>
                        <w14:solidFill>
                          <w14:schemeClr w14:val="tx1"/>
                        </w14:solidFill>
                      </w14:textFill>
                    </w:rPr>
                    <w:t>重点排污企业主要排放口</w:t>
                  </w:r>
                  <w:r>
                    <w:rPr>
                      <w:rFonts w:hint="eastAsia"/>
                      <w:i w:val="0"/>
                      <w:iCs w:val="0"/>
                      <w:color w:val="000000" w:themeColor="text1"/>
                      <w:szCs w:val="21"/>
                      <w:highlight w:val="none"/>
                      <w:vertAlign w:val="superscript"/>
                      <w:lang w:val="en-US" w:eastAsia="zh-CN"/>
                      <w14:textFill>
                        <w14:solidFill>
                          <w14:schemeClr w14:val="tx1"/>
                        </w14:solidFill>
                      </w14:textFill>
                    </w:rPr>
                    <w:t>【</w:t>
                  </w:r>
                  <w:r>
                    <w:rPr>
                      <w:rFonts w:hint="default"/>
                      <w:i w:val="0"/>
                      <w:iCs w:val="0"/>
                      <w:color w:val="000000" w:themeColor="text1"/>
                      <w:szCs w:val="21"/>
                      <w:highlight w:val="none"/>
                      <w:vertAlign w:val="superscript"/>
                      <w:lang w:val="en-US" w:eastAsia="zh-CN"/>
                      <w14:textFill>
                        <w14:solidFill>
                          <w14:schemeClr w14:val="tx1"/>
                        </w14:solidFill>
                      </w14:textFill>
                    </w:rPr>
                    <w:t>6</w:t>
                  </w:r>
                  <w:r>
                    <w:rPr>
                      <w:rFonts w:hint="eastAsia"/>
                      <w:i w:val="0"/>
                      <w:iCs w:val="0"/>
                      <w:color w:val="000000" w:themeColor="text1"/>
                      <w:szCs w:val="21"/>
                      <w:highlight w:val="none"/>
                      <w:vertAlign w:val="superscript"/>
                      <w:lang w:val="en-US" w:eastAsia="zh-CN"/>
                      <w14:textFill>
                        <w14:solidFill>
                          <w14:schemeClr w14:val="tx1"/>
                        </w14:solidFill>
                      </w14:textFill>
                    </w:rPr>
                    <w:t>】</w:t>
                  </w:r>
                  <w:r>
                    <w:rPr>
                      <w:rFonts w:hint="eastAsia"/>
                      <w:i w:val="0"/>
                      <w:iCs w:val="0"/>
                      <w:color w:val="000000" w:themeColor="text1"/>
                      <w:szCs w:val="21"/>
                      <w:highlight w:val="none"/>
                      <w:lang w:val="en-US" w:eastAsia="zh-CN"/>
                      <w14:textFill>
                        <w14:solidFill>
                          <w14:schemeClr w14:val="tx1"/>
                        </w14:solidFill>
                      </w14:textFill>
                    </w:rPr>
                    <w:t>安装</w:t>
                  </w:r>
                  <w:r>
                    <w:rPr>
                      <w:rFonts w:hint="default"/>
                      <w:i w:val="0"/>
                      <w:iCs w:val="0"/>
                      <w:color w:val="000000" w:themeColor="text1"/>
                      <w:szCs w:val="21"/>
                      <w:highlight w:val="none"/>
                      <w:lang w:val="en-US" w:eastAsia="zh-CN"/>
                      <w14:textFill>
                        <w14:solidFill>
                          <w14:schemeClr w14:val="tx1"/>
                        </w14:solidFill>
                      </w14:textFill>
                    </w:rPr>
                    <w:t>CEMS</w:t>
                  </w:r>
                  <w:r>
                    <w:rPr>
                      <w:rFonts w:hint="eastAsia"/>
                      <w:i w:val="0"/>
                      <w:iCs w:val="0"/>
                      <w:color w:val="000000" w:themeColor="text1"/>
                      <w:szCs w:val="21"/>
                      <w:highlight w:val="none"/>
                      <w:lang w:val="en-US" w:eastAsia="zh-CN"/>
                      <w14:textFill>
                        <w14:solidFill>
                          <w14:schemeClr w14:val="tx1"/>
                        </w14:solidFill>
                      </w14:textFill>
                    </w:rPr>
                    <w:t>，记录生产设施运行情况，并按要求与省厅联网；</w:t>
                  </w:r>
                  <w:r>
                    <w:rPr>
                      <w:rFonts w:hint="default"/>
                      <w:i w:val="0"/>
                      <w:iCs w:val="0"/>
                      <w:color w:val="000000" w:themeColor="text1"/>
                      <w:szCs w:val="21"/>
                      <w:highlight w:val="none"/>
                      <w:lang w:val="en-US" w:eastAsia="zh-CN"/>
                      <w14:textFill>
                        <w14:solidFill>
                          <w14:schemeClr w14:val="tx1"/>
                        </w14:solidFill>
                      </w14:textFill>
                    </w:rPr>
                    <w:t>CEMS</w:t>
                  </w:r>
                  <w:r>
                    <w:rPr>
                      <w:rFonts w:hint="eastAsia"/>
                      <w:i w:val="0"/>
                      <w:iCs w:val="0"/>
                      <w:color w:val="000000" w:themeColor="text1"/>
                      <w:szCs w:val="21"/>
                      <w:highlight w:val="none"/>
                      <w:lang w:val="en-US" w:eastAsia="zh-CN"/>
                      <w14:textFill>
                        <w14:solidFill>
                          <w14:schemeClr w14:val="tx1"/>
                        </w14:solidFill>
                      </w14:textFill>
                    </w:rPr>
                    <w:t>数据至少保存最近</w:t>
                  </w:r>
                  <w:r>
                    <w:rPr>
                      <w:rFonts w:hint="default"/>
                      <w:i w:val="0"/>
                      <w:iCs w:val="0"/>
                      <w:color w:val="000000" w:themeColor="text1"/>
                      <w:szCs w:val="21"/>
                      <w:highlight w:val="none"/>
                      <w:lang w:val="en-US" w:eastAsia="zh-CN"/>
                      <w14:textFill>
                        <w14:solidFill>
                          <w14:schemeClr w14:val="tx1"/>
                        </w14:solidFill>
                      </w14:textFill>
                    </w:rPr>
                    <w:t>12</w:t>
                  </w:r>
                  <w:r>
                    <w:rPr>
                      <w:rFonts w:hint="eastAsia"/>
                      <w:i w:val="0"/>
                      <w:iCs w:val="0"/>
                      <w:color w:val="000000" w:themeColor="text1"/>
                      <w:szCs w:val="21"/>
                      <w:highlight w:val="none"/>
                      <w:lang w:val="en-US" w:eastAsia="zh-CN"/>
                      <w14:textFill>
                        <w14:solidFill>
                          <w14:schemeClr w14:val="tx1"/>
                        </w14:solidFill>
                      </w14:textFill>
                    </w:rPr>
                    <w:t>个月的</w:t>
                  </w:r>
                  <w:r>
                    <w:rPr>
                      <w:rFonts w:hint="default"/>
                      <w:i w:val="0"/>
                      <w:iCs w:val="0"/>
                      <w:color w:val="000000" w:themeColor="text1"/>
                      <w:szCs w:val="21"/>
                      <w:highlight w:val="none"/>
                      <w:lang w:val="en-US" w:eastAsia="zh-CN"/>
                      <w14:textFill>
                        <w14:solidFill>
                          <w14:schemeClr w14:val="tx1"/>
                        </w14:solidFill>
                      </w14:textFill>
                    </w:rPr>
                    <w:t>1</w:t>
                  </w:r>
                  <w:r>
                    <w:rPr>
                      <w:rFonts w:hint="eastAsia"/>
                      <w:i w:val="0"/>
                      <w:iCs w:val="0"/>
                      <w:color w:val="000000" w:themeColor="text1"/>
                      <w:szCs w:val="21"/>
                      <w:highlight w:val="none"/>
                      <w:lang w:val="en-US" w:eastAsia="zh-CN"/>
                      <w14:textFill>
                        <w14:solidFill>
                          <w14:schemeClr w14:val="tx1"/>
                        </w14:solidFill>
                      </w14:textFill>
                    </w:rPr>
                    <w:t>分钟均值、</w:t>
                  </w:r>
                  <w:r>
                    <w:rPr>
                      <w:rFonts w:hint="default"/>
                      <w:i w:val="0"/>
                      <w:iCs w:val="0"/>
                      <w:color w:val="000000" w:themeColor="text1"/>
                      <w:szCs w:val="21"/>
                      <w:highlight w:val="none"/>
                      <w:lang w:val="en-US" w:eastAsia="zh-CN"/>
                      <w14:textFill>
                        <w14:solidFill>
                          <w14:schemeClr w14:val="tx1"/>
                        </w14:solidFill>
                      </w14:textFill>
                    </w:rPr>
                    <w:t>36</w:t>
                  </w:r>
                  <w:r>
                    <w:rPr>
                      <w:rFonts w:hint="eastAsia"/>
                      <w:i w:val="0"/>
                      <w:iCs w:val="0"/>
                      <w:color w:val="000000" w:themeColor="text1"/>
                      <w:szCs w:val="21"/>
                      <w:highlight w:val="none"/>
                      <w:lang w:val="en-US" w:eastAsia="zh-CN"/>
                      <w14:textFill>
                        <w14:solidFill>
                          <w14:schemeClr w14:val="tx1"/>
                        </w14:solidFill>
                      </w14:textFill>
                    </w:rPr>
                    <w:t>个月的</w:t>
                  </w:r>
                  <w:r>
                    <w:rPr>
                      <w:rFonts w:hint="default"/>
                      <w:i w:val="0"/>
                      <w:iCs w:val="0"/>
                      <w:color w:val="000000" w:themeColor="text1"/>
                      <w:szCs w:val="21"/>
                      <w:highlight w:val="none"/>
                      <w:lang w:val="en-US" w:eastAsia="zh-CN"/>
                      <w14:textFill>
                        <w14:solidFill>
                          <w14:schemeClr w14:val="tx1"/>
                        </w14:solidFill>
                      </w14:textFill>
                    </w:rPr>
                    <w:t>1</w:t>
                  </w:r>
                  <w:r>
                    <w:rPr>
                      <w:rFonts w:hint="eastAsia"/>
                      <w:i w:val="0"/>
                      <w:iCs w:val="0"/>
                      <w:color w:val="000000" w:themeColor="text1"/>
                      <w:szCs w:val="21"/>
                      <w:highlight w:val="none"/>
                      <w:lang w:val="en-US" w:eastAsia="zh-CN"/>
                      <w14:textFill>
                        <w14:solidFill>
                          <w14:schemeClr w14:val="tx1"/>
                        </w14:solidFill>
                      </w14:textFill>
                    </w:rPr>
                    <w:t>小时均值及</w:t>
                  </w:r>
                  <w:r>
                    <w:rPr>
                      <w:rFonts w:hint="default"/>
                      <w:i w:val="0"/>
                      <w:iCs w:val="0"/>
                      <w:color w:val="000000" w:themeColor="text1"/>
                      <w:szCs w:val="21"/>
                      <w:highlight w:val="none"/>
                      <w:lang w:val="en-US" w:eastAsia="zh-CN"/>
                      <w14:textFill>
                        <w14:solidFill>
                          <w14:schemeClr w14:val="tx1"/>
                        </w14:solidFill>
                      </w14:textFill>
                    </w:rPr>
                    <w:t>60</w:t>
                  </w:r>
                  <w:r>
                    <w:rPr>
                      <w:rFonts w:hint="eastAsia"/>
                      <w:i w:val="0"/>
                      <w:iCs w:val="0"/>
                      <w:color w:val="000000" w:themeColor="text1"/>
                      <w:szCs w:val="21"/>
                      <w:highlight w:val="none"/>
                      <w:lang w:val="en-US" w:eastAsia="zh-CN"/>
                      <w14:textFill>
                        <w14:solidFill>
                          <w14:schemeClr w14:val="tx1"/>
                        </w14:solidFill>
                      </w14:textFill>
                    </w:rPr>
                    <w:t>个月的日均值和月均值。（投产或安装时间不满一年以上的企业，以现有数据为准）。</w:t>
                  </w:r>
                </w:p>
              </w:tc>
              <w:tc>
                <w:tcPr>
                  <w:tcW w:w="1813" w:type="pct"/>
                  <w:shd w:val="clear" w:color="auto" w:fill="auto"/>
                  <w:vAlign w:val="center"/>
                </w:tcPr>
                <w:p w14:paraId="6E9A7D4C">
                  <w:pPr>
                    <w:pStyle w:val="40"/>
                    <w:spacing w:line="240" w:lineRule="auto"/>
                    <w:ind w:firstLine="0" w:firstLineChars="0"/>
                    <w:jc w:val="left"/>
                    <w:textAlignment w:val="baseline"/>
                    <w:rPr>
                      <w:rFonts w:eastAsiaTheme="minorEastAsia"/>
                      <w:i w:val="0"/>
                      <w:iCs w:val="0"/>
                      <w:color w:val="000000" w:themeColor="text1"/>
                      <w:sz w:val="21"/>
                      <w:szCs w:val="21"/>
                      <w:highlight w:val="none"/>
                      <w14:textFill>
                        <w14:solidFill>
                          <w14:schemeClr w14:val="tx1"/>
                        </w14:solidFill>
                      </w14:textFill>
                    </w:rPr>
                  </w:pPr>
                  <w:r>
                    <w:rPr>
                      <w:rFonts w:hint="eastAsia" w:eastAsiaTheme="minorEastAsia"/>
                      <w:i w:val="0"/>
                      <w:iCs w:val="0"/>
                      <w:color w:val="000000" w:themeColor="text1"/>
                      <w:sz w:val="21"/>
                      <w:szCs w:val="21"/>
                      <w:highlight w:val="none"/>
                      <w14:textFill>
                        <w14:solidFill>
                          <w14:schemeClr w14:val="tx1"/>
                        </w14:solidFill>
                      </w14:textFill>
                    </w:rPr>
                    <w:t>本项目不属于重点排污企业</w:t>
                  </w:r>
                </w:p>
              </w:tc>
              <w:tc>
                <w:tcPr>
                  <w:tcW w:w="532" w:type="pct"/>
                  <w:shd w:val="clear" w:color="auto" w:fill="auto"/>
                  <w:vAlign w:val="center"/>
                </w:tcPr>
                <w:p w14:paraId="08C1FAC9">
                  <w:pPr>
                    <w:jc w:val="center"/>
                    <w:rPr>
                      <w:rFonts w:eastAsiaTheme="minorEastAsia"/>
                      <w:bCs/>
                      <w:i w:val="0"/>
                      <w:iCs w:val="0"/>
                      <w:color w:val="000000" w:themeColor="text1"/>
                      <w:szCs w:val="21"/>
                      <w:highlight w:val="none"/>
                      <w14:textFill>
                        <w14:solidFill>
                          <w14:schemeClr w14:val="tx1"/>
                        </w14:solidFill>
                      </w14:textFill>
                    </w:rPr>
                  </w:pPr>
                  <w:r>
                    <w:rPr>
                      <w:rFonts w:hint="eastAsia"/>
                      <w:i w:val="0"/>
                      <w:iCs w:val="0"/>
                      <w:color w:val="000000" w:themeColor="text1"/>
                      <w:highlight w:val="none"/>
                      <w14:textFill>
                        <w14:solidFill>
                          <w14:schemeClr w14:val="tx1"/>
                        </w14:solidFill>
                      </w14:textFill>
                    </w:rPr>
                    <w:t>相符</w:t>
                  </w:r>
                </w:p>
              </w:tc>
            </w:tr>
            <w:tr w14:paraId="4C39EA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5"/>
                  <w:vAlign w:val="center"/>
                </w:tcPr>
                <w:p w14:paraId="71D1BFCF">
                  <w:pPr>
                    <w:jc w:val="both"/>
                    <w:rPr>
                      <w:rFonts w:hint="eastAsia"/>
                      <w:i w:val="0"/>
                      <w:iCs w:val="0"/>
                      <w:color w:val="000000" w:themeColor="text1"/>
                      <w:highlight w:val="none"/>
                      <w14:textFill>
                        <w14:solidFill>
                          <w14:schemeClr w14:val="tx1"/>
                        </w14:solidFill>
                      </w14:textFill>
                    </w:rPr>
                  </w:pPr>
                  <w:r>
                    <w:rPr>
                      <w:rFonts w:hint="eastAsia"/>
                      <w:i w:val="0"/>
                      <w:iCs w:val="0"/>
                      <w:color w:val="000000" w:themeColor="text1"/>
                      <w:highlight w:val="none"/>
                      <w:lang w:val="en-US" w:eastAsia="zh-CN"/>
                      <w14:textFill>
                        <w14:solidFill>
                          <w14:schemeClr w14:val="tx1"/>
                        </w14:solidFill>
                      </w14:textFill>
                    </w:rPr>
                    <w:t>备注</w:t>
                  </w:r>
                  <w:r>
                    <w:rPr>
                      <w:rFonts w:hint="eastAsia"/>
                      <w:i w:val="0"/>
                      <w:iCs w:val="0"/>
                      <w:color w:val="000000" w:themeColor="text1"/>
                      <w:highlight w:val="none"/>
                      <w:vertAlign w:val="superscript"/>
                      <w:lang w:val="en-US" w:eastAsia="zh-CN"/>
                      <w14:textFill>
                        <w14:solidFill>
                          <w14:schemeClr w14:val="tx1"/>
                        </w14:solidFill>
                      </w14:textFill>
                    </w:rPr>
                    <w:t>【1】</w:t>
                  </w:r>
                  <w:r>
                    <w:rPr>
                      <w:rFonts w:hint="eastAsia"/>
                      <w:i w:val="0"/>
                      <w:iCs w:val="0"/>
                      <w:color w:val="000000" w:themeColor="text1"/>
                      <w:highlight w:val="none"/>
                      <w:lang w:val="en-US" w:eastAsia="zh-CN"/>
                      <w14:textFill>
                        <w14:solidFill>
                          <w14:schemeClr w14:val="tx1"/>
                        </w14:solidFill>
                      </w14:textFill>
                    </w:rPr>
                    <w:t>：燃气锅炉在PM稳定达到排放限值情况下可不采用除尘工艺；</w:t>
                  </w:r>
                </w:p>
                <w:p w14:paraId="27E103B0">
                  <w:pPr>
                    <w:jc w:val="both"/>
                    <w:rPr>
                      <w:rFonts w:hint="eastAsia"/>
                      <w:i w:val="0"/>
                      <w:iCs w:val="0"/>
                      <w:color w:val="000000" w:themeColor="text1"/>
                      <w:highlight w:val="none"/>
                      <w14:textFill>
                        <w14:solidFill>
                          <w14:schemeClr w14:val="tx1"/>
                        </w14:solidFill>
                      </w14:textFill>
                    </w:rPr>
                  </w:pPr>
                  <w:r>
                    <w:rPr>
                      <w:rFonts w:hint="eastAsia"/>
                      <w:i w:val="0"/>
                      <w:iCs w:val="0"/>
                      <w:color w:val="000000" w:themeColor="text1"/>
                      <w:highlight w:val="none"/>
                      <w:lang w:val="en-US" w:eastAsia="zh-CN"/>
                      <w14:textFill>
                        <w14:solidFill>
                          <w14:schemeClr w14:val="tx1"/>
                        </w14:solidFill>
                      </w14:textFill>
                    </w:rPr>
                    <w:t>备注</w:t>
                  </w:r>
                  <w:r>
                    <w:rPr>
                      <w:rFonts w:hint="eastAsia"/>
                      <w:i w:val="0"/>
                      <w:iCs w:val="0"/>
                      <w:color w:val="000000" w:themeColor="text1"/>
                      <w:highlight w:val="none"/>
                      <w:vertAlign w:val="superscript"/>
                      <w:lang w:val="en-US" w:eastAsia="zh-CN"/>
                      <w14:textFill>
                        <w14:solidFill>
                          <w14:schemeClr w14:val="tx1"/>
                        </w14:solidFill>
                      </w14:textFill>
                    </w:rPr>
                    <w:t>【2】</w:t>
                  </w:r>
                  <w:r>
                    <w:rPr>
                      <w:rFonts w:hint="eastAsia"/>
                      <w:i w:val="0"/>
                      <w:iCs w:val="0"/>
                      <w:color w:val="000000" w:themeColor="text1"/>
                      <w:highlight w:val="none"/>
                      <w:lang w:val="en-US" w:eastAsia="zh-CN"/>
                      <w14:textFill>
                        <w14:solidFill>
                          <w14:schemeClr w14:val="tx1"/>
                        </w14:solidFill>
                      </w14:textFill>
                    </w:rPr>
                    <w:t>：温度低于800℃的燃气/燃油的干燥窑、热处理窑和燃气/生物质锅炉，在稳定达到排放限值情况下可不采用SCR/SNCR等工艺；</w:t>
                  </w:r>
                </w:p>
                <w:p w14:paraId="152489C9">
                  <w:pPr>
                    <w:jc w:val="both"/>
                    <w:rPr>
                      <w:rFonts w:hint="eastAsia"/>
                      <w:i w:val="0"/>
                      <w:iCs w:val="0"/>
                      <w:color w:val="000000" w:themeColor="text1"/>
                      <w:highlight w:val="none"/>
                      <w14:textFill>
                        <w14:solidFill>
                          <w14:schemeClr w14:val="tx1"/>
                        </w14:solidFill>
                      </w14:textFill>
                    </w:rPr>
                  </w:pPr>
                  <w:r>
                    <w:rPr>
                      <w:rFonts w:hint="eastAsia"/>
                      <w:i w:val="0"/>
                      <w:iCs w:val="0"/>
                      <w:color w:val="000000" w:themeColor="text1"/>
                      <w:highlight w:val="none"/>
                      <w:lang w:val="en-US" w:eastAsia="zh-CN"/>
                      <w14:textFill>
                        <w14:solidFill>
                          <w14:schemeClr w14:val="tx1"/>
                        </w14:solidFill>
                      </w14:textFill>
                    </w:rPr>
                    <w:t>备注</w:t>
                  </w:r>
                  <w:r>
                    <w:rPr>
                      <w:rFonts w:hint="eastAsia"/>
                      <w:i w:val="0"/>
                      <w:iCs w:val="0"/>
                      <w:color w:val="000000" w:themeColor="text1"/>
                      <w:highlight w:val="none"/>
                      <w:vertAlign w:val="superscript"/>
                      <w:lang w:val="en-US" w:eastAsia="zh-CN"/>
                      <w14:textFill>
                        <w14:solidFill>
                          <w14:schemeClr w14:val="tx1"/>
                        </w14:solidFill>
                      </w14:textFill>
                    </w:rPr>
                    <w:t>【3】</w:t>
                  </w:r>
                  <w:r>
                    <w:rPr>
                      <w:rFonts w:hint="eastAsia"/>
                      <w:i w:val="0"/>
                      <w:iCs w:val="0"/>
                      <w:color w:val="000000" w:themeColor="text1"/>
                      <w:highlight w:val="none"/>
                      <w:lang w:val="en-US" w:eastAsia="zh-CN"/>
                      <w14:textFill>
                        <w14:solidFill>
                          <w14:schemeClr w14:val="tx1"/>
                        </w14:solidFill>
                      </w14:textFill>
                    </w:rPr>
                    <w:t>：采用纯生物质锅炉、炉窑，在SO</w:t>
                  </w:r>
                  <w:r>
                    <w:rPr>
                      <w:rFonts w:hint="eastAsia"/>
                      <w:i w:val="0"/>
                      <w:iCs w:val="0"/>
                      <w:color w:val="000000" w:themeColor="text1"/>
                      <w:highlight w:val="none"/>
                      <w:vertAlign w:val="subscript"/>
                      <w:lang w:val="en-US" w:eastAsia="zh-CN"/>
                      <w14:textFill>
                        <w14:solidFill>
                          <w14:schemeClr w14:val="tx1"/>
                        </w14:solidFill>
                      </w14:textFill>
                    </w:rPr>
                    <w:t>2</w:t>
                  </w:r>
                  <w:r>
                    <w:rPr>
                      <w:rFonts w:hint="eastAsia"/>
                      <w:i w:val="0"/>
                      <w:iCs w:val="0"/>
                      <w:color w:val="000000" w:themeColor="text1"/>
                      <w:highlight w:val="none"/>
                      <w:lang w:val="en-US" w:eastAsia="zh-CN"/>
                      <w14:textFill>
                        <w14:solidFill>
                          <w14:schemeClr w14:val="tx1"/>
                        </w14:solidFill>
                      </w14:textFill>
                    </w:rPr>
                    <w:t>稳定达到排放限值情况下可不采用脱硫工艺；</w:t>
                  </w:r>
                </w:p>
                <w:p w14:paraId="0970D85B">
                  <w:pPr>
                    <w:jc w:val="both"/>
                    <w:rPr>
                      <w:rFonts w:hint="eastAsia"/>
                      <w:i w:val="0"/>
                      <w:iCs w:val="0"/>
                      <w:color w:val="000000" w:themeColor="text1"/>
                      <w:highlight w:val="none"/>
                      <w14:textFill>
                        <w14:solidFill>
                          <w14:schemeClr w14:val="tx1"/>
                        </w14:solidFill>
                      </w14:textFill>
                    </w:rPr>
                  </w:pPr>
                  <w:r>
                    <w:rPr>
                      <w:rFonts w:hint="eastAsia"/>
                      <w:i w:val="0"/>
                      <w:iCs w:val="0"/>
                      <w:color w:val="000000" w:themeColor="text1"/>
                      <w:highlight w:val="none"/>
                      <w:lang w:val="en-US" w:eastAsia="zh-CN"/>
                      <w14:textFill>
                        <w14:solidFill>
                          <w14:schemeClr w14:val="tx1"/>
                        </w14:solidFill>
                      </w14:textFill>
                    </w:rPr>
                    <w:t>备注</w:t>
                  </w:r>
                  <w:r>
                    <w:rPr>
                      <w:rFonts w:hint="eastAsia"/>
                      <w:i w:val="0"/>
                      <w:iCs w:val="0"/>
                      <w:color w:val="000000" w:themeColor="text1"/>
                      <w:highlight w:val="none"/>
                      <w:vertAlign w:val="superscript"/>
                      <w:lang w:val="en-US" w:eastAsia="zh-CN"/>
                      <w14:textFill>
                        <w14:solidFill>
                          <w14:schemeClr w14:val="tx1"/>
                        </w14:solidFill>
                      </w14:textFill>
                    </w:rPr>
                    <w:t>【4】</w:t>
                  </w:r>
                  <w:r>
                    <w:rPr>
                      <w:rFonts w:hint="eastAsia"/>
                      <w:i w:val="0"/>
                      <w:iCs w:val="0"/>
                      <w:color w:val="000000" w:themeColor="text1"/>
                      <w:highlight w:val="none"/>
                      <w:lang w:val="en-US" w:eastAsia="zh-CN"/>
                      <w14:textFill>
                        <w14:solidFill>
                          <w14:schemeClr w14:val="tx1"/>
                        </w14:solidFill>
                      </w14:textFill>
                    </w:rPr>
                    <w:t>：新建燃气锅炉和需要采取特别保护措施的区域，执行该排放限值；</w:t>
                  </w:r>
                </w:p>
                <w:p w14:paraId="3E496FF6">
                  <w:pPr>
                    <w:jc w:val="both"/>
                    <w:rPr>
                      <w:rFonts w:hint="eastAsia"/>
                      <w:i w:val="0"/>
                      <w:iCs w:val="0"/>
                      <w:color w:val="000000" w:themeColor="text1"/>
                      <w:highlight w:val="none"/>
                      <w14:textFill>
                        <w14:solidFill>
                          <w14:schemeClr w14:val="tx1"/>
                        </w14:solidFill>
                      </w14:textFill>
                    </w:rPr>
                  </w:pPr>
                  <w:r>
                    <w:rPr>
                      <w:rFonts w:hint="eastAsia"/>
                      <w:i w:val="0"/>
                      <w:iCs w:val="0"/>
                      <w:color w:val="000000" w:themeColor="text1"/>
                      <w:highlight w:val="none"/>
                      <w:lang w:val="en-US" w:eastAsia="zh-CN"/>
                      <w14:textFill>
                        <w14:solidFill>
                          <w14:schemeClr w14:val="tx1"/>
                        </w14:solidFill>
                      </w14:textFill>
                    </w:rPr>
                    <w:t>备注</w:t>
                  </w:r>
                  <w:r>
                    <w:rPr>
                      <w:rFonts w:hint="eastAsia"/>
                      <w:i w:val="0"/>
                      <w:iCs w:val="0"/>
                      <w:color w:val="000000" w:themeColor="text1"/>
                      <w:highlight w:val="none"/>
                      <w:vertAlign w:val="superscript"/>
                      <w:lang w:val="en-US" w:eastAsia="zh-CN"/>
                      <w14:textFill>
                        <w14:solidFill>
                          <w14:schemeClr w14:val="tx1"/>
                        </w14:solidFill>
                      </w14:textFill>
                    </w:rPr>
                    <w:t>【5】</w:t>
                  </w:r>
                  <w:r>
                    <w:rPr>
                      <w:rFonts w:hint="eastAsia"/>
                      <w:i w:val="0"/>
                      <w:iCs w:val="0"/>
                      <w:color w:val="000000" w:themeColor="text1"/>
                      <w:highlight w:val="none"/>
                      <w:lang w:val="en-US" w:eastAsia="zh-CN"/>
                      <w14:textFill>
                        <w14:solidFill>
                          <w14:schemeClr w14:val="tx1"/>
                        </w14:solidFill>
                      </w14:textFill>
                    </w:rPr>
                    <w:t>：确定生物质发电锅炉基准含氧量按6%计；</w:t>
                  </w:r>
                </w:p>
                <w:p w14:paraId="5B937C45">
                  <w:pPr>
                    <w:jc w:val="both"/>
                    <w:rPr>
                      <w:rFonts w:hint="eastAsia"/>
                      <w:i w:val="0"/>
                      <w:iCs w:val="0"/>
                      <w:color w:val="000000" w:themeColor="text1"/>
                      <w:highlight w:val="none"/>
                      <w14:textFill>
                        <w14:solidFill>
                          <w14:schemeClr w14:val="tx1"/>
                        </w14:solidFill>
                      </w14:textFill>
                    </w:rPr>
                  </w:pPr>
                  <w:r>
                    <w:rPr>
                      <w:rFonts w:hint="eastAsia"/>
                      <w:i w:val="0"/>
                      <w:iCs w:val="0"/>
                      <w:color w:val="000000" w:themeColor="text1"/>
                      <w:highlight w:val="none"/>
                      <w:lang w:val="en-US" w:eastAsia="zh-CN"/>
                      <w14:textFill>
                        <w14:solidFill>
                          <w14:schemeClr w14:val="tx1"/>
                        </w14:solidFill>
                      </w14:textFill>
                    </w:rPr>
                    <w:t>备注</w:t>
                  </w:r>
                  <w:r>
                    <w:rPr>
                      <w:rFonts w:hint="eastAsia"/>
                      <w:i w:val="0"/>
                      <w:iCs w:val="0"/>
                      <w:color w:val="000000" w:themeColor="text1"/>
                      <w:highlight w:val="none"/>
                      <w:vertAlign w:val="superscript"/>
                      <w:lang w:val="en-US" w:eastAsia="zh-CN"/>
                      <w14:textFill>
                        <w14:solidFill>
                          <w14:schemeClr w14:val="tx1"/>
                        </w14:solidFill>
                      </w14:textFill>
                    </w:rPr>
                    <w:t>【6】</w:t>
                  </w:r>
                  <w:r>
                    <w:rPr>
                      <w:rFonts w:hint="eastAsia"/>
                      <w:i w:val="0"/>
                      <w:iCs w:val="0"/>
                      <w:color w:val="000000" w:themeColor="text1"/>
                      <w:highlight w:val="none"/>
                      <w:lang w:val="en-US" w:eastAsia="zh-CN"/>
                      <w14:textFill>
                        <w14:solidFill>
                          <w14:schemeClr w14:val="tx1"/>
                        </w14:solidFill>
                      </w14:textFill>
                    </w:rPr>
                    <w:t>：主要排放口按照《排污许可证申请与核发技术规范XX工业》确定。</w:t>
                  </w:r>
                </w:p>
              </w:tc>
            </w:tr>
          </w:tbl>
          <w:p w14:paraId="7BEC3500">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.4</w:t>
            </w:r>
            <w:r>
              <w:rPr>
                <w:b/>
                <w:color w:val="000000" w:themeColor="text1"/>
                <w:sz w:val="24"/>
                <w14:textFill>
                  <w14:solidFill>
                    <w14:schemeClr w14:val="tx1"/>
                  </w14:solidFill>
                </w14:textFill>
              </w:rPr>
              <w:t>、项目与《</w:t>
            </w:r>
            <w:r>
              <w:rPr>
                <w:rFonts w:hint="eastAsia"/>
                <w:b/>
                <w:color w:val="000000" w:themeColor="text1"/>
                <w:sz w:val="24"/>
                <w14:textFill>
                  <w14:solidFill>
                    <w14:schemeClr w14:val="tx1"/>
                  </w14:solidFill>
                </w14:textFill>
              </w:rPr>
              <w:t>南阳市</w:t>
            </w:r>
            <w:r>
              <w:rPr>
                <w:b/>
                <w:color w:val="000000" w:themeColor="text1"/>
                <w:sz w:val="24"/>
                <w14:textFill>
                  <w14:solidFill>
                    <w14:schemeClr w14:val="tx1"/>
                  </w14:solidFill>
                </w14:textFill>
              </w:rPr>
              <w:t>人民政府关于印发</w:t>
            </w:r>
            <w:r>
              <w:rPr>
                <w:rFonts w:hint="eastAsia"/>
                <w:b/>
                <w:color w:val="000000" w:themeColor="text1"/>
                <w:sz w:val="24"/>
                <w14:textFill>
                  <w14:solidFill>
                    <w14:schemeClr w14:val="tx1"/>
                  </w14:solidFill>
                </w14:textFill>
              </w:rPr>
              <w:t>南阳市</w:t>
            </w:r>
            <w:r>
              <w:rPr>
                <w:b/>
                <w:color w:val="000000" w:themeColor="text1"/>
                <w:sz w:val="24"/>
                <w14:textFill>
                  <w14:solidFill>
                    <w14:schemeClr w14:val="tx1"/>
                  </w14:solidFill>
                </w14:textFill>
              </w:rPr>
              <w:t>空气质量持续改善行动计划》（</w:t>
            </w:r>
            <w:r>
              <w:rPr>
                <w:rFonts w:hint="eastAsia"/>
                <w:b/>
                <w:color w:val="000000" w:themeColor="text1"/>
                <w:sz w:val="24"/>
                <w14:textFill>
                  <w14:solidFill>
                    <w14:schemeClr w14:val="tx1"/>
                  </w14:solidFill>
                </w14:textFill>
              </w:rPr>
              <w:t>宛</w:t>
            </w:r>
            <w:r>
              <w:rPr>
                <w:b/>
                <w:color w:val="000000" w:themeColor="text1"/>
                <w:sz w:val="24"/>
                <w14:textFill>
                  <w14:solidFill>
                    <w14:schemeClr w14:val="tx1"/>
                  </w14:solidFill>
                </w14:textFill>
              </w:rPr>
              <w:t>政〔2024〕</w:t>
            </w: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号）的相符性分析</w:t>
            </w:r>
          </w:p>
          <w:p w14:paraId="2523A049">
            <w:pPr>
              <w:widowControl/>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lang w:val="en-US" w:eastAsia="zh-CN"/>
                <w14:textFill>
                  <w14:solidFill>
                    <w14:schemeClr w14:val="tx1"/>
                  </w14:solidFill>
                </w14:textFill>
              </w:rPr>
              <w:t>6</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 xml:space="preserve"> 项目与</w:t>
            </w:r>
            <w:r>
              <w:rPr>
                <w:rFonts w:hint="eastAsia"/>
                <w:b/>
                <w:color w:val="000000" w:themeColor="text1"/>
                <w:sz w:val="24"/>
                <w14:textFill>
                  <w14:solidFill>
                    <w14:schemeClr w14:val="tx1"/>
                  </w14:solidFill>
                </w14:textFill>
              </w:rPr>
              <w:t>宛</w:t>
            </w:r>
            <w:r>
              <w:rPr>
                <w:b/>
                <w:color w:val="000000" w:themeColor="text1"/>
                <w:sz w:val="24"/>
                <w14:textFill>
                  <w14:solidFill>
                    <w14:schemeClr w14:val="tx1"/>
                  </w14:solidFill>
                </w14:textFill>
              </w:rPr>
              <w:t>政〔2024〕</w:t>
            </w: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号相符性分析比对表</w:t>
            </w:r>
          </w:p>
          <w:tbl>
            <w:tblPr>
              <w:tblStyle w:val="20"/>
              <w:tblW w:w="498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848"/>
              <w:gridCol w:w="3778"/>
              <w:gridCol w:w="2883"/>
              <w:gridCol w:w="758"/>
            </w:tblGrid>
            <w:tr w14:paraId="5F8414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797" w:type="pct"/>
                  <w:gridSpan w:val="2"/>
                  <w:tcBorders>
                    <w:top w:val="single" w:color="auto" w:sz="6" w:space="0"/>
                    <w:left w:val="single" w:color="auto" w:sz="6" w:space="0"/>
                    <w:bottom w:val="single" w:color="auto" w:sz="4" w:space="0"/>
                    <w:right w:val="single" w:color="auto" w:sz="4" w:space="0"/>
                  </w:tcBorders>
                  <w:vAlign w:val="center"/>
                </w:tcPr>
                <w:p w14:paraId="2AB8B1B2">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要求</w:t>
                  </w:r>
                </w:p>
              </w:tc>
              <w:tc>
                <w:tcPr>
                  <w:tcW w:w="1743" w:type="pct"/>
                  <w:tcBorders>
                    <w:top w:val="single" w:color="auto" w:sz="6" w:space="0"/>
                    <w:left w:val="single" w:color="auto" w:sz="4" w:space="0"/>
                    <w:bottom w:val="single" w:color="auto" w:sz="4" w:space="0"/>
                    <w:right w:val="single" w:color="auto" w:sz="4" w:space="0"/>
                  </w:tcBorders>
                  <w:vAlign w:val="center"/>
                </w:tcPr>
                <w:p w14:paraId="71DD6CC8">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本项目情况</w:t>
                  </w:r>
                </w:p>
              </w:tc>
              <w:tc>
                <w:tcPr>
                  <w:tcW w:w="458" w:type="pct"/>
                  <w:tcBorders>
                    <w:top w:val="single" w:color="auto" w:sz="6" w:space="0"/>
                    <w:left w:val="single" w:color="auto" w:sz="4" w:space="0"/>
                    <w:bottom w:val="single" w:color="auto" w:sz="4" w:space="0"/>
                    <w:right w:val="single" w:color="auto" w:sz="6" w:space="0"/>
                  </w:tcBorders>
                  <w:vAlign w:val="center"/>
                </w:tcPr>
                <w:p w14:paraId="76ABE394">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相符性</w:t>
                  </w:r>
                </w:p>
              </w:tc>
            </w:tr>
            <w:tr w14:paraId="127C6A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tcBorders>
                    <w:top w:val="single" w:color="auto" w:sz="4" w:space="0"/>
                    <w:left w:val="single" w:color="auto" w:sz="6" w:space="0"/>
                    <w:right w:val="single" w:color="auto" w:sz="4" w:space="0"/>
                  </w:tcBorders>
                  <w:vAlign w:val="center"/>
                </w:tcPr>
                <w:p w14:paraId="6DE522AE">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二、优化产业结构，促进产业绿色发展</w:t>
                  </w:r>
                </w:p>
              </w:tc>
              <w:tc>
                <w:tcPr>
                  <w:tcW w:w="2284" w:type="pct"/>
                  <w:tcBorders>
                    <w:top w:val="single" w:color="auto" w:sz="4" w:space="0"/>
                    <w:left w:val="single" w:color="auto" w:sz="4" w:space="0"/>
                    <w:bottom w:val="single" w:color="auto" w:sz="4" w:space="0"/>
                    <w:right w:val="single" w:color="auto" w:sz="4" w:space="0"/>
                  </w:tcBorders>
                  <w:vAlign w:val="center"/>
                </w:tcPr>
                <w:p w14:paraId="392EFDE0">
                  <w:pPr>
                    <w:widowControl/>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（一）严把</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项目准入关口。严格落实国家</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省</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相关要求，严禁新增钢铁产能。严格执行有关行业产能置换政策，被置换产能及其配套设施关停后，新建项目方可投产。国家、省绩效分级重点行业以及涉及锅炉炉窑的其他行业，新（改、扩）建项目原则上达到环境绩效A级或国内清洁生产先进水平。</w:t>
                  </w:r>
                </w:p>
              </w:tc>
              <w:tc>
                <w:tcPr>
                  <w:tcW w:w="1743" w:type="pct"/>
                  <w:tcBorders>
                    <w:top w:val="single" w:color="auto" w:sz="4" w:space="0"/>
                    <w:left w:val="single" w:color="auto" w:sz="4" w:space="0"/>
                    <w:bottom w:val="single" w:color="auto" w:sz="4" w:space="0"/>
                    <w:right w:val="single" w:color="auto" w:sz="4" w:space="0"/>
                  </w:tcBorders>
                  <w:vAlign w:val="center"/>
                </w:tcPr>
                <w:p w14:paraId="469B13A0">
                  <w:pPr>
                    <w:pStyle w:val="8"/>
                    <w:rPr>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本项目属于</w:t>
                  </w:r>
                  <w:r>
                    <w:rPr>
                      <w:rFonts w:hint="default"/>
                      <w:bCs/>
                      <w:color w:val="000000" w:themeColor="text1"/>
                      <w:kern w:val="0"/>
                      <w:szCs w:val="21"/>
                      <w:lang w:val="en-US" w:eastAsia="zh-CN"/>
                      <w14:textFill>
                        <w14:solidFill>
                          <w14:schemeClr w14:val="tx1"/>
                        </w14:solidFill>
                      </w14:textFill>
                    </w:rPr>
                    <w:t>食品制造业</w:t>
                  </w:r>
                  <w:r>
                    <w:rPr>
                      <w:bCs/>
                      <w:color w:val="000000" w:themeColor="text1"/>
                      <w:kern w:val="0"/>
                      <w:szCs w:val="21"/>
                      <w14:textFill>
                        <w14:solidFill>
                          <w14:schemeClr w14:val="tx1"/>
                        </w14:solidFill>
                      </w14:textFill>
                    </w:rPr>
                    <w:t>，项目不属于</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bCs/>
                      <w:color w:val="000000" w:themeColor="text1"/>
                      <w:kern w:val="0"/>
                      <w:szCs w:val="21"/>
                      <w14:textFill>
                        <w14:solidFill>
                          <w14:schemeClr w14:val="tx1"/>
                        </w14:solidFill>
                      </w14:textFill>
                    </w:rPr>
                    <w:t>项目；项目不属于新增钢铁产能，符合区域</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三线一单</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管控要求；经比对《河南省重污染天气通用行业应急减排措施制定技术指南》（202</w:t>
                  </w:r>
                  <w:r>
                    <w:rPr>
                      <w:rFonts w:hint="eastAsia"/>
                      <w:bCs/>
                      <w:color w:val="000000" w:themeColor="text1"/>
                      <w:kern w:val="0"/>
                      <w:szCs w:val="21"/>
                      <w:lang w:val="en-US" w:eastAsia="zh-CN"/>
                      <w14:textFill>
                        <w14:solidFill>
                          <w14:schemeClr w14:val="tx1"/>
                        </w14:solidFill>
                      </w14:textFill>
                    </w:rPr>
                    <w:t>4</w:t>
                  </w:r>
                  <w:r>
                    <w:rPr>
                      <w:bCs/>
                      <w:color w:val="000000" w:themeColor="text1"/>
                      <w:kern w:val="0"/>
                      <w:szCs w:val="21"/>
                      <w14:textFill>
                        <w14:solidFill>
                          <w14:schemeClr w14:val="tx1"/>
                        </w14:solidFill>
                      </w14:textFill>
                    </w:rPr>
                    <w:t>年修订版）中通用行业，项目营运期按本环评提出的污染防治措施落实到位后，可达到</w:t>
                  </w:r>
                  <w:r>
                    <w:rPr>
                      <w:rFonts w:hint="eastAsia"/>
                      <w:color w:val="000000" w:themeColor="text1"/>
                      <w:szCs w:val="21"/>
                      <w14:textFill>
                        <w14:solidFill>
                          <w14:schemeClr w14:val="tx1"/>
                        </w14:solidFill>
                      </w14:textFill>
                    </w:rPr>
                    <w:t>通用行业基本要求</w:t>
                  </w:r>
                  <w:r>
                    <w:rPr>
                      <w:bCs/>
                      <w:color w:val="000000" w:themeColor="text1"/>
                      <w:kern w:val="0"/>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6B585567">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r w14:paraId="0D336F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vMerge w:val="restart"/>
                  <w:tcBorders>
                    <w:top w:val="single" w:color="auto" w:sz="4" w:space="0"/>
                    <w:left w:val="single" w:color="auto" w:sz="6" w:space="0"/>
                    <w:right w:val="single" w:color="auto" w:sz="4" w:space="0"/>
                  </w:tcBorders>
                  <w:vAlign w:val="center"/>
                </w:tcPr>
                <w:p w14:paraId="769A3A62">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三、优化能源结构，加快能源绿色低碳发展</w:t>
                  </w:r>
                </w:p>
              </w:tc>
              <w:tc>
                <w:tcPr>
                  <w:tcW w:w="2284" w:type="pct"/>
                  <w:tcBorders>
                    <w:top w:val="single" w:color="auto" w:sz="4" w:space="0"/>
                    <w:left w:val="single" w:color="auto" w:sz="4" w:space="0"/>
                    <w:bottom w:val="single" w:color="auto" w:sz="4" w:space="0"/>
                    <w:right w:val="single" w:color="auto" w:sz="4" w:space="0"/>
                  </w:tcBorders>
                  <w:vAlign w:val="center"/>
                </w:tcPr>
                <w:p w14:paraId="28A36449">
                  <w:pPr>
                    <w:widowControl/>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（一）大力发展清洁能源。</w:t>
                  </w:r>
                  <w:r>
                    <w:rPr>
                      <w:color w:val="000000" w:themeColor="text1"/>
                      <w:szCs w:val="21"/>
                      <w:shd w:val="clear" w:color="auto" w:fill="FFFFFF"/>
                      <w14:textFill>
                        <w14:solidFill>
                          <w14:schemeClr w14:val="tx1"/>
                        </w14:solidFill>
                      </w14:textFill>
                    </w:rPr>
                    <w:t>加快非化石能源发展,以光伏发电、风电为重点,以生物质、抽水蓄能、地热能、氢能等为补充,因地制宜推动可再生能源多元化、协同化发展。到2025年,风电装机容量达到260万千瓦以上，光伏发电装机容量达到430万千瓦以上,可再生能源发电装机容量力争达到850万千瓦以上</w:t>
                  </w:r>
                </w:p>
              </w:tc>
              <w:tc>
                <w:tcPr>
                  <w:tcW w:w="1743" w:type="pct"/>
                  <w:tcBorders>
                    <w:top w:val="single" w:color="auto" w:sz="4" w:space="0"/>
                    <w:left w:val="single" w:color="auto" w:sz="4" w:space="0"/>
                    <w:bottom w:val="single" w:color="auto" w:sz="4" w:space="0"/>
                    <w:right w:val="single" w:color="auto" w:sz="4" w:space="0"/>
                  </w:tcBorders>
                  <w:vAlign w:val="center"/>
                </w:tcPr>
                <w:p w14:paraId="7CA125F9">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本项目使用电能</w:t>
                  </w:r>
                  <w:r>
                    <w:rPr>
                      <w:rFonts w:hint="eastAsia"/>
                      <w:color w:val="000000" w:themeColor="text1"/>
                      <w:szCs w:val="21"/>
                      <w14:textFill>
                        <w14:solidFill>
                          <w14:schemeClr w14:val="tx1"/>
                        </w14:solidFill>
                      </w14:textFill>
                    </w:rPr>
                    <w:t>以及天然气</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均</w:t>
                  </w:r>
                  <w:r>
                    <w:rPr>
                      <w:color w:val="000000" w:themeColor="text1"/>
                      <w:szCs w:val="21"/>
                      <w14:textFill>
                        <w14:solidFill>
                          <w14:schemeClr w14:val="tx1"/>
                        </w14:solidFill>
                      </w14:textFill>
                    </w:rPr>
                    <w:t>为清洁能源。</w:t>
                  </w:r>
                </w:p>
              </w:tc>
              <w:tc>
                <w:tcPr>
                  <w:tcW w:w="458" w:type="pct"/>
                  <w:tcBorders>
                    <w:top w:val="single" w:color="auto" w:sz="4" w:space="0"/>
                    <w:left w:val="single" w:color="auto" w:sz="4" w:space="0"/>
                    <w:bottom w:val="single" w:color="auto" w:sz="4" w:space="0"/>
                    <w:right w:val="single" w:color="auto" w:sz="6" w:space="0"/>
                  </w:tcBorders>
                  <w:vAlign w:val="center"/>
                </w:tcPr>
                <w:p w14:paraId="1AF05CE5">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r w14:paraId="4A6E9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vMerge w:val="continue"/>
                  <w:tcBorders>
                    <w:left w:val="single" w:color="auto" w:sz="6" w:space="0"/>
                    <w:bottom w:val="single" w:color="auto" w:sz="4" w:space="0"/>
                    <w:right w:val="single" w:color="auto" w:sz="4" w:space="0"/>
                  </w:tcBorders>
                  <w:vAlign w:val="center"/>
                </w:tcPr>
                <w:p w14:paraId="233B8747">
                  <w:pPr>
                    <w:snapToGrid w:val="0"/>
                    <w:jc w:val="center"/>
                    <w:rPr>
                      <w:color w:val="000000" w:themeColor="text1"/>
                      <w:szCs w:val="21"/>
                      <w14:textFill>
                        <w14:solidFill>
                          <w14:schemeClr w14:val="tx1"/>
                        </w14:solidFill>
                      </w14:textFill>
                    </w:rPr>
                  </w:pPr>
                </w:p>
              </w:tc>
              <w:tc>
                <w:tcPr>
                  <w:tcW w:w="2284" w:type="pct"/>
                  <w:tcBorders>
                    <w:top w:val="single" w:color="auto" w:sz="4" w:space="0"/>
                    <w:left w:val="single" w:color="auto" w:sz="4" w:space="0"/>
                    <w:bottom w:val="single" w:color="auto" w:sz="4" w:space="0"/>
                    <w:right w:val="single" w:color="auto" w:sz="4" w:space="0"/>
                  </w:tcBorders>
                  <w:vAlign w:val="center"/>
                </w:tcPr>
                <w:p w14:paraId="57B4A2DB">
                  <w:pPr>
                    <w:snapToGrid w:val="0"/>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（四）实施工业炉窑清洁能源替代。</w:t>
                  </w:r>
                  <w:r>
                    <w:rPr>
                      <w:color w:val="000000" w:themeColor="text1"/>
                      <w:szCs w:val="21"/>
                      <w:shd w:val="clear" w:color="auto" w:fill="FFFFFF"/>
                      <w14:textFill>
                        <w14:solidFill>
                          <w14:schemeClr w14:val="tx1"/>
                        </w14:solidFill>
                      </w14:textFill>
                    </w:rPr>
                    <w:t>全市不再新增燃料类煤气发生炉</w:t>
                  </w:r>
                  <w:r>
                    <w:rPr>
                      <w:rFonts w:hint="eastAsia"/>
                      <w:color w:val="000000" w:themeColor="text1"/>
                      <w:szCs w:val="21"/>
                      <w:shd w:val="clear" w:color="auto" w:fill="FFFFFF"/>
                      <w14:textFill>
                        <w14:solidFill>
                          <w14:schemeClr w14:val="tx1"/>
                        </w14:solidFill>
                      </w14:textFill>
                    </w:rPr>
                    <w:t>，</w:t>
                  </w:r>
                  <w:r>
                    <w:rPr>
                      <w:color w:val="000000" w:themeColor="text1"/>
                      <w:szCs w:val="21"/>
                      <w:shd w:val="clear" w:color="auto" w:fill="FFFFFF"/>
                      <w14:textFill>
                        <w14:solidFill>
                          <w14:schemeClr w14:val="tx1"/>
                        </w14:solidFill>
                      </w14:textFill>
                    </w:rPr>
                    <w:t>新(改、扩)建加热炉、热处理炉、干燥炉、熔化炉原则上采用清洁低碳能源。2025年年底前</w:t>
                  </w:r>
                  <w:r>
                    <w:rPr>
                      <w:rFonts w:hint="eastAsia"/>
                      <w:color w:val="000000" w:themeColor="text1"/>
                      <w:szCs w:val="21"/>
                      <w:shd w:val="clear" w:color="auto" w:fill="FFFFFF"/>
                      <w14:textFill>
                        <w14:solidFill>
                          <w14:schemeClr w14:val="tx1"/>
                        </w14:solidFill>
                      </w14:textFill>
                    </w:rPr>
                    <w:t>，</w:t>
                  </w:r>
                  <w:r>
                    <w:rPr>
                      <w:color w:val="000000" w:themeColor="text1"/>
                      <w:szCs w:val="21"/>
                      <w:shd w:val="clear" w:color="auto" w:fill="FFFFFF"/>
                      <w14:textFill>
                        <w14:solidFill>
                          <w14:schemeClr w14:val="tx1"/>
                        </w14:solidFill>
                      </w14:textFill>
                    </w:rPr>
                    <w:t>使用高污染燃料的加热炉、热处理炉、干燥炉、熔化炉改用清洁低碳能源</w:t>
                  </w:r>
                  <w:r>
                    <w:rPr>
                      <w:rFonts w:hint="eastAsia"/>
                      <w:color w:val="000000" w:themeColor="text1"/>
                      <w:szCs w:val="21"/>
                      <w:shd w:val="clear" w:color="auto" w:fill="FFFFFF"/>
                      <w14:textFill>
                        <w14:solidFill>
                          <w14:schemeClr w14:val="tx1"/>
                        </w14:solidFill>
                      </w14:textFill>
                    </w:rPr>
                    <w:t>，</w:t>
                  </w:r>
                  <w:r>
                    <w:rPr>
                      <w:color w:val="000000" w:themeColor="text1"/>
                      <w:szCs w:val="21"/>
                      <w:shd w:val="clear" w:color="auto" w:fill="FFFFFF"/>
                      <w14:textFill>
                        <w14:solidFill>
                          <w14:schemeClr w14:val="tx1"/>
                        </w14:solidFill>
                      </w14:textFill>
                    </w:rPr>
                    <w:t>淘汰不能稳定达标的燃煤锅炉和以煤、石油焦、渣油、重油等为燃料的工业炉窑。</w:t>
                  </w:r>
                </w:p>
              </w:tc>
              <w:tc>
                <w:tcPr>
                  <w:tcW w:w="1743" w:type="pct"/>
                  <w:tcBorders>
                    <w:top w:val="single" w:color="auto" w:sz="4" w:space="0"/>
                    <w:left w:val="single" w:color="auto" w:sz="4" w:space="0"/>
                    <w:bottom w:val="single" w:color="auto" w:sz="4" w:space="0"/>
                    <w:right w:val="single" w:color="auto" w:sz="4" w:space="0"/>
                  </w:tcBorders>
                  <w:vAlign w:val="center"/>
                </w:tcPr>
                <w:p w14:paraId="36144C5E">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本项目不涉及工业炉窑</w:t>
                  </w:r>
                  <w:r>
                    <w:rPr>
                      <w:rFonts w:hint="eastAsia"/>
                      <w:color w:val="000000" w:themeColor="text1"/>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3AAD6E08">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r w14:paraId="242BB2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tcBorders>
                    <w:top w:val="single" w:color="auto" w:sz="4" w:space="0"/>
                    <w:left w:val="single" w:color="auto" w:sz="6" w:space="0"/>
                    <w:bottom w:val="single" w:color="auto" w:sz="4" w:space="0"/>
                    <w:right w:val="single" w:color="auto" w:sz="4" w:space="0"/>
                  </w:tcBorders>
                  <w:vAlign w:val="center"/>
                </w:tcPr>
                <w:p w14:paraId="394948A8">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五、强化面源污染治理，提升精细化管理水平</w:t>
                  </w:r>
                </w:p>
              </w:tc>
              <w:tc>
                <w:tcPr>
                  <w:tcW w:w="2284" w:type="pct"/>
                  <w:tcBorders>
                    <w:top w:val="single" w:color="auto" w:sz="4" w:space="0"/>
                    <w:left w:val="single" w:color="auto" w:sz="4" w:space="0"/>
                    <w:bottom w:val="single" w:color="auto" w:sz="4" w:space="0"/>
                    <w:right w:val="single" w:color="auto" w:sz="4" w:space="0"/>
                  </w:tcBorders>
                  <w:vAlign w:val="center"/>
                </w:tcPr>
                <w:p w14:paraId="5B15030D">
                  <w:pPr>
                    <w:snapToGrid w:val="0"/>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（一）深化扬尘污染综合治理。严格落实扬尘治理</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两个标准</w:t>
                  </w:r>
                  <w:r>
                    <w:rPr>
                      <w:rFonts w:hint="eastAsia"/>
                      <w:bCs/>
                      <w:color w:val="000000" w:themeColor="text1"/>
                      <w:kern w:val="0"/>
                      <w:szCs w:val="21"/>
                      <w:lang w:eastAsia="zh-CN"/>
                      <w14:textFill>
                        <w14:solidFill>
                          <w14:schemeClr w14:val="tx1"/>
                        </w14:solidFill>
                      </w14:textFill>
                    </w:rPr>
                    <w:t>”</w:t>
                  </w:r>
                  <w:r>
                    <w:rPr>
                      <w:color w:val="000000" w:themeColor="text1"/>
                      <w:szCs w:val="21"/>
                      <w14:textFill>
                        <w14:solidFill>
                          <w14:schemeClr w14:val="tx1"/>
                        </w14:solidFill>
                      </w14:textFill>
                    </w:rPr>
                    <w:t>要求，加强施工围挡、车辆冲洗、湿法作业、密闭运输、地面硬化、物料覆盖等精细化管理，鼓励建筑项目积极采用装配式建造等绿色施工技术。市政道路、水务等长距离线性工程实行分段施工，逐步推动5000平方米以上建筑工地安装在线监测和视频监控设施并接入当地监管平台。将防治扬尘污染费用纳入工程造价。持续开展城市清洁行动，强化道路扬尘综合整治，对长期未开发的建设裸地进行排查整治。</w:t>
                  </w:r>
                </w:p>
              </w:tc>
              <w:tc>
                <w:tcPr>
                  <w:tcW w:w="1743" w:type="pct"/>
                  <w:tcBorders>
                    <w:top w:val="single" w:color="auto" w:sz="4" w:space="0"/>
                    <w:left w:val="single" w:color="auto" w:sz="4" w:space="0"/>
                    <w:bottom w:val="single" w:color="auto" w:sz="4" w:space="0"/>
                    <w:right w:val="single" w:color="auto" w:sz="4" w:space="0"/>
                  </w:tcBorders>
                  <w:vAlign w:val="center"/>
                </w:tcPr>
                <w:p w14:paraId="512EA520">
                  <w:pPr>
                    <w:snapToGrid w:val="0"/>
                    <w:rPr>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本项目施工期</w:t>
                  </w:r>
                  <w:r>
                    <w:rPr>
                      <w:bCs/>
                      <w:color w:val="000000" w:themeColor="text1"/>
                      <w:kern w:val="0"/>
                      <w:szCs w:val="21"/>
                      <w14:textFill>
                        <w14:solidFill>
                          <w14:schemeClr w14:val="tx1"/>
                        </w14:solidFill>
                      </w14:textFill>
                    </w:rPr>
                    <w:t>严格落实扬尘污染防治</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两个标准</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要求，</w:t>
                  </w:r>
                  <w:r>
                    <w:rPr>
                      <w:color w:val="000000" w:themeColor="text1"/>
                      <w:szCs w:val="21"/>
                      <w14:textFill>
                        <w14:solidFill>
                          <w14:schemeClr w14:val="tx1"/>
                        </w14:solidFill>
                      </w14:textFill>
                    </w:rPr>
                    <w:t>加强车辆冲洗、湿法作业、密闭运输、</w:t>
                  </w:r>
                  <w:r>
                    <w:rPr>
                      <w:rFonts w:hint="eastAsia"/>
                      <w:color w:val="000000" w:themeColor="text1"/>
                      <w:szCs w:val="21"/>
                      <w14:textFill>
                        <w14:solidFill>
                          <w14:schemeClr w14:val="tx1"/>
                        </w14:solidFill>
                      </w14:textFill>
                    </w:rPr>
                    <w:t>路面</w:t>
                  </w:r>
                  <w:r>
                    <w:rPr>
                      <w:color w:val="000000" w:themeColor="text1"/>
                      <w:szCs w:val="21"/>
                      <w14:textFill>
                        <w14:solidFill>
                          <w14:schemeClr w14:val="tx1"/>
                        </w14:solidFill>
                      </w14:textFill>
                    </w:rPr>
                    <w:t>硬化、物料覆盖等精细化管理</w:t>
                  </w:r>
                  <w:r>
                    <w:rPr>
                      <w:bCs/>
                      <w:color w:val="000000" w:themeColor="text1"/>
                      <w:kern w:val="0"/>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137135B0">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bl>
          <w:p w14:paraId="669FECC4">
            <w:pPr>
              <w:pStyle w:val="31"/>
              <w:snapToGrid w:val="0"/>
              <w:ind w:firstLine="480" w:firstLineChars="20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由上表分析可知，项目建设符合《</w:t>
            </w:r>
            <w:r>
              <w:rPr>
                <w:rFonts w:hint="eastAsia" w:ascii="Times New Roman"/>
                <w:color w:val="000000" w:themeColor="text1"/>
                <w:szCs w:val="24"/>
                <w14:textFill>
                  <w14:solidFill>
                    <w14:schemeClr w14:val="tx1"/>
                  </w14:solidFill>
                </w14:textFill>
              </w:rPr>
              <w:t>南阳市</w:t>
            </w:r>
            <w:r>
              <w:rPr>
                <w:rFonts w:ascii="Times New Roman"/>
                <w:color w:val="000000" w:themeColor="text1"/>
                <w:szCs w:val="24"/>
                <w14:textFill>
                  <w14:solidFill>
                    <w14:schemeClr w14:val="tx1"/>
                  </w14:solidFill>
                </w14:textFill>
              </w:rPr>
              <w:t>人民政府关于印发河南省空气质量持续改善行动计划》（</w:t>
            </w:r>
            <w:r>
              <w:rPr>
                <w:rFonts w:hint="eastAsia" w:ascii="Times New Roman"/>
                <w:color w:val="000000" w:themeColor="text1"/>
                <w:szCs w:val="24"/>
                <w14:textFill>
                  <w14:solidFill>
                    <w14:schemeClr w14:val="tx1"/>
                  </w14:solidFill>
                </w14:textFill>
              </w:rPr>
              <w:t>宛</w:t>
            </w:r>
            <w:r>
              <w:rPr>
                <w:rFonts w:ascii="Times New Roman"/>
                <w:color w:val="000000" w:themeColor="text1"/>
                <w:szCs w:val="24"/>
                <w14:textFill>
                  <w14:solidFill>
                    <w14:schemeClr w14:val="tx1"/>
                  </w14:solidFill>
                </w14:textFill>
              </w:rPr>
              <w:t>政〔2024〕</w:t>
            </w:r>
            <w:r>
              <w:rPr>
                <w:rFonts w:hint="eastAsia" w:ascii="Times New Roman"/>
                <w:color w:val="000000" w:themeColor="text1"/>
                <w:szCs w:val="24"/>
                <w14:textFill>
                  <w14:solidFill>
                    <w14:schemeClr w14:val="tx1"/>
                  </w14:solidFill>
                </w14:textFill>
              </w:rPr>
              <w:t>6</w:t>
            </w:r>
            <w:r>
              <w:rPr>
                <w:rFonts w:ascii="Times New Roman"/>
                <w:color w:val="000000" w:themeColor="text1"/>
                <w:szCs w:val="24"/>
                <w14:textFill>
                  <w14:solidFill>
                    <w14:schemeClr w14:val="tx1"/>
                  </w14:solidFill>
                </w14:textFill>
              </w:rPr>
              <w:t>号）中相关要求。</w:t>
            </w:r>
          </w:p>
          <w:p w14:paraId="46D07DA8">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5</w:t>
            </w:r>
            <w:r>
              <w:rPr>
                <w:b/>
                <w:color w:val="000000" w:themeColor="text1"/>
                <w:sz w:val="24"/>
                <w14:textFill>
                  <w14:solidFill>
                    <w14:schemeClr w14:val="tx1"/>
                  </w14:solidFill>
                </w14:textFill>
              </w:rPr>
              <w:t>、项目与《南阳市人民政府办公室关于印发南阳市环境空气质量限期达标行动实施方案（2024—2025年）的通知》（</w:t>
            </w:r>
            <w:r>
              <w:rPr>
                <w:rFonts w:hint="eastAsia"/>
                <w:b/>
                <w:color w:val="000000" w:themeColor="text1"/>
                <w:sz w:val="24"/>
                <w14:textFill>
                  <w14:solidFill>
                    <w14:schemeClr w14:val="tx1"/>
                  </w14:solidFill>
                </w14:textFill>
              </w:rPr>
              <w:t>宛政办〔2024〕3号</w:t>
            </w:r>
            <w:r>
              <w:rPr>
                <w:b/>
                <w:color w:val="000000" w:themeColor="text1"/>
                <w:sz w:val="24"/>
                <w14:textFill>
                  <w14:solidFill>
                    <w14:schemeClr w14:val="tx1"/>
                  </w14:solidFill>
                </w14:textFill>
              </w:rPr>
              <w:t>）的相符性分析</w:t>
            </w:r>
          </w:p>
          <w:p w14:paraId="65C3B162">
            <w:pPr>
              <w:widowControl/>
              <w:adjustRightInd w:val="0"/>
              <w:snapToGrid w:val="0"/>
              <w:spacing w:line="360" w:lineRule="auto"/>
              <w:ind w:firstLine="482" w:firstLineChars="20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lang w:val="en-US" w:eastAsia="zh-CN"/>
                <w14:textFill>
                  <w14:solidFill>
                    <w14:schemeClr w14:val="tx1"/>
                  </w14:solidFill>
                </w14:textFill>
              </w:rPr>
              <w:t>7</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 xml:space="preserve"> 项目与</w:t>
            </w:r>
            <w:r>
              <w:rPr>
                <w:rFonts w:hint="eastAsia"/>
                <w:b/>
                <w:color w:val="000000" w:themeColor="text1"/>
                <w:sz w:val="24"/>
                <w14:textFill>
                  <w14:solidFill>
                    <w14:schemeClr w14:val="tx1"/>
                  </w14:solidFill>
                </w14:textFill>
              </w:rPr>
              <w:t>宛政办〔2024〕3号文的</w:t>
            </w:r>
            <w:r>
              <w:rPr>
                <w:b/>
                <w:color w:val="000000" w:themeColor="text1"/>
                <w:sz w:val="24"/>
                <w14:textFill>
                  <w14:solidFill>
                    <w14:schemeClr w14:val="tx1"/>
                  </w14:solidFill>
                </w14:textFill>
              </w:rPr>
              <w:t>相符性分析比对表</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850"/>
              <w:gridCol w:w="3785"/>
              <w:gridCol w:w="2889"/>
              <w:gridCol w:w="759"/>
            </w:tblGrid>
            <w:tr w14:paraId="76B624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797" w:type="pct"/>
                  <w:gridSpan w:val="2"/>
                  <w:tcBorders>
                    <w:top w:val="single" w:color="auto" w:sz="6" w:space="0"/>
                    <w:left w:val="single" w:color="auto" w:sz="6" w:space="0"/>
                    <w:bottom w:val="single" w:color="auto" w:sz="4" w:space="0"/>
                    <w:right w:val="single" w:color="auto" w:sz="4" w:space="0"/>
                  </w:tcBorders>
                  <w:vAlign w:val="center"/>
                </w:tcPr>
                <w:p w14:paraId="14AC6D60">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要求</w:t>
                  </w:r>
                </w:p>
              </w:tc>
              <w:tc>
                <w:tcPr>
                  <w:tcW w:w="1743" w:type="pct"/>
                  <w:tcBorders>
                    <w:top w:val="single" w:color="auto" w:sz="6" w:space="0"/>
                    <w:left w:val="single" w:color="auto" w:sz="4" w:space="0"/>
                    <w:bottom w:val="single" w:color="auto" w:sz="4" w:space="0"/>
                    <w:right w:val="single" w:color="auto" w:sz="4" w:space="0"/>
                  </w:tcBorders>
                  <w:vAlign w:val="center"/>
                </w:tcPr>
                <w:p w14:paraId="4B2ACD2B">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本项目情况</w:t>
                  </w:r>
                </w:p>
              </w:tc>
              <w:tc>
                <w:tcPr>
                  <w:tcW w:w="458" w:type="pct"/>
                  <w:tcBorders>
                    <w:top w:val="single" w:color="auto" w:sz="6" w:space="0"/>
                    <w:left w:val="single" w:color="auto" w:sz="4" w:space="0"/>
                    <w:bottom w:val="single" w:color="auto" w:sz="4" w:space="0"/>
                    <w:right w:val="single" w:color="auto" w:sz="6" w:space="0"/>
                  </w:tcBorders>
                  <w:vAlign w:val="center"/>
                </w:tcPr>
                <w:p w14:paraId="3552FEED">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相符性</w:t>
                  </w:r>
                </w:p>
              </w:tc>
            </w:tr>
            <w:tr w14:paraId="367BA7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tcBorders>
                    <w:top w:val="single" w:color="auto" w:sz="4" w:space="0"/>
                    <w:left w:val="single" w:color="auto" w:sz="6" w:space="0"/>
                    <w:right w:val="single" w:color="auto" w:sz="4" w:space="0"/>
                  </w:tcBorders>
                  <w:vAlign w:val="center"/>
                </w:tcPr>
                <w:p w14:paraId="7025292F">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（一）持续推进产业结构优化调整</w:t>
                  </w:r>
                </w:p>
              </w:tc>
              <w:tc>
                <w:tcPr>
                  <w:tcW w:w="2284" w:type="pct"/>
                  <w:tcBorders>
                    <w:top w:val="single" w:color="auto" w:sz="4" w:space="0"/>
                    <w:left w:val="single" w:color="auto" w:sz="4" w:space="0"/>
                    <w:bottom w:val="single" w:color="auto" w:sz="4" w:space="0"/>
                    <w:right w:val="single" w:color="auto" w:sz="4" w:space="0"/>
                  </w:tcBorders>
                  <w:vAlign w:val="center"/>
                </w:tcPr>
                <w:p w14:paraId="69C3532A">
                  <w:pPr>
                    <w:widowControl/>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2.坚决遏制两高项目盲目发展。严格落实国家和省、市产业规划、产业政策、</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三线一单</w:t>
                  </w:r>
                  <w:r>
                    <w:rPr>
                      <w:rFonts w:hint="eastAsia"/>
                      <w:bCs/>
                      <w:color w:val="000000" w:themeColor="text1"/>
                      <w:kern w:val="0"/>
                      <w:szCs w:val="21"/>
                      <w:lang w:eastAsia="zh-CN"/>
                      <w14:textFill>
                        <w14:solidFill>
                          <w14:schemeClr w14:val="tx1"/>
                        </w14:solidFill>
                      </w14:textFill>
                    </w:rPr>
                    <w:t>”</w:t>
                  </w:r>
                  <w:r>
                    <w:rPr>
                      <w:color w:val="000000" w:themeColor="text1"/>
                      <w:szCs w:val="21"/>
                      <w14:textFill>
                        <w14:solidFill>
                          <w14:schemeClr w14:val="tx1"/>
                        </w14:solidFill>
                      </w14:textFill>
                    </w:rPr>
                    <w:t>、规划环评，以及产能置换、煤炭消费减量替代、区域污染物削减等要求，严把高耗能、高排放、低水平项目准入关口。</w:t>
                  </w:r>
                </w:p>
              </w:tc>
              <w:tc>
                <w:tcPr>
                  <w:tcW w:w="1743" w:type="pct"/>
                  <w:tcBorders>
                    <w:top w:val="single" w:color="auto" w:sz="4" w:space="0"/>
                    <w:left w:val="single" w:color="auto" w:sz="4" w:space="0"/>
                    <w:bottom w:val="single" w:color="auto" w:sz="4" w:space="0"/>
                    <w:right w:val="single" w:color="auto" w:sz="4" w:space="0"/>
                  </w:tcBorders>
                  <w:vAlign w:val="center"/>
                </w:tcPr>
                <w:p w14:paraId="115B15FC">
                  <w:pPr>
                    <w:widowControl/>
                    <w:rPr>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本项目</w:t>
                  </w:r>
                  <w:r>
                    <w:rPr>
                      <w:rFonts w:hint="eastAsia"/>
                      <w:bCs/>
                      <w:color w:val="000000" w:themeColor="text1"/>
                      <w:kern w:val="0"/>
                      <w:szCs w:val="21"/>
                      <w14:textFill>
                        <w14:solidFill>
                          <w14:schemeClr w14:val="tx1"/>
                        </w14:solidFill>
                      </w14:textFill>
                    </w:rPr>
                    <w:t>属于</w:t>
                  </w:r>
                  <w:r>
                    <w:rPr>
                      <w:rFonts w:hint="eastAsia"/>
                      <w:bCs/>
                      <w:color w:val="000000" w:themeColor="text1"/>
                      <w:kern w:val="0"/>
                      <w:szCs w:val="21"/>
                      <w:lang w:val="en-US" w:eastAsia="zh-CN"/>
                      <w14:textFill>
                        <w14:solidFill>
                          <w14:schemeClr w14:val="tx1"/>
                        </w14:solidFill>
                      </w14:textFill>
                    </w:rPr>
                    <w:t>食品制造业</w:t>
                  </w: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不属于</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bCs/>
                      <w:color w:val="000000" w:themeColor="text1"/>
                      <w:kern w:val="0"/>
                      <w:szCs w:val="21"/>
                      <w14:textFill>
                        <w14:solidFill>
                          <w14:schemeClr w14:val="tx1"/>
                        </w14:solidFill>
                      </w14:textFill>
                    </w:rPr>
                    <w:t>项目；项目</w:t>
                  </w:r>
                  <w:r>
                    <w:rPr>
                      <w:rFonts w:hint="eastAsia"/>
                      <w:bCs/>
                      <w:color w:val="000000" w:themeColor="text1"/>
                      <w:kern w:val="0"/>
                      <w:szCs w:val="21"/>
                      <w14:textFill>
                        <w14:solidFill>
                          <w14:schemeClr w14:val="tx1"/>
                        </w14:solidFill>
                      </w14:textFill>
                    </w:rPr>
                    <w:t>符合产业政策</w:t>
                  </w:r>
                  <w:r>
                    <w:rPr>
                      <w:bCs/>
                      <w:color w:val="000000" w:themeColor="text1"/>
                      <w:kern w:val="0"/>
                      <w:szCs w:val="21"/>
                      <w14:textFill>
                        <w14:solidFill>
                          <w14:schemeClr w14:val="tx1"/>
                        </w14:solidFill>
                      </w14:textFill>
                    </w:rPr>
                    <w:t>，符合区域</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三线一单</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管控要求</w:t>
                  </w:r>
                  <w:r>
                    <w:rPr>
                      <w:rFonts w:hint="eastAsia"/>
                      <w:bCs/>
                      <w:color w:val="000000" w:themeColor="text1"/>
                      <w:kern w:val="0"/>
                      <w:szCs w:val="21"/>
                      <w14:textFill>
                        <w14:solidFill>
                          <w14:schemeClr w14:val="tx1"/>
                        </w14:solidFill>
                      </w14:textFill>
                    </w:rPr>
                    <w:t>，符合规划环评要求。</w:t>
                  </w:r>
                </w:p>
              </w:tc>
              <w:tc>
                <w:tcPr>
                  <w:tcW w:w="458" w:type="pct"/>
                  <w:tcBorders>
                    <w:top w:val="single" w:color="auto" w:sz="4" w:space="0"/>
                    <w:left w:val="single" w:color="auto" w:sz="4" w:space="0"/>
                    <w:bottom w:val="single" w:color="auto" w:sz="4" w:space="0"/>
                    <w:right w:val="single" w:color="auto" w:sz="6" w:space="0"/>
                  </w:tcBorders>
                  <w:vAlign w:val="center"/>
                </w:tcPr>
                <w:p w14:paraId="46463C50">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r w14:paraId="18CB23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vMerge w:val="restart"/>
                  <w:tcBorders>
                    <w:top w:val="single" w:color="auto" w:sz="4" w:space="0"/>
                    <w:left w:val="single" w:color="auto" w:sz="6" w:space="0"/>
                    <w:right w:val="single" w:color="auto" w:sz="4" w:space="0"/>
                  </w:tcBorders>
                  <w:vAlign w:val="center"/>
                </w:tcPr>
                <w:p w14:paraId="6DB7D784">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（二）深入推进能源结构优化调整</w:t>
                  </w:r>
                </w:p>
              </w:tc>
              <w:tc>
                <w:tcPr>
                  <w:tcW w:w="2284" w:type="pct"/>
                  <w:tcBorders>
                    <w:top w:val="single" w:color="auto" w:sz="4" w:space="0"/>
                    <w:left w:val="single" w:color="auto" w:sz="4" w:space="0"/>
                    <w:bottom w:val="single" w:color="auto" w:sz="4" w:space="0"/>
                    <w:right w:val="single" w:color="auto" w:sz="4" w:space="0"/>
                  </w:tcBorders>
                  <w:vAlign w:val="center"/>
                </w:tcPr>
                <w:p w14:paraId="1C4EE3E7">
                  <w:pPr>
                    <w:widowControl/>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5.大力发展清洁能源。加快非化石能源发展，以光伏发电、风电为重点，以生物质、抽水蓄能、地热能、氢能等为补充，因地制宜推动可再生能源多元化、协同化发展。优先支持</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源网荷储一体化</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风电＋高比例储能</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光伏＋高比例储能</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风光火储一体化</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等项目建设，到2025年，风电装机容量达到260万千瓦以上，光伏发电装机容量达到430万千瓦以上，全市可再生能源发电装机容量达到850万千瓦以上，新能源发电全部市内自用，不外输。</w:t>
                  </w:r>
                </w:p>
              </w:tc>
              <w:tc>
                <w:tcPr>
                  <w:tcW w:w="1743" w:type="pct"/>
                  <w:tcBorders>
                    <w:top w:val="single" w:color="auto" w:sz="4" w:space="0"/>
                    <w:left w:val="single" w:color="auto" w:sz="4" w:space="0"/>
                    <w:bottom w:val="single" w:color="auto" w:sz="4" w:space="0"/>
                    <w:right w:val="single" w:color="auto" w:sz="4" w:space="0"/>
                  </w:tcBorders>
                  <w:vAlign w:val="center"/>
                </w:tcPr>
                <w:p w14:paraId="3CBEC783">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本项目使用电能</w:t>
                  </w:r>
                  <w:r>
                    <w:rPr>
                      <w:rFonts w:hint="eastAsia"/>
                      <w:color w:val="000000" w:themeColor="text1"/>
                      <w:szCs w:val="21"/>
                      <w14:textFill>
                        <w14:solidFill>
                          <w14:schemeClr w14:val="tx1"/>
                        </w14:solidFill>
                      </w14:textFill>
                    </w:rPr>
                    <w:t>以及天然气</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均</w:t>
                  </w:r>
                  <w:r>
                    <w:rPr>
                      <w:color w:val="000000" w:themeColor="text1"/>
                      <w:szCs w:val="21"/>
                      <w14:textFill>
                        <w14:solidFill>
                          <w14:schemeClr w14:val="tx1"/>
                        </w14:solidFill>
                      </w14:textFill>
                    </w:rPr>
                    <w:t>为清洁能源。</w:t>
                  </w:r>
                </w:p>
              </w:tc>
              <w:tc>
                <w:tcPr>
                  <w:tcW w:w="458" w:type="pct"/>
                  <w:tcBorders>
                    <w:top w:val="single" w:color="auto" w:sz="4" w:space="0"/>
                    <w:left w:val="single" w:color="auto" w:sz="4" w:space="0"/>
                    <w:bottom w:val="single" w:color="auto" w:sz="4" w:space="0"/>
                    <w:right w:val="single" w:color="auto" w:sz="6" w:space="0"/>
                  </w:tcBorders>
                  <w:vAlign w:val="center"/>
                </w:tcPr>
                <w:p w14:paraId="64DC3180">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r w14:paraId="3149BA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vMerge w:val="continue"/>
                  <w:tcBorders>
                    <w:left w:val="single" w:color="auto" w:sz="6" w:space="0"/>
                    <w:bottom w:val="single" w:color="auto" w:sz="4" w:space="0"/>
                    <w:right w:val="single" w:color="auto" w:sz="4" w:space="0"/>
                  </w:tcBorders>
                  <w:vAlign w:val="center"/>
                </w:tcPr>
                <w:p w14:paraId="3EED7A59">
                  <w:pPr>
                    <w:snapToGrid w:val="0"/>
                    <w:jc w:val="center"/>
                    <w:rPr>
                      <w:color w:val="000000" w:themeColor="text1"/>
                      <w:szCs w:val="21"/>
                      <w14:textFill>
                        <w14:solidFill>
                          <w14:schemeClr w14:val="tx1"/>
                        </w14:solidFill>
                      </w14:textFill>
                    </w:rPr>
                  </w:pPr>
                </w:p>
              </w:tc>
              <w:tc>
                <w:tcPr>
                  <w:tcW w:w="2284" w:type="pct"/>
                  <w:tcBorders>
                    <w:top w:val="single" w:color="auto" w:sz="4" w:space="0"/>
                    <w:left w:val="single" w:color="auto" w:sz="4" w:space="0"/>
                    <w:bottom w:val="single" w:color="auto" w:sz="4" w:space="0"/>
                    <w:right w:val="single" w:color="auto" w:sz="4" w:space="0"/>
                  </w:tcBorders>
                  <w:vAlign w:val="center"/>
                </w:tcPr>
                <w:p w14:paraId="3D9CA89B">
                  <w:pPr>
                    <w:snapToGrid w:val="0"/>
                    <w:jc w:val="both"/>
                    <w:rPr>
                      <w:color w:val="000000" w:themeColor="text1"/>
                      <w:szCs w:val="21"/>
                      <w14:textFill>
                        <w14:solidFill>
                          <w14:schemeClr w14:val="tx1"/>
                        </w14:solidFill>
                      </w14:textFill>
                    </w:rPr>
                  </w:pPr>
                  <w:r>
                    <w:rPr>
                      <w:color w:val="000000" w:themeColor="text1"/>
                      <w:szCs w:val="21"/>
                      <w14:textFill>
                        <w14:solidFill>
                          <w14:schemeClr w14:val="tx1"/>
                        </w14:solidFill>
                      </w14:textFill>
                    </w:rPr>
                    <w:t>7.加快推进工业炉窑清洁能源替代。大力推进电能替代煤炭，稳妥推进以气代煤。2024年年底前，全市分散建设的燃料类煤气发生炉完成清洁能源替代，或者园区（集群）集中供气、分散使用。到2025年，现有使用高污染燃料的加热炉、热处理炉、干燥炉、熔化炉等工业炉窑改用清洁低碳能源。</w:t>
                  </w:r>
                </w:p>
              </w:tc>
              <w:tc>
                <w:tcPr>
                  <w:tcW w:w="1743" w:type="pct"/>
                  <w:tcBorders>
                    <w:top w:val="single" w:color="auto" w:sz="4" w:space="0"/>
                    <w:left w:val="single" w:color="auto" w:sz="4" w:space="0"/>
                    <w:bottom w:val="single" w:color="auto" w:sz="4" w:space="0"/>
                    <w:right w:val="single" w:color="auto" w:sz="4" w:space="0"/>
                  </w:tcBorders>
                  <w:vAlign w:val="center"/>
                </w:tcPr>
                <w:p w14:paraId="278FC66C">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本项目不涉及工业炉窑</w:t>
                  </w:r>
                  <w:r>
                    <w:rPr>
                      <w:rFonts w:hint="eastAsia"/>
                      <w:color w:val="000000" w:themeColor="text1"/>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5393AF91">
                  <w:pPr>
                    <w:snapToGrid w:val="0"/>
                    <w:jc w:val="center"/>
                    <w:rPr>
                      <w:color w:val="000000" w:themeColor="text1"/>
                      <w:szCs w:val="21"/>
                      <w14:textFill>
                        <w14:solidFill>
                          <w14:schemeClr w14:val="tx1"/>
                        </w14:solidFill>
                      </w14:textFill>
                    </w:rPr>
                  </w:pPr>
                  <w:r>
                    <w:rPr>
                      <w:rStyle w:val="32"/>
                      <w:rFonts w:hint="default" w:ascii="Times New Roman" w:hAnsi="Times New Roman" w:eastAsia="宋体" w:cs="Times New Roman"/>
                      <w:color w:val="000000" w:themeColor="text1"/>
                      <w14:textFill>
                        <w14:solidFill>
                          <w14:schemeClr w14:val="tx1"/>
                        </w14:solidFill>
                      </w14:textFill>
                    </w:rPr>
                    <w:t>相符</w:t>
                  </w:r>
                </w:p>
              </w:tc>
            </w:tr>
          </w:tbl>
          <w:p w14:paraId="1D165994">
            <w:pPr>
              <w:tabs>
                <w:tab w:val="left" w:pos="1081"/>
              </w:tabs>
              <w:adjustRightInd w:val="0"/>
              <w:snapToGrid w:val="0"/>
              <w:spacing w:line="360" w:lineRule="auto"/>
              <w:ind w:firstLine="480" w:firstLineChars="200"/>
              <w:rPr>
                <w:b/>
                <w:color w:val="000000" w:themeColor="text1"/>
                <w:sz w:val="24"/>
                <w14:textFill>
                  <w14:solidFill>
                    <w14:schemeClr w14:val="tx1"/>
                  </w14:solidFill>
                </w14:textFill>
              </w:rPr>
            </w:pPr>
            <w:r>
              <w:rPr>
                <w:color w:val="000000" w:themeColor="text1"/>
                <w:sz w:val="24"/>
                <w14:textFill>
                  <w14:solidFill>
                    <w14:schemeClr w14:val="tx1"/>
                  </w14:solidFill>
                </w14:textFill>
              </w:rPr>
              <w:t>由上表分析可知，项目建设符合《南阳市人民政府办公室关于印发南阳市环境空气质量限期达标行动实施方案（2024—2025年）的通知》（宛政办〔2024〕3号）中相关要求。</w:t>
            </w:r>
          </w:p>
          <w:p w14:paraId="18CFB3FD">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4</w:t>
            </w:r>
            <w:r>
              <w:rPr>
                <w:b/>
                <w:color w:val="000000" w:themeColor="text1"/>
                <w:sz w:val="24"/>
                <w14:textFill>
                  <w14:solidFill>
                    <w14:schemeClr w14:val="tx1"/>
                  </w14:solidFill>
                </w14:textFill>
              </w:rPr>
              <w:t>、项目建设与</w:t>
            </w:r>
            <w:r>
              <w:rPr>
                <w:rFonts w:hint="eastAsia"/>
                <w:b/>
                <w:color w:val="000000" w:themeColor="text1"/>
                <w:sz w:val="24"/>
                <w:lang w:eastAsia="zh-CN"/>
                <w14:textFill>
                  <w14:solidFill>
                    <w14:schemeClr w14:val="tx1"/>
                  </w14:solidFill>
                </w14:textFill>
              </w:rPr>
              <w:t>“</w:t>
            </w:r>
            <w:r>
              <w:rPr>
                <w:b/>
                <w:color w:val="000000" w:themeColor="text1"/>
                <w:sz w:val="24"/>
                <w14:textFill>
                  <w14:solidFill>
                    <w14:schemeClr w14:val="tx1"/>
                  </w14:solidFill>
                </w14:textFill>
              </w:rPr>
              <w:t>三线一单</w:t>
            </w:r>
            <w:r>
              <w:rPr>
                <w:rFonts w:hint="eastAsia"/>
                <w:b/>
                <w:color w:val="000000" w:themeColor="text1"/>
                <w:sz w:val="24"/>
                <w:lang w:eastAsia="zh-CN"/>
                <w14:textFill>
                  <w14:solidFill>
                    <w14:schemeClr w14:val="tx1"/>
                  </w14:solidFill>
                </w14:textFill>
              </w:rPr>
              <w:t>”</w:t>
            </w:r>
            <w:r>
              <w:rPr>
                <w:b/>
                <w:color w:val="000000" w:themeColor="text1"/>
                <w:sz w:val="24"/>
                <w14:textFill>
                  <w14:solidFill>
                    <w14:schemeClr w14:val="tx1"/>
                  </w14:solidFill>
                </w14:textFill>
              </w:rPr>
              <w:t>的相符性</w:t>
            </w:r>
          </w:p>
          <w:p w14:paraId="0AAF71D9">
            <w:pPr>
              <w:tabs>
                <w:tab w:val="left" w:pos="1081"/>
              </w:tabs>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根据环保部发布的《关于以改善环境质量为核心加强环境影响评价管理的通知》（以下简称《通知》），《通知》要求切实加强环境影响评价管理，落实</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生态保护红线、环境质量底线、资源利用上线和环境准入负面清单</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约束，建立项目环评审批与规划环评、现有项目环境管理、区域环境质量联动机制，更好地发挥环评制度从源头防范环境污染和生态破坏的作用，加快推进改善环境质量。</w:t>
            </w:r>
          </w:p>
          <w:p w14:paraId="28070C74">
            <w:pPr>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（1）生态红线</w:t>
            </w:r>
          </w:p>
          <w:p w14:paraId="251DEA80">
            <w:pPr>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生态保护红线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是</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生态空间范围内具有特殊重要生态功能必须实行强制性严格保护的区域</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需依法在重点生态功能区、生态环境敏感区和脆弱区等区域划定的严格管控边界，是国家和区域生态安全的底线，对于维护生态安全格局、保障生态服务功能、支撑经济社会可持续发展具有重要作用。</w:t>
            </w:r>
          </w:p>
          <w:p w14:paraId="2CF26F99">
            <w:pPr>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本项目位于</w:t>
            </w:r>
            <w:r>
              <w:rPr>
                <w:rFonts w:hint="eastAsia"/>
                <w:color w:val="000000"/>
                <w:sz w:val="24"/>
                <w:lang w:val="en-US" w:eastAsia="zh-CN"/>
              </w:rPr>
              <w:t>南阳市镇平县乡村振兴创业园4号楼1楼南</w:t>
            </w:r>
            <w:r>
              <w:rPr>
                <w:bCs/>
                <w:color w:val="000000" w:themeColor="text1"/>
                <w:kern w:val="0"/>
                <w:sz w:val="24"/>
                <w14:textFill>
                  <w14:solidFill>
                    <w14:schemeClr w14:val="tx1"/>
                  </w14:solidFill>
                </w14:textFill>
              </w:rPr>
              <w:t>，项目选址不在自然保护区、镇平县饮用水源保护区、南水北调中线工程总干渠两侧水源保护区等生态保护目标范围内，距离自然保护区、水源保护区等生态保护目标较远，不在区域生态红线范围内，因此项目建设符合区域生态保护红线要求。</w:t>
            </w:r>
          </w:p>
          <w:p w14:paraId="2EB5FF6C">
            <w:pPr>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（2）环境质量底线</w:t>
            </w:r>
          </w:p>
          <w:p w14:paraId="1C6B4417">
            <w:pPr>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环境质量底线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14:paraId="3901EA4A">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项目选址区域环境空气功能为二类区，执行《环境空气质量标准》（GB3095-2012）二级标准。根据《202</w:t>
            </w:r>
            <w:r>
              <w:rPr>
                <w:rFonts w:hint="eastAsia"/>
                <w:bCs/>
                <w:color w:val="000000" w:themeColor="text1"/>
                <w:sz w:val="24"/>
                <w:lang w:val="en-US" w:eastAsia="zh-CN"/>
                <w14:textFill>
                  <w14:solidFill>
                    <w14:schemeClr w14:val="tx1"/>
                  </w14:solidFill>
                </w14:textFill>
              </w:rPr>
              <w:t>4</w:t>
            </w:r>
            <w:r>
              <w:rPr>
                <w:bCs/>
                <w:color w:val="000000" w:themeColor="text1"/>
                <w:sz w:val="24"/>
                <w14:textFill>
                  <w14:solidFill>
                    <w14:schemeClr w14:val="tx1"/>
                  </w14:solidFill>
                </w14:textFill>
              </w:rPr>
              <w:t>年河南省南阳市生态环境质量报告》中</w:t>
            </w:r>
            <w:r>
              <w:rPr>
                <w:rFonts w:hint="eastAsia"/>
                <w:bCs/>
                <w:color w:val="000000" w:themeColor="text1"/>
                <w:sz w:val="24"/>
                <w:lang w:eastAsia="zh-CN"/>
                <w14:textFill>
                  <w14:solidFill>
                    <w14:schemeClr w14:val="tx1"/>
                  </w14:solidFill>
                </w14:textFill>
              </w:rPr>
              <w:t>“</w:t>
            </w:r>
            <w:r>
              <w:rPr>
                <w:bCs/>
                <w:color w:val="000000" w:themeColor="text1"/>
                <w:sz w:val="24"/>
                <w14:textFill>
                  <w14:solidFill>
                    <w14:schemeClr w14:val="tx1"/>
                  </w14:solidFill>
                </w14:textFill>
              </w:rPr>
              <w:t>202</w:t>
            </w:r>
            <w:r>
              <w:rPr>
                <w:rFonts w:hint="eastAsia"/>
                <w:bCs/>
                <w:color w:val="000000" w:themeColor="text1"/>
                <w:sz w:val="24"/>
                <w:lang w:val="en-US" w:eastAsia="zh-CN"/>
                <w14:textFill>
                  <w14:solidFill>
                    <w14:schemeClr w14:val="tx1"/>
                  </w14:solidFill>
                </w14:textFill>
              </w:rPr>
              <w:t>4</w:t>
            </w:r>
            <w:r>
              <w:rPr>
                <w:bCs/>
                <w:color w:val="000000" w:themeColor="text1"/>
                <w:sz w:val="24"/>
                <w14:textFill>
                  <w14:solidFill>
                    <w14:schemeClr w14:val="tx1"/>
                  </w14:solidFill>
                </w14:textFill>
              </w:rPr>
              <w:t>年南阳市各县（市、区）环境空气主要项目监测结果统计</w:t>
            </w:r>
            <w:r>
              <w:rPr>
                <w:rFonts w:hint="eastAsia"/>
                <w:bCs/>
                <w:color w:val="000000" w:themeColor="text1"/>
                <w:sz w:val="24"/>
                <w:lang w:eastAsia="zh-CN"/>
                <w14:textFill>
                  <w14:solidFill>
                    <w14:schemeClr w14:val="tx1"/>
                  </w14:solidFill>
                </w14:textFill>
              </w:rPr>
              <w:t>”</w:t>
            </w:r>
            <w:r>
              <w:rPr>
                <w:bCs/>
                <w:color w:val="000000" w:themeColor="text1"/>
                <w:sz w:val="24"/>
                <w14:textFill>
                  <w14:solidFill>
                    <w14:schemeClr w14:val="tx1"/>
                  </w14:solidFill>
                </w14:textFill>
              </w:rPr>
              <w:t>中镇平县的数据，区域环境质量状况一般，属于不达标区域。</w:t>
            </w:r>
          </w:p>
          <w:p w14:paraId="5B7548AB">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为此，</w:t>
            </w:r>
            <w:r>
              <w:rPr>
                <w:bCs/>
                <w:color w:val="000000" w:themeColor="text1"/>
                <w:sz w:val="24"/>
                <w:highlight w:val="none"/>
                <w14:textFill>
                  <w14:solidFill>
                    <w14:schemeClr w14:val="tx1"/>
                  </w14:solidFill>
                </w14:textFill>
              </w:rPr>
              <w:t>南阳市生态环境保护委员会已经制定了《南阳市202</w:t>
            </w:r>
            <w:r>
              <w:rPr>
                <w:rFonts w:hint="eastAsia"/>
                <w:bCs/>
                <w:color w:val="000000" w:themeColor="text1"/>
                <w:sz w:val="24"/>
                <w:highlight w:val="none"/>
                <w:lang w:val="en-US" w:eastAsia="zh-CN"/>
                <w14:textFill>
                  <w14:solidFill>
                    <w14:schemeClr w14:val="tx1"/>
                  </w14:solidFill>
                </w14:textFill>
              </w:rPr>
              <w:t>5</w:t>
            </w:r>
            <w:r>
              <w:rPr>
                <w:bCs/>
                <w:color w:val="000000" w:themeColor="text1"/>
                <w:sz w:val="24"/>
                <w:highlight w:val="none"/>
                <w14:textFill>
                  <w14:solidFill>
                    <w14:schemeClr w14:val="tx1"/>
                  </w14:solidFill>
                </w14:textFill>
              </w:rPr>
              <w:t>年蓝天保卫战实施方案》（</w:t>
            </w:r>
            <w:r>
              <w:rPr>
                <w:rFonts w:hint="eastAsia"/>
                <w:bCs/>
                <w:color w:val="000000" w:themeColor="text1"/>
                <w:sz w:val="24"/>
                <w:highlight w:val="none"/>
                <w14:textFill>
                  <w14:solidFill>
                    <w14:schemeClr w14:val="tx1"/>
                  </w14:solidFill>
                </w14:textFill>
              </w:rPr>
              <w:t>宛环委办〔2025〕5号</w:t>
            </w:r>
            <w:r>
              <w:rPr>
                <w:bCs/>
                <w:color w:val="000000" w:themeColor="text1"/>
                <w:sz w:val="24"/>
                <w:highlight w:val="none"/>
                <w14:textFill>
                  <w14:solidFill>
                    <w14:schemeClr w14:val="tx1"/>
                  </w14:solidFill>
                </w14:textFill>
              </w:rPr>
              <w:t>）</w:t>
            </w:r>
            <w:r>
              <w:rPr>
                <w:bCs/>
                <w:color w:val="000000" w:themeColor="text1"/>
                <w:sz w:val="24"/>
                <w14:textFill>
                  <w14:solidFill>
                    <w14:schemeClr w14:val="tx1"/>
                  </w14:solidFill>
                </w14:textFill>
              </w:rPr>
              <w:t>，南阳市将坚持稳中求进工作总基调，以改善环境空气质量为核心，以降低细颗粒物（PM</w:t>
            </w:r>
            <w:r>
              <w:rPr>
                <w:bCs/>
                <w:color w:val="000000" w:themeColor="text1"/>
                <w:sz w:val="24"/>
                <w:vertAlign w:val="subscript"/>
                <w14:textFill>
                  <w14:solidFill>
                    <w14:schemeClr w14:val="tx1"/>
                  </w14:solidFill>
                </w14:textFill>
              </w:rPr>
              <w:t>2.5</w:t>
            </w:r>
            <w:r>
              <w:rPr>
                <w:bCs/>
                <w:color w:val="000000" w:themeColor="text1"/>
                <w:sz w:val="24"/>
                <w14:textFill>
                  <w14:solidFill>
                    <w14:schemeClr w14:val="tx1"/>
                  </w14:solidFill>
                </w14:textFill>
              </w:rPr>
              <w:t>）浓度为主线，协同推进降碳、减污、扩绿、增长，以更高标准打好秋冬季重污染天气消除、夏季臭氧污染防治和柴油货车污染治理攻坚战，扎实抓好减污降碳协同增效、工业污染治理减排、移动源污染控制、面源污染综合治理、重污染天气联合应对、科技支撑能力建设六个攻坚行动，加快推动发展方式绿色低碳转型，完成省定年度空气质量改善目标任务，为推进美丽南阳建设贡献力量,为高水平建强省域副中心城市提供生态保障。</w:t>
            </w:r>
          </w:p>
          <w:p w14:paraId="26DD59DE">
            <w:pPr>
              <w:tabs>
                <w:tab w:val="left" w:pos="1081"/>
              </w:tabs>
              <w:adjustRightInd w:val="0"/>
              <w:snapToGrid w:val="0"/>
              <w:spacing w:line="360" w:lineRule="auto"/>
              <w:ind w:firstLine="480" w:firstLineChars="200"/>
              <w:rPr>
                <w:rFonts w:hint="eastAsia"/>
                <w:bCs/>
                <w:color w:val="auto"/>
                <w:kern w:val="0"/>
                <w:sz w:val="24"/>
                <w:szCs w:val="24"/>
                <w:highlight w:val="none"/>
              </w:rPr>
            </w:pPr>
            <w:r>
              <w:rPr>
                <w:rFonts w:hint="eastAsia"/>
                <w:i w:val="0"/>
                <w:iCs w:val="0"/>
                <w:color w:val="auto"/>
                <w:sz w:val="24"/>
                <w:highlight w:val="none"/>
                <w:u w:val="none" w:color="auto"/>
                <w:lang w:val="en-US" w:eastAsia="zh-CN"/>
              </w:rPr>
              <w:t>项目</w:t>
            </w:r>
            <w:r>
              <w:rPr>
                <w:rFonts w:hint="default" w:ascii="Times New Roman" w:hAnsi="Times New Roman" w:eastAsia="宋体" w:cs="Times New Roman"/>
                <w:sz w:val="24"/>
                <w:szCs w:val="24"/>
                <w:highlight w:val="none"/>
                <w:lang w:val="en-US" w:eastAsia="zh-CN"/>
              </w:rPr>
              <w:t>烹饪、加工</w:t>
            </w:r>
            <w:commentRangeStart w:id="24"/>
            <w:r>
              <w:rPr>
                <w:rFonts w:hint="default" w:ascii="Times New Roman" w:hAnsi="Times New Roman" w:eastAsia="宋体" w:cs="Times New Roman"/>
                <w:sz w:val="24"/>
                <w:szCs w:val="24"/>
                <w:highlight w:val="none"/>
                <w:lang w:val="en-US" w:eastAsia="zh-CN"/>
              </w:rPr>
              <w:t>过程</w:t>
            </w:r>
            <w:r>
              <w:rPr>
                <w:rFonts w:hint="eastAsia"/>
                <w:i w:val="0"/>
                <w:iCs w:val="0"/>
                <w:color w:val="auto"/>
                <w:sz w:val="24"/>
                <w:highlight w:val="none"/>
                <w:u w:val="none" w:color="auto"/>
                <w:lang w:val="en-US" w:eastAsia="zh-CN"/>
              </w:rPr>
              <w:t>产生的烹饪、加工过程经集气</w:t>
            </w:r>
            <w:commentRangeEnd w:id="24"/>
            <w:r>
              <w:commentReference w:id="24"/>
            </w:r>
            <w:r>
              <w:rPr>
                <w:rFonts w:hint="eastAsia"/>
                <w:i w:val="0"/>
                <w:iCs w:val="0"/>
                <w:color w:val="auto"/>
                <w:sz w:val="24"/>
                <w:highlight w:val="none"/>
                <w:u w:val="none" w:color="auto"/>
                <w:lang w:val="en-US" w:eastAsia="zh-CN"/>
              </w:rPr>
              <w:t>罩收集后通过分别通过静电油烟净化器（T</w:t>
            </w:r>
            <w:commentRangeStart w:id="25"/>
            <w:r>
              <w:rPr>
                <w:rFonts w:hint="eastAsia"/>
                <w:i w:val="0"/>
                <w:iCs w:val="0"/>
                <w:color w:val="auto"/>
                <w:sz w:val="24"/>
                <w:highlight w:val="none"/>
                <w:u w:val="none" w:color="auto"/>
                <w:lang w:val="en-US" w:eastAsia="zh-CN"/>
              </w:rPr>
              <w:t>A001-TA004）处理后经1根15m排气筒（DA001-DA003</w:t>
            </w:r>
            <w:commentRangeEnd w:id="25"/>
            <w:r>
              <w:commentReference w:id="25"/>
            </w:r>
            <w:r>
              <w:rPr>
                <w:rFonts w:hint="eastAsia"/>
                <w:i w:val="0"/>
                <w:iCs w:val="0"/>
                <w:color w:val="auto"/>
                <w:sz w:val="24"/>
                <w:highlight w:val="none"/>
                <w:u w:val="none" w:color="auto"/>
                <w:lang w:val="en-US" w:eastAsia="zh-CN"/>
              </w:rPr>
              <w:t>）排放，经处理后油烟的排放浓度均为0.767</w:t>
            </w:r>
            <w:r>
              <w:rPr>
                <w:rFonts w:hint="eastAsia"/>
                <w:bCs/>
                <w:i w:val="0"/>
                <w:iCs w:val="0"/>
                <w:color w:val="auto"/>
                <w:kern w:val="0"/>
                <w:sz w:val="24"/>
                <w:highlight w:val="none"/>
                <w:u w:val="none" w:color="auto"/>
              </w:rPr>
              <w:t>mg/m</w:t>
            </w:r>
            <w:r>
              <w:rPr>
                <w:rFonts w:hint="eastAsia"/>
                <w:bCs/>
                <w:i w:val="0"/>
                <w:iCs w:val="0"/>
                <w:color w:val="auto"/>
                <w:kern w:val="0"/>
                <w:sz w:val="24"/>
                <w:highlight w:val="none"/>
                <w:u w:val="none" w:color="auto"/>
                <w:vertAlign w:val="superscript"/>
              </w:rPr>
              <w:t>3</w:t>
            </w:r>
            <w:r>
              <w:rPr>
                <w:rFonts w:hint="eastAsia"/>
                <w:bCs/>
                <w:i w:val="0"/>
                <w:iCs w:val="0"/>
                <w:color w:val="auto"/>
                <w:kern w:val="0"/>
                <w:sz w:val="24"/>
                <w:highlight w:val="none"/>
                <w:u w:val="none" w:color="auto"/>
              </w:rPr>
              <w:t>，</w:t>
            </w:r>
            <w:r>
              <w:rPr>
                <w:rFonts w:hint="eastAsia"/>
                <w:bCs/>
                <w:i w:val="0"/>
                <w:iCs w:val="0"/>
                <w:color w:val="auto"/>
                <w:kern w:val="0"/>
                <w:sz w:val="24"/>
                <w:highlight w:val="none"/>
                <w:u w:val="none" w:color="auto"/>
                <w:lang w:val="en-US" w:eastAsia="zh-CN"/>
              </w:rPr>
              <w:t>非甲烷总烃</w:t>
            </w:r>
            <w:r>
              <w:rPr>
                <w:rFonts w:hint="eastAsia"/>
                <w:i w:val="0"/>
                <w:iCs w:val="0"/>
                <w:color w:val="auto"/>
                <w:sz w:val="24"/>
                <w:highlight w:val="none"/>
                <w:u w:val="none" w:color="auto"/>
                <w:lang w:val="en-US" w:eastAsia="zh-CN"/>
              </w:rPr>
              <w:t>的排放浓度均为6.667</w:t>
            </w:r>
            <w:r>
              <w:rPr>
                <w:rFonts w:hint="eastAsia"/>
                <w:bCs/>
                <w:i w:val="0"/>
                <w:iCs w:val="0"/>
                <w:color w:val="auto"/>
                <w:kern w:val="0"/>
                <w:sz w:val="24"/>
                <w:highlight w:val="none"/>
                <w:u w:val="none" w:color="auto"/>
              </w:rPr>
              <w:t>mg/m</w:t>
            </w:r>
            <w:r>
              <w:rPr>
                <w:rFonts w:hint="eastAsia"/>
                <w:bCs/>
                <w:i w:val="0"/>
                <w:iCs w:val="0"/>
                <w:color w:val="auto"/>
                <w:kern w:val="0"/>
                <w:sz w:val="24"/>
                <w:highlight w:val="none"/>
                <w:u w:val="none" w:color="auto"/>
                <w:vertAlign w:val="superscript"/>
              </w:rPr>
              <w:t>3</w:t>
            </w:r>
            <w:ins w:id="4" w:author="Administrator" w:date="2025-10-03T20:47:03Z">
              <w:r>
                <w:rPr>
                  <w:rFonts w:hint="eastAsia"/>
                  <w:bCs/>
                  <w:i w:val="0"/>
                  <w:iCs w:val="0"/>
                  <w:color w:val="auto"/>
                  <w:kern w:val="0"/>
                  <w:sz w:val="24"/>
                  <w:highlight w:val="none"/>
                  <w:u w:val="none" w:color="auto"/>
                  <w:vertAlign w:val="superscript"/>
                  <w:lang w:eastAsia="zh-CN"/>
                </w:rPr>
                <w:t>，</w:t>
              </w:r>
            </w:ins>
            <w:del w:id="5" w:author="Administrator" w:date="2025-10-03T20:47:02Z">
              <w:r>
                <w:rPr>
                  <w:rFonts w:hint="eastAsia"/>
                  <w:bCs/>
                  <w:i w:val="0"/>
                  <w:iCs w:val="0"/>
                  <w:color w:val="auto"/>
                  <w:kern w:val="0"/>
                  <w:sz w:val="24"/>
                  <w:highlight w:val="none"/>
                  <w:u w:val="none" w:color="auto"/>
                  <w:lang w:eastAsia="zh-CN"/>
                </w:rPr>
                <w:delText>；</w:delText>
              </w:r>
            </w:del>
            <w:r>
              <w:rPr>
                <w:rFonts w:hint="eastAsia"/>
                <w:bCs/>
                <w:i w:val="0"/>
                <w:iCs w:val="0"/>
                <w:color w:val="auto"/>
                <w:kern w:val="0"/>
                <w:sz w:val="24"/>
                <w:highlight w:val="none"/>
                <w:u w:val="none" w:color="auto"/>
              </w:rPr>
              <w:t>可以满足《餐饮业油烟污染物排放标准》（DB41/1604-2018）</w:t>
            </w:r>
            <w:r>
              <w:rPr>
                <w:rFonts w:hint="eastAsia"/>
                <w:bCs/>
                <w:i w:val="0"/>
                <w:iCs w:val="0"/>
                <w:color w:val="auto"/>
                <w:kern w:val="0"/>
                <w:sz w:val="24"/>
                <w:highlight w:val="none"/>
                <w:u w:val="none" w:color="auto"/>
                <w:lang w:val="en-US" w:eastAsia="zh-CN"/>
              </w:rPr>
              <w:t>大型规模</w:t>
            </w:r>
            <w:r>
              <w:rPr>
                <w:rFonts w:hint="eastAsia"/>
                <w:i w:val="0"/>
                <w:iCs w:val="0"/>
                <w:color w:val="auto"/>
                <w:sz w:val="24"/>
                <w:szCs w:val="24"/>
                <w:highlight w:val="none"/>
                <w:u w:val="none" w:color="auto"/>
                <w:lang w:val="en-US" w:eastAsia="zh-CN"/>
              </w:rPr>
              <w:t>排放限值</w:t>
            </w:r>
            <w:r>
              <w:rPr>
                <w:i w:val="0"/>
                <w:iCs w:val="0"/>
                <w:color w:val="auto"/>
                <w:sz w:val="24"/>
                <w:szCs w:val="24"/>
                <w:highlight w:val="none"/>
                <w:u w:val="none" w:color="auto"/>
              </w:rPr>
              <w:t>要求</w:t>
            </w:r>
            <w:r>
              <w:rPr>
                <w:rFonts w:hint="eastAsia"/>
                <w:color w:val="auto"/>
                <w:sz w:val="24"/>
                <w:szCs w:val="24"/>
                <w:highlight w:val="none"/>
              </w:rPr>
              <w:t>；</w:t>
            </w:r>
            <w:r>
              <w:rPr>
                <w:color w:val="000000"/>
                <w:sz w:val="24"/>
                <w:highlight w:val="none"/>
              </w:rPr>
              <w:t>项</w:t>
            </w:r>
            <w:r>
              <w:rPr>
                <w:rFonts w:hint="eastAsia"/>
                <w:color w:val="000000"/>
                <w:sz w:val="24"/>
                <w:highlight w:val="none"/>
                <w:lang w:val="en-US" w:eastAsia="zh-CN"/>
              </w:rPr>
              <w:t>目8</w:t>
            </w:r>
            <w:r>
              <w:rPr>
                <w:color w:val="000000"/>
                <w:sz w:val="24"/>
                <w:highlight w:val="none"/>
              </w:rPr>
              <w:t>台</w:t>
            </w:r>
            <w:r>
              <w:rPr>
                <w:rFonts w:hint="eastAsia"/>
                <w:color w:val="000000"/>
                <w:sz w:val="24"/>
                <w:highlight w:val="none"/>
                <w:lang w:val="en-US" w:eastAsia="zh-CN"/>
              </w:rPr>
              <w:t>0.1</w:t>
            </w:r>
            <w:r>
              <w:rPr>
                <w:rFonts w:hint="eastAsia"/>
                <w:color w:val="000000"/>
                <w:sz w:val="24"/>
                <w:highlight w:val="none"/>
              </w:rPr>
              <w:t>t</w:t>
            </w:r>
            <w:r>
              <w:rPr>
                <w:color w:val="000000"/>
                <w:sz w:val="24"/>
                <w:highlight w:val="none"/>
              </w:rPr>
              <w:t>/h</w:t>
            </w:r>
            <w:r>
              <w:rPr>
                <w:rFonts w:hint="eastAsia"/>
                <w:color w:val="000000"/>
                <w:sz w:val="24"/>
                <w:highlight w:val="none"/>
                <w:lang w:eastAsia="zh-CN"/>
              </w:rPr>
              <w:t>、</w:t>
            </w:r>
            <w:r>
              <w:rPr>
                <w:rFonts w:hint="eastAsia"/>
                <w:color w:val="000000"/>
                <w:sz w:val="24"/>
                <w:highlight w:val="none"/>
                <w:lang w:val="en-US" w:eastAsia="zh-CN"/>
              </w:rPr>
              <w:t>6台0.15t/h以及1台0.2t/h蒸汽发生器</w:t>
            </w:r>
            <w:r>
              <w:rPr>
                <w:color w:val="000000"/>
                <w:sz w:val="24"/>
                <w:highlight w:val="none"/>
              </w:rPr>
              <w:t>废气经</w:t>
            </w:r>
            <w:commentRangeStart w:id="26"/>
            <w:r>
              <w:rPr>
                <w:color w:val="000000"/>
                <w:sz w:val="24"/>
                <w:highlight w:val="none"/>
              </w:rPr>
              <w:t>低氮燃烧+</w:t>
            </w:r>
            <w:commentRangeEnd w:id="26"/>
            <w:r>
              <w:commentReference w:id="26"/>
            </w:r>
            <w:r>
              <w:rPr>
                <w:color w:val="000000"/>
                <w:sz w:val="24"/>
                <w:highlight w:val="none"/>
              </w:rPr>
              <w:t>烟气循环</w:t>
            </w:r>
            <w:r>
              <w:rPr>
                <w:rFonts w:hint="eastAsia"/>
                <w:color w:val="000000"/>
                <w:sz w:val="24"/>
                <w:highlight w:val="none"/>
              </w:rPr>
              <w:t>系统</w:t>
            </w:r>
            <w:r>
              <w:rPr>
                <w:color w:val="000000"/>
                <w:sz w:val="24"/>
                <w:highlight w:val="none"/>
              </w:rPr>
              <w:t>处理后</w:t>
            </w:r>
            <w:r>
              <w:rPr>
                <w:color w:val="000000" w:themeColor="text1"/>
                <w:sz w:val="24"/>
                <w:highlight w:val="none"/>
                <w:lang w:bidi="ar"/>
                <w14:textFill>
                  <w14:solidFill>
                    <w14:schemeClr w14:val="tx1"/>
                  </w14:solidFill>
                </w14:textFill>
              </w:rPr>
              <w:t>颗粒物</w:t>
            </w:r>
            <w:r>
              <w:rPr>
                <w:rFonts w:hint="eastAsia"/>
                <w:color w:val="000000" w:themeColor="text1"/>
                <w:sz w:val="24"/>
                <w:highlight w:val="none"/>
                <w:lang w:val="en-US" w:eastAsia="zh-CN" w:bidi="ar"/>
                <w14:textFill>
                  <w14:solidFill>
                    <w14:schemeClr w14:val="tx1"/>
                  </w14:solidFill>
                </w14:textFill>
              </w:rPr>
              <w:t>排放</w:t>
            </w:r>
            <w:r>
              <w:rPr>
                <w:color w:val="000000" w:themeColor="text1"/>
                <w:sz w:val="24"/>
                <w:highlight w:val="none"/>
                <w:lang w:bidi="ar"/>
                <w14:textFill>
                  <w14:solidFill>
                    <w14:schemeClr w14:val="tx1"/>
                  </w14:solidFill>
                </w14:textFill>
              </w:rPr>
              <w:t>浓度为</w:t>
            </w:r>
            <w:r>
              <w:rPr>
                <w:rFonts w:hint="eastAsia"/>
                <w:color w:val="000000" w:themeColor="text1"/>
                <w:sz w:val="24"/>
                <w:highlight w:val="none"/>
                <w:lang w:val="en-US" w:eastAsia="zh-CN" w:bidi="ar"/>
                <w14:textFill>
                  <w14:solidFill>
                    <w14:schemeClr w14:val="tx1"/>
                  </w14:solidFill>
                </w14:textFill>
              </w:rPr>
              <w:t>4.640</w:t>
            </w:r>
            <w:r>
              <w:rPr>
                <w:color w:val="000000" w:themeColor="text1"/>
                <w:sz w:val="24"/>
                <w:highlight w:val="none"/>
                <w:lang w:bidi="ar"/>
                <w14:textFill>
                  <w14:solidFill>
                    <w14:schemeClr w14:val="tx1"/>
                  </w14:solidFill>
                </w14:textFill>
              </w:rPr>
              <w:t>mg/m</w:t>
            </w:r>
            <w:r>
              <w:rPr>
                <w:color w:val="000000" w:themeColor="text1"/>
                <w:sz w:val="24"/>
                <w:highlight w:val="none"/>
                <w:vertAlign w:val="superscript"/>
                <w:lang w:bidi="ar"/>
                <w14:textFill>
                  <w14:solidFill>
                    <w14:schemeClr w14:val="tx1"/>
                  </w14:solidFill>
                </w14:textFill>
              </w:rPr>
              <w:t>3</w:t>
            </w:r>
            <w:r>
              <w:rPr>
                <w:color w:val="000000" w:themeColor="text1"/>
                <w:sz w:val="24"/>
                <w:highlight w:val="none"/>
                <w:lang w:bidi="ar"/>
                <w14:textFill>
                  <w14:solidFill>
                    <w14:schemeClr w14:val="tx1"/>
                  </w14:solidFill>
                </w14:textFill>
              </w:rPr>
              <w:t>，二氧化硫</w:t>
            </w:r>
            <w:r>
              <w:rPr>
                <w:rFonts w:hint="eastAsia"/>
                <w:color w:val="000000" w:themeColor="text1"/>
                <w:sz w:val="24"/>
                <w:highlight w:val="none"/>
                <w:lang w:val="en-US" w:eastAsia="zh-CN" w:bidi="ar"/>
                <w14:textFill>
                  <w14:solidFill>
                    <w14:schemeClr w14:val="tx1"/>
                  </w14:solidFill>
                </w14:textFill>
              </w:rPr>
              <w:t>排放</w:t>
            </w:r>
            <w:r>
              <w:rPr>
                <w:color w:val="000000" w:themeColor="text1"/>
                <w:sz w:val="24"/>
                <w:highlight w:val="none"/>
                <w:lang w:bidi="ar"/>
                <w14:textFill>
                  <w14:solidFill>
                    <w14:schemeClr w14:val="tx1"/>
                  </w14:solidFill>
                </w14:textFill>
              </w:rPr>
              <w:t>浓度为3.</w:t>
            </w:r>
            <w:r>
              <w:rPr>
                <w:rFonts w:hint="eastAsia"/>
                <w:color w:val="000000" w:themeColor="text1"/>
                <w:sz w:val="24"/>
                <w:highlight w:val="none"/>
                <w:lang w:val="en-US" w:eastAsia="zh-CN" w:bidi="ar"/>
                <w14:textFill>
                  <w14:solidFill>
                    <w14:schemeClr w14:val="tx1"/>
                  </w14:solidFill>
                </w14:textFill>
              </w:rPr>
              <w:t>712</w:t>
            </w:r>
            <w:r>
              <w:rPr>
                <w:color w:val="000000" w:themeColor="text1"/>
                <w:sz w:val="24"/>
                <w:highlight w:val="none"/>
                <w:lang w:bidi="ar"/>
                <w14:textFill>
                  <w14:solidFill>
                    <w14:schemeClr w14:val="tx1"/>
                  </w14:solidFill>
                </w14:textFill>
              </w:rPr>
              <w:t>mg/m</w:t>
            </w:r>
            <w:r>
              <w:rPr>
                <w:color w:val="000000" w:themeColor="text1"/>
                <w:sz w:val="24"/>
                <w:highlight w:val="none"/>
                <w:vertAlign w:val="superscript"/>
                <w:lang w:bidi="ar"/>
                <w14:textFill>
                  <w14:solidFill>
                    <w14:schemeClr w14:val="tx1"/>
                  </w14:solidFill>
                </w14:textFill>
              </w:rPr>
              <w:t>3</w:t>
            </w:r>
            <w:r>
              <w:rPr>
                <w:color w:val="000000" w:themeColor="text1"/>
                <w:sz w:val="24"/>
                <w:highlight w:val="none"/>
                <w:lang w:bidi="ar"/>
                <w14:textFill>
                  <w14:solidFill>
                    <w14:schemeClr w14:val="tx1"/>
                  </w14:solidFill>
                </w14:textFill>
              </w:rPr>
              <w:t>，氮氧化物</w:t>
            </w:r>
            <w:r>
              <w:rPr>
                <w:rFonts w:hint="eastAsia"/>
                <w:color w:val="000000" w:themeColor="text1"/>
                <w:sz w:val="24"/>
                <w:highlight w:val="none"/>
                <w:lang w:val="en-US" w:eastAsia="zh-CN" w:bidi="ar"/>
                <w14:textFill>
                  <w14:solidFill>
                    <w14:schemeClr w14:val="tx1"/>
                  </w14:solidFill>
                </w14:textFill>
              </w:rPr>
              <w:t>排放</w:t>
            </w:r>
            <w:r>
              <w:rPr>
                <w:color w:val="000000" w:themeColor="text1"/>
                <w:sz w:val="24"/>
                <w:highlight w:val="none"/>
                <w:lang w:bidi="ar"/>
                <w14:textFill>
                  <w14:solidFill>
                    <w14:schemeClr w14:val="tx1"/>
                  </w14:solidFill>
                </w14:textFill>
              </w:rPr>
              <w:t>浓度为</w:t>
            </w:r>
            <w:r>
              <w:rPr>
                <w:rFonts w:hint="eastAsia"/>
                <w:color w:val="000000" w:themeColor="text1"/>
                <w:sz w:val="24"/>
                <w:highlight w:val="none"/>
                <w:lang w:val="en-US" w:eastAsia="zh-CN" w:bidi="ar"/>
                <w14:textFill>
                  <w14:solidFill>
                    <w14:schemeClr w14:val="tx1"/>
                  </w14:solidFill>
                </w14:textFill>
              </w:rPr>
              <w:t>28.120</w:t>
            </w:r>
            <w:r>
              <w:rPr>
                <w:color w:val="000000" w:themeColor="text1"/>
                <w:sz w:val="24"/>
                <w:highlight w:val="none"/>
                <w:lang w:bidi="ar"/>
                <w14:textFill>
                  <w14:solidFill>
                    <w14:schemeClr w14:val="tx1"/>
                  </w14:solidFill>
                </w14:textFill>
              </w:rPr>
              <w:t>mg/m</w:t>
            </w:r>
            <w:r>
              <w:rPr>
                <w:color w:val="000000" w:themeColor="text1"/>
                <w:sz w:val="24"/>
                <w:highlight w:val="none"/>
                <w:vertAlign w:val="superscript"/>
                <w:lang w:bidi="ar"/>
                <w14:textFill>
                  <w14:solidFill>
                    <w14:schemeClr w14:val="tx1"/>
                  </w14:solidFill>
                </w14:textFill>
              </w:rPr>
              <w:t>3</w:t>
            </w:r>
            <w:r>
              <w:rPr>
                <w:rFonts w:hint="eastAsia"/>
                <w:color w:val="000000"/>
                <w:sz w:val="24"/>
                <w:highlight w:val="none"/>
              </w:rPr>
              <w:t>，可以满足《河南省地方标准 锅炉大气污染物排放标准》（DB41/2089-2021）表1中新建燃气锅炉标准及《河南省重污染天气通用行业应急减排措施制定技术指南》（2024年修订版）涉锅炉/炉窑企业绩效A级燃气锅炉排放限值要求，废气处理措施可行</w:t>
            </w:r>
            <w:r>
              <w:rPr>
                <w:rFonts w:hint="eastAsia"/>
                <w:bCs/>
                <w:color w:val="auto"/>
                <w:kern w:val="0"/>
                <w:sz w:val="24"/>
                <w:szCs w:val="24"/>
                <w:highlight w:val="none"/>
              </w:rPr>
              <w:t>；</w:t>
            </w:r>
            <w:r>
              <w:rPr>
                <w:rFonts w:hint="eastAsia"/>
                <w:color w:val="auto"/>
                <w:sz w:val="24"/>
                <w:szCs w:val="24"/>
                <w:highlight w:val="none"/>
              </w:rPr>
              <w:t>因此，废气治理措施可行</w:t>
            </w:r>
            <w:r>
              <w:rPr>
                <w:rFonts w:hint="eastAsia"/>
                <w:bCs/>
                <w:color w:val="auto"/>
                <w:kern w:val="0"/>
                <w:sz w:val="24"/>
                <w:szCs w:val="24"/>
                <w:highlight w:val="none"/>
              </w:rPr>
              <w:t>。</w:t>
            </w:r>
          </w:p>
          <w:p w14:paraId="3ED8BCDA">
            <w:pPr>
              <w:tabs>
                <w:tab w:val="left" w:pos="1081"/>
              </w:tabs>
              <w:adjustRightInd w:val="0"/>
              <w:snapToGrid w:val="0"/>
              <w:spacing w:line="360" w:lineRule="auto"/>
              <w:ind w:firstLine="480" w:firstLineChars="200"/>
              <w:rPr>
                <w:color w:val="auto"/>
                <w:sz w:val="24"/>
              </w:rPr>
            </w:pPr>
            <w:r>
              <w:rPr>
                <w:rFonts w:hint="eastAsia"/>
                <w:color w:val="auto"/>
                <w:sz w:val="24"/>
              </w:rPr>
              <w:t>因此，项目建设对区域大气环境质量不会产生明显不良影响。</w:t>
            </w:r>
          </w:p>
          <w:p w14:paraId="0E086090">
            <w:pPr>
              <w:widowControl/>
              <w:adjustRightInd w:val="0"/>
              <w:snapToGrid w:val="0"/>
              <w:spacing w:line="360" w:lineRule="auto"/>
              <w:ind w:firstLine="480" w:firstLineChars="200"/>
              <w:rPr>
                <w:bCs/>
                <w:color w:val="000000" w:themeColor="text1"/>
                <w:sz w:val="24"/>
                <w:highlight w:val="yellow"/>
                <w14:textFill>
                  <w14:solidFill>
                    <w14:schemeClr w14:val="tx1"/>
                  </w14:solidFill>
                </w14:textFill>
              </w:rPr>
            </w:pPr>
            <w:r>
              <w:rPr>
                <w:rFonts w:hint="default" w:ascii="Times New Roman" w:hAnsi="Times New Roman" w:cs="Times New Roman"/>
                <w:bCs/>
                <w:color w:val="auto"/>
                <w:kern w:val="0"/>
                <w:sz w:val="24"/>
                <w:u w:val="none"/>
              </w:rPr>
              <w:t>项目周围的地表水体主要为项目西</w:t>
            </w:r>
            <w:r>
              <w:rPr>
                <w:rFonts w:hint="eastAsia" w:cs="Times New Roman"/>
                <w:bCs/>
                <w:color w:val="auto"/>
                <w:kern w:val="0"/>
                <w:sz w:val="24"/>
                <w:u w:val="none"/>
                <w:lang w:val="en-US" w:eastAsia="zh-CN"/>
              </w:rPr>
              <w:t>北</w:t>
            </w:r>
            <w:r>
              <w:rPr>
                <w:rFonts w:hint="default" w:ascii="Times New Roman" w:hAnsi="Times New Roman" w:cs="Times New Roman"/>
                <w:bCs/>
                <w:color w:val="auto"/>
                <w:kern w:val="0"/>
                <w:sz w:val="24"/>
                <w:u w:val="none"/>
              </w:rPr>
              <w:t>侧</w:t>
            </w:r>
            <w:r>
              <w:rPr>
                <w:rFonts w:hint="eastAsia" w:ascii="Times New Roman" w:hAnsi="Times New Roman" w:cs="Times New Roman"/>
                <w:bCs/>
                <w:color w:val="auto"/>
                <w:kern w:val="0"/>
                <w:sz w:val="24"/>
                <w:u w:val="none"/>
                <w:lang w:val="en-US" w:eastAsia="zh-CN"/>
              </w:rPr>
              <w:t>7</w:t>
            </w:r>
            <w:r>
              <w:rPr>
                <w:rFonts w:hint="eastAsia" w:cs="Times New Roman"/>
                <w:bCs/>
                <w:color w:val="auto"/>
                <w:kern w:val="0"/>
                <w:sz w:val="24"/>
                <w:u w:val="none"/>
                <w:lang w:val="en-US" w:eastAsia="zh-CN"/>
              </w:rPr>
              <w:t>53</w:t>
            </w:r>
            <w:r>
              <w:rPr>
                <w:rFonts w:hint="default" w:ascii="Times New Roman" w:hAnsi="Times New Roman" w:cs="Times New Roman"/>
                <w:bCs/>
                <w:color w:val="auto"/>
                <w:kern w:val="0"/>
                <w:sz w:val="24"/>
                <w:u w:val="none"/>
              </w:rPr>
              <w:t>m的</w:t>
            </w:r>
            <w:r>
              <w:rPr>
                <w:rFonts w:hint="eastAsia" w:ascii="Times New Roman" w:hAnsi="Times New Roman" w:cs="Times New Roman"/>
                <w:bCs/>
                <w:color w:val="auto"/>
                <w:kern w:val="0"/>
                <w:sz w:val="24"/>
                <w:u w:val="none"/>
                <w:lang w:val="en-US" w:eastAsia="zh-CN"/>
              </w:rPr>
              <w:t>九曲</w:t>
            </w:r>
            <w:r>
              <w:rPr>
                <w:rFonts w:hint="default" w:ascii="Times New Roman" w:hAnsi="Times New Roman" w:cs="Times New Roman"/>
                <w:bCs/>
                <w:color w:val="auto"/>
                <w:kern w:val="0"/>
                <w:sz w:val="24"/>
                <w:u w:val="none"/>
              </w:rPr>
              <w:t>河，项目采用雨污分流排水系统，</w:t>
            </w:r>
            <w:r>
              <w:rPr>
                <w:color w:val="000000" w:themeColor="text1"/>
                <w:sz w:val="24"/>
                <w14:textFill>
                  <w14:solidFill>
                    <w14:schemeClr w14:val="tx1"/>
                  </w14:solidFill>
                </w14:textFill>
              </w:rPr>
              <w:t>项目区雨水经厂区</w:t>
            </w:r>
            <w:commentRangeStart w:id="27"/>
            <w:r>
              <w:rPr>
                <w:color w:val="000000" w:themeColor="text1"/>
                <w:sz w:val="24"/>
                <w14:textFill>
                  <w14:solidFill>
                    <w14:schemeClr w14:val="tx1"/>
                  </w14:solidFill>
                </w14:textFill>
              </w:rPr>
              <w:t>雨水排放口依地势</w:t>
            </w:r>
            <w:commentRangeEnd w:id="27"/>
            <w:r>
              <w:commentReference w:id="27"/>
            </w:r>
            <w:r>
              <w:rPr>
                <w:color w:val="000000" w:themeColor="text1"/>
                <w:sz w:val="24"/>
                <w14:textFill>
                  <w14:solidFill>
                    <w14:schemeClr w14:val="tx1"/>
                  </w14:solidFill>
                </w14:textFill>
              </w:rPr>
              <w:t>排入</w:t>
            </w:r>
            <w:r>
              <w:rPr>
                <w:rFonts w:hint="eastAsia"/>
                <w:color w:val="000000" w:themeColor="text1"/>
                <w:sz w:val="24"/>
                <w14:textFill>
                  <w14:solidFill>
                    <w14:schemeClr w14:val="tx1"/>
                  </w14:solidFill>
                </w14:textFill>
              </w:rPr>
              <w:t>西</w:t>
            </w:r>
            <w:r>
              <w:rPr>
                <w:rFonts w:hint="eastAsia"/>
                <w:color w:val="000000" w:themeColor="text1"/>
                <w:sz w:val="24"/>
                <w:lang w:val="en-US" w:eastAsia="zh-CN"/>
                <w14:textFill>
                  <w14:solidFill>
                    <w14:schemeClr w14:val="tx1"/>
                  </w14:solidFill>
                </w14:textFill>
              </w:rPr>
              <w:t>南</w:t>
            </w:r>
            <w:r>
              <w:rPr>
                <w:rFonts w:hint="eastAsia"/>
                <w:color w:val="000000" w:themeColor="text1"/>
                <w:sz w:val="24"/>
                <w14:textFill>
                  <w14:solidFill>
                    <w14:schemeClr w14:val="tx1"/>
                  </w14:solidFill>
                </w14:textFill>
              </w:rPr>
              <w:t>侧</w:t>
            </w:r>
            <w:r>
              <w:rPr>
                <w:rFonts w:hint="eastAsia"/>
                <w:color w:val="000000" w:themeColor="text1"/>
                <w:sz w:val="24"/>
                <w:lang w:val="en-US" w:eastAsia="zh-CN"/>
                <w14:textFill>
                  <w14:solidFill>
                    <w14:schemeClr w14:val="tx1"/>
                  </w14:solidFill>
                </w14:textFill>
              </w:rPr>
              <w:t>2.267km</w:t>
            </w:r>
            <w:r>
              <w:rPr>
                <w:rFonts w:hint="eastAsia"/>
                <w:color w:val="000000" w:themeColor="text1"/>
                <w:sz w:val="24"/>
                <w14:textFill>
                  <w14:solidFill>
                    <w14:schemeClr w14:val="tx1"/>
                  </w14:solidFill>
                </w14:textFill>
              </w:rPr>
              <w:t>的</w:t>
            </w:r>
            <w:r>
              <w:rPr>
                <w:rFonts w:hint="eastAsia"/>
                <w:color w:val="000000" w:themeColor="text1"/>
                <w:sz w:val="24"/>
                <w:lang w:val="en-US" w:eastAsia="zh-CN"/>
                <w14:textFill>
                  <w14:solidFill>
                    <w14:schemeClr w14:val="tx1"/>
                  </w14:solidFill>
                </w14:textFill>
              </w:rPr>
              <w:t>赵河</w:t>
            </w:r>
            <w:r>
              <w:rPr>
                <w:rFonts w:hint="default" w:ascii="Times New Roman" w:hAnsi="Times New Roman" w:cs="Times New Roman"/>
                <w:color w:val="000000" w:themeColor="text1"/>
                <w:sz w:val="24"/>
                <w:highlight w:val="none"/>
                <w14:textFill>
                  <w14:solidFill>
                    <w14:schemeClr w14:val="tx1"/>
                  </w14:solidFill>
                </w14:textFill>
              </w:rPr>
              <w:t>。本项目</w:t>
            </w:r>
            <w:r>
              <w:rPr>
                <w:rFonts w:hint="default" w:ascii="Times New Roman" w:hAnsi="Times New Roman" w:cs="Times New Roman"/>
                <w:color w:val="000000" w:themeColor="text1"/>
                <w:sz w:val="24"/>
                <w:highlight w:val="none"/>
                <w:lang w:val="en-US" w:eastAsia="zh-CN"/>
                <w14:textFill>
                  <w14:solidFill>
                    <w14:schemeClr w14:val="tx1"/>
                  </w14:solidFill>
                </w14:textFill>
              </w:rPr>
              <w:t>营运期职工生活污水经化粪池处理后与生产废水混合后经厂区污水处理站处理后，出水水质能够满足《污水综合排放标准》（GB8978-1996）及镇平县第二污水处理厂进水水质指标后经市政污水管网进入镇平县第二污水处理厂进一步处理达到《城镇污水处理厂污染物排放标准》（GB18918-2002）一级A标准后排入赵河</w:t>
            </w:r>
            <w:r>
              <w:rPr>
                <w:rFonts w:hint="default" w:ascii="Times New Roman" w:hAnsi="Times New Roman" w:cs="Times New Roman"/>
                <w:color w:val="000000" w:themeColor="text1"/>
                <w:kern w:val="0"/>
                <w:sz w:val="24"/>
                <w:highlight w:val="none"/>
                <w:lang w:bidi="ar"/>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根据《南阳市地表水环境功能区划分报告》，赵河评价河段执行《地表水环境质量标准》中Ⅲ类水体标准。</w:t>
            </w:r>
            <w:r>
              <w:rPr>
                <w:rFonts w:hint="default" w:ascii="Times New Roman" w:hAnsi="Times New Roman" w:cs="Times New Roman"/>
                <w:bCs/>
                <w:color w:val="000000" w:themeColor="text1"/>
                <w:sz w:val="24"/>
                <w:highlight w:val="none"/>
                <w14:textFill>
                  <w14:solidFill>
                    <w14:schemeClr w14:val="tx1"/>
                  </w14:solidFill>
                </w14:textFill>
              </w:rPr>
              <w:t>因此项目建成后不会对区域地表水体的环境质量造成不良影响。</w:t>
            </w:r>
          </w:p>
          <w:p w14:paraId="43691E29">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本项目所在区域</w:t>
            </w:r>
            <w:commentRangeStart w:id="28"/>
            <w:r>
              <w:rPr>
                <w:bCs/>
                <w:color w:val="000000" w:themeColor="text1"/>
                <w:kern w:val="0"/>
                <w:sz w:val="24"/>
                <w14:textFill>
                  <w14:solidFill>
                    <w14:schemeClr w14:val="tx1"/>
                  </w14:solidFill>
                </w14:textFill>
              </w:rPr>
              <w:t>为2类声环</w:t>
            </w:r>
            <w:commentRangeEnd w:id="28"/>
            <w:r>
              <w:commentReference w:id="28"/>
            </w:r>
            <w:r>
              <w:rPr>
                <w:bCs/>
                <w:color w:val="000000" w:themeColor="text1"/>
                <w:kern w:val="0"/>
                <w:sz w:val="24"/>
                <w14:textFill>
                  <w14:solidFill>
                    <w14:schemeClr w14:val="tx1"/>
                  </w14:solidFill>
                </w14:textFill>
              </w:rPr>
              <w:t>境功能区，项目区域目前能够满足《声环境质量标准》2类标准要求，本项目建成后经采取隔声、减振等降噪措施后，经距离衰减，预计四周厂界噪声影响值可达到《工业企业厂界环境噪声排放标准》（GB12348-2008）中2类标准</w:t>
            </w:r>
            <w:r>
              <w:rPr>
                <w:rFonts w:hint="eastAsia"/>
                <w:bCs/>
                <w:color w:val="000000" w:themeColor="text1"/>
                <w:kern w:val="0"/>
                <w:sz w:val="24"/>
                <w14:textFill>
                  <w14:solidFill>
                    <w14:schemeClr w14:val="tx1"/>
                  </w14:solidFill>
                </w14:textFill>
              </w:rPr>
              <w:t>，周围声环境保护目标处的噪声预测值能够满足《声环境质量标准》</w:t>
            </w:r>
            <w:r>
              <w:rPr>
                <w:bCs/>
                <w:color w:val="000000" w:themeColor="text1"/>
                <w:kern w:val="0"/>
                <w:sz w:val="24"/>
                <w14:textFill>
                  <w14:solidFill>
                    <w14:schemeClr w14:val="tx1"/>
                  </w14:solidFill>
                </w14:textFill>
              </w:rPr>
              <w:t>（GB 3096-2008）</w:t>
            </w:r>
            <w:r>
              <w:rPr>
                <w:rFonts w:hint="eastAsia"/>
                <w:bCs/>
                <w:color w:val="000000" w:themeColor="text1"/>
                <w:kern w:val="0"/>
                <w:sz w:val="24"/>
                <w14:textFill>
                  <w14:solidFill>
                    <w14:schemeClr w14:val="tx1"/>
                  </w14:solidFill>
                </w14:textFill>
              </w:rPr>
              <w:t>2类区标准限值。</w:t>
            </w:r>
            <w:r>
              <w:rPr>
                <w:bCs/>
                <w:color w:val="000000" w:themeColor="text1"/>
                <w:kern w:val="0"/>
                <w:sz w:val="24"/>
                <w14:textFill>
                  <w14:solidFill>
                    <w14:schemeClr w14:val="tx1"/>
                  </w14:solidFill>
                </w14:textFill>
              </w:rPr>
              <w:t>本项目建设运营不会改变项目所在区域的声环境功能，因此项目建设声环境质量是符合要求的。</w:t>
            </w:r>
          </w:p>
          <w:p w14:paraId="142A5963">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（3）资源利用上线</w:t>
            </w:r>
          </w:p>
          <w:p w14:paraId="4838B27E">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资源是环境的载体，</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资源利用上线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地区能源、水、土地等资源消耗不得突破的</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天花板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14:paraId="412893B6">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项目用水由市政供水管网供给，可以满足项目用水需求；能源主要依托市政供电系统供电；根据镇平县先进制造业开发区管理委员会出具的入驻证明，项目建设符合镇平县先进制造业开发区规划要求，因此，项目资源利用满足要求。</w:t>
            </w:r>
          </w:p>
          <w:p w14:paraId="03D6F0CD">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（4）环境准入负面清单</w:t>
            </w:r>
          </w:p>
          <w:p w14:paraId="4DFD245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sz w:val="24"/>
                <w:lang w:val="en-US" w:eastAsia="zh-CN"/>
              </w:rPr>
              <w:t>南阳市镇平县乡村振兴创业园4号楼1楼南</w:t>
            </w:r>
            <w:r>
              <w:rPr>
                <w:color w:val="000000" w:themeColor="text1"/>
                <w:sz w:val="24"/>
                <w14:textFill>
                  <w14:solidFill>
                    <w14:schemeClr w14:val="tx1"/>
                  </w14:solidFill>
                </w14:textFill>
              </w:rPr>
              <w:t>，经比对南阳市生态环境局《</w:t>
            </w:r>
            <w:commentRangeStart w:id="29"/>
            <w:r>
              <w:rPr>
                <w:color w:val="000000" w:themeColor="text1"/>
                <w:sz w:val="24"/>
                <w14:textFill>
                  <w14:solidFill>
                    <w14:schemeClr w14:val="tx1"/>
                  </w14:solidFill>
                </w14:textFill>
              </w:rPr>
              <w:t>南阳市</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三线一单</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生态环境分局管控准入清单（试行）》的函（宛环函〔2021〕37号）</w:t>
            </w:r>
            <w:commentRangeEnd w:id="29"/>
            <w:r>
              <w:commentReference w:id="29"/>
            </w:r>
            <w:r>
              <w:rPr>
                <w:rFonts w:hint="eastAsia"/>
                <w:color w:val="000000" w:themeColor="text1"/>
                <w:sz w:val="24"/>
                <w14:textFill>
                  <w14:solidFill>
                    <w14:schemeClr w14:val="tx1"/>
                  </w14:solidFill>
                </w14:textFill>
              </w:rPr>
              <w:t>、《南阳市“三线一单”生态环境准入清单（2023年更新）》</w:t>
            </w:r>
            <w:r>
              <w:rPr>
                <w:color w:val="000000" w:themeColor="text1"/>
                <w:sz w:val="24"/>
                <w14:textFill>
                  <w14:solidFill>
                    <w14:schemeClr w14:val="tx1"/>
                  </w14:solidFill>
                </w14:textFill>
              </w:rPr>
              <w:t>及河南省生态环境厅三线一单综合信息应用平台，</w:t>
            </w:r>
            <w:r>
              <w:rPr>
                <w:rFonts w:hint="eastAsia"/>
                <w:color w:val="000000" w:themeColor="text1"/>
                <w:sz w:val="24"/>
                <w14:textFill>
                  <w14:solidFill>
                    <w14:schemeClr w14:val="tx1"/>
                  </w14:solidFill>
                </w14:textFill>
              </w:rPr>
              <w:t>项目位于镇平县先进制造业开发区，单元编号ZH41132420001，根据</w:t>
            </w:r>
            <w:r>
              <w:rPr>
                <w:color w:val="000000" w:themeColor="text1"/>
                <w:sz w:val="24"/>
                <w14:textFill>
                  <w14:solidFill>
                    <w14:schemeClr w14:val="tx1"/>
                  </w14:solidFill>
                </w14:textFill>
              </w:rPr>
              <w:t>研判分析及对比结果如下。</w:t>
            </w:r>
          </w:p>
          <w:p w14:paraId="0EE486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bCs/>
                <w:color w:val="000000"/>
                <w:kern w:val="0"/>
                <w:sz w:val="24"/>
                <w:szCs w:val="24"/>
              </w:rPr>
            </w:pPr>
            <w:r>
              <w:rPr>
                <w:color w:val="000000" w:themeColor="text1"/>
                <w:sz w:val="24"/>
                <w14:textFill>
                  <w14:solidFill>
                    <w14:schemeClr w14:val="tx1"/>
                  </w14:solidFill>
                </w14:textFill>
              </w:rPr>
              <w:t>经比对，项目涉及1个河南省环境管控单元，其中优先保护单元0个,重点管控单元1个,一般管控单元0个，详见下表。</w:t>
            </w:r>
          </w:p>
        </w:tc>
      </w:tr>
    </w:tbl>
    <w:p w14:paraId="02E08CD1">
      <w:pPr>
        <w:ind w:left="0" w:leftChars="0" w:firstLine="0" w:firstLineChars="0"/>
        <w:sectPr>
          <w:footerReference r:id="rId7" w:type="default"/>
          <w:pgSz w:w="11906" w:h="16838"/>
          <w:pgMar w:top="1440" w:right="1083" w:bottom="1440" w:left="1083" w:header="851" w:footer="992" w:gutter="0"/>
          <w:pgNumType w:fmt="decimal" w:start="1"/>
          <w:cols w:space="0" w:num="1"/>
          <w:rtlGutter w:val="0"/>
          <w:docGrid w:type="lines" w:linePitch="312" w:charSpace="0"/>
        </w:sectPr>
      </w:pPr>
    </w:p>
    <w:p w14:paraId="3096EC35">
      <w:pPr>
        <w:tabs>
          <w:tab w:val="left" w:pos="1081"/>
        </w:tabs>
        <w:adjustRightInd w:val="0"/>
        <w:snapToGrid w:val="0"/>
        <w:spacing w:line="360" w:lineRule="auto"/>
        <w:ind w:firstLine="482" w:firstLineChars="200"/>
        <w:jc w:val="center"/>
        <w:rPr>
          <w:b/>
          <w:bCs/>
          <w:spacing w:val="-2"/>
          <w:sz w:val="24"/>
        </w:rPr>
      </w:pPr>
      <w:r>
        <w:rPr>
          <w:b/>
          <w:bCs/>
          <w:sz w:val="24"/>
        </w:rPr>
        <w:t>表</w:t>
      </w:r>
      <w:r>
        <w:rPr>
          <w:rFonts w:hint="eastAsia"/>
          <w:b/>
          <w:bCs/>
          <w:sz w:val="24"/>
        </w:rPr>
        <w:t>1-</w:t>
      </w:r>
      <w:r>
        <w:rPr>
          <w:rFonts w:hint="eastAsia"/>
          <w:b/>
          <w:bCs/>
          <w:sz w:val="24"/>
          <w:lang w:val="en-US" w:eastAsia="zh-CN"/>
        </w:rPr>
        <w:t>8</w:t>
      </w:r>
      <w:r>
        <w:rPr>
          <w:b/>
          <w:bCs/>
          <w:sz w:val="24"/>
        </w:rPr>
        <w:t xml:space="preserve">  </w:t>
      </w:r>
      <w:r>
        <w:rPr>
          <w:b/>
          <w:bCs/>
          <w:spacing w:val="-2"/>
          <w:sz w:val="24"/>
        </w:rPr>
        <w:t>项目</w:t>
      </w:r>
      <w:r>
        <w:rPr>
          <w:b/>
          <w:bCs/>
          <w:kern w:val="0"/>
          <w:sz w:val="24"/>
        </w:rPr>
        <w:t>河南省生态环境厅三线一单综合信息应用平台比对分析</w:t>
      </w:r>
    </w:p>
    <w:tbl>
      <w:tblPr>
        <w:tblStyle w:val="20"/>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63"/>
        <w:gridCol w:w="734"/>
        <w:gridCol w:w="416"/>
        <w:gridCol w:w="400"/>
        <w:gridCol w:w="467"/>
        <w:gridCol w:w="417"/>
        <w:gridCol w:w="750"/>
        <w:gridCol w:w="683"/>
        <w:gridCol w:w="4850"/>
        <w:gridCol w:w="2900"/>
        <w:gridCol w:w="683"/>
      </w:tblGrid>
      <w:tr w14:paraId="3F1A63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restart"/>
            <w:vAlign w:val="center"/>
          </w:tcPr>
          <w:p w14:paraId="35761CF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环境管控单元编码</w:t>
            </w:r>
          </w:p>
        </w:tc>
        <w:tc>
          <w:tcPr>
            <w:tcW w:w="259" w:type="pct"/>
            <w:vMerge w:val="restart"/>
            <w:vAlign w:val="center"/>
          </w:tcPr>
          <w:p w14:paraId="4321F14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环境管控单元名称</w:t>
            </w:r>
          </w:p>
        </w:tc>
        <w:tc>
          <w:tcPr>
            <w:tcW w:w="600" w:type="pct"/>
            <w:gridSpan w:val="4"/>
            <w:vAlign w:val="center"/>
          </w:tcPr>
          <w:p w14:paraId="591D6B3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行政区划</w:t>
            </w:r>
          </w:p>
        </w:tc>
        <w:tc>
          <w:tcPr>
            <w:tcW w:w="264" w:type="pct"/>
            <w:vMerge w:val="restart"/>
            <w:vAlign w:val="center"/>
          </w:tcPr>
          <w:p w14:paraId="48FEC8F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管控单元分类</w:t>
            </w:r>
          </w:p>
        </w:tc>
        <w:tc>
          <w:tcPr>
            <w:tcW w:w="1953" w:type="pct"/>
            <w:gridSpan w:val="2"/>
            <w:vMerge w:val="restart"/>
            <w:vAlign w:val="center"/>
          </w:tcPr>
          <w:p w14:paraId="05FDFF1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管控要求</w:t>
            </w:r>
          </w:p>
        </w:tc>
        <w:tc>
          <w:tcPr>
            <w:tcW w:w="1023" w:type="pct"/>
            <w:vMerge w:val="restart"/>
            <w:vAlign w:val="center"/>
          </w:tcPr>
          <w:p w14:paraId="4603601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本项目情况</w:t>
            </w:r>
          </w:p>
        </w:tc>
        <w:tc>
          <w:tcPr>
            <w:tcW w:w="241" w:type="pct"/>
            <w:vMerge w:val="restart"/>
            <w:vAlign w:val="center"/>
          </w:tcPr>
          <w:p w14:paraId="1BBDF44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相符性</w:t>
            </w:r>
          </w:p>
        </w:tc>
      </w:tr>
      <w:tr w14:paraId="31C9E7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vAlign w:val="center"/>
          </w:tcPr>
          <w:p w14:paraId="5303430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4A3FB19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Align w:val="center"/>
          </w:tcPr>
          <w:p w14:paraId="142CC5A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省</w:t>
            </w:r>
          </w:p>
        </w:tc>
        <w:tc>
          <w:tcPr>
            <w:tcW w:w="141" w:type="pct"/>
            <w:vAlign w:val="center"/>
          </w:tcPr>
          <w:p w14:paraId="5F279C9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市</w:t>
            </w:r>
          </w:p>
        </w:tc>
        <w:tc>
          <w:tcPr>
            <w:tcW w:w="164" w:type="pct"/>
            <w:vAlign w:val="center"/>
          </w:tcPr>
          <w:p w14:paraId="5369865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区县</w:t>
            </w:r>
          </w:p>
        </w:tc>
        <w:tc>
          <w:tcPr>
            <w:tcW w:w="147" w:type="pct"/>
            <w:vAlign w:val="center"/>
          </w:tcPr>
          <w:p w14:paraId="28996B5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乡镇</w:t>
            </w:r>
          </w:p>
        </w:tc>
        <w:tc>
          <w:tcPr>
            <w:tcW w:w="264" w:type="pct"/>
            <w:vMerge w:val="continue"/>
            <w:vAlign w:val="center"/>
          </w:tcPr>
          <w:p w14:paraId="4BDA0F4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953" w:type="pct"/>
            <w:gridSpan w:val="2"/>
            <w:vMerge w:val="continue"/>
            <w:vAlign w:val="center"/>
          </w:tcPr>
          <w:p w14:paraId="6B6DF9D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023" w:type="pct"/>
            <w:vMerge w:val="continue"/>
          </w:tcPr>
          <w:p w14:paraId="6058EEA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vMerge w:val="continue"/>
          </w:tcPr>
          <w:p w14:paraId="053499D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r>
      <w:tr w14:paraId="452DE7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restart"/>
            <w:shd w:val="clear" w:color="auto" w:fill="auto"/>
            <w:vAlign w:val="center"/>
          </w:tcPr>
          <w:p w14:paraId="2F08083F">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2"/>
                <w:sz w:val="21"/>
                <w:szCs w:val="21"/>
                <w14:textFill>
                  <w14:solidFill>
                    <w14:schemeClr w14:val="tx1"/>
                  </w14:solidFill>
                </w14:textFill>
              </w:rPr>
              <w:t>ZH41132420001</w:t>
            </w:r>
          </w:p>
        </w:tc>
        <w:tc>
          <w:tcPr>
            <w:tcW w:w="259" w:type="pct"/>
            <w:vMerge w:val="restart"/>
            <w:shd w:val="clear" w:color="auto" w:fill="auto"/>
            <w:vAlign w:val="center"/>
          </w:tcPr>
          <w:p w14:paraId="6FC7ACB4">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镇平县</w:t>
            </w:r>
            <w:r>
              <w:rPr>
                <w:rFonts w:hint="default" w:ascii="Times New Roman" w:hAnsi="Times New Roman" w:cs="Times New Roman"/>
                <w:color w:val="000000" w:themeColor="text1"/>
                <w:spacing w:val="-5"/>
                <w:sz w:val="21"/>
                <w:szCs w:val="21"/>
                <w:lang w:eastAsia="zh-CN"/>
                <w14:textFill>
                  <w14:solidFill>
                    <w14:schemeClr w14:val="tx1"/>
                  </w14:solidFill>
                </w14:textFill>
              </w:rPr>
              <w:t>先进制</w:t>
            </w:r>
          </w:p>
          <w:p w14:paraId="16E37579">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造业开</w:t>
            </w:r>
            <w:r>
              <w:rPr>
                <w:rFonts w:hint="default" w:ascii="Times New Roman" w:hAnsi="Times New Roman" w:cs="Times New Roman"/>
                <w:color w:val="000000" w:themeColor="text1"/>
                <w:spacing w:val="-7"/>
                <w:sz w:val="21"/>
                <w:szCs w:val="21"/>
                <w:lang w:eastAsia="zh-CN"/>
                <w14:textFill>
                  <w14:solidFill>
                    <w14:schemeClr w14:val="tx1"/>
                  </w14:solidFill>
                </w14:textFill>
              </w:rPr>
              <w:t>发区</w:t>
            </w:r>
          </w:p>
        </w:tc>
        <w:tc>
          <w:tcPr>
            <w:tcW w:w="146" w:type="pct"/>
            <w:vMerge w:val="restart"/>
            <w:vAlign w:val="center"/>
          </w:tcPr>
          <w:p w14:paraId="66B5901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w:t>
            </w:r>
          </w:p>
        </w:tc>
        <w:tc>
          <w:tcPr>
            <w:tcW w:w="141" w:type="pct"/>
            <w:vMerge w:val="restart"/>
            <w:vAlign w:val="center"/>
          </w:tcPr>
          <w:p w14:paraId="5204283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南阳市</w:t>
            </w:r>
          </w:p>
        </w:tc>
        <w:tc>
          <w:tcPr>
            <w:tcW w:w="164" w:type="pct"/>
            <w:vMerge w:val="restart"/>
            <w:vAlign w:val="center"/>
          </w:tcPr>
          <w:p w14:paraId="0ECA35C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镇平县</w:t>
            </w:r>
          </w:p>
        </w:tc>
        <w:tc>
          <w:tcPr>
            <w:tcW w:w="147" w:type="pct"/>
            <w:vMerge w:val="restart"/>
            <w:vAlign w:val="center"/>
          </w:tcPr>
          <w:p w14:paraId="148270E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64" w:type="pct"/>
            <w:vMerge w:val="restart"/>
            <w:vAlign w:val="center"/>
          </w:tcPr>
          <w:p w14:paraId="230D18E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重点管控单元</w:t>
            </w:r>
          </w:p>
        </w:tc>
        <w:tc>
          <w:tcPr>
            <w:tcW w:w="241" w:type="pct"/>
            <w:shd w:val="clear" w:color="auto" w:fill="auto"/>
            <w:vAlign w:val="center"/>
          </w:tcPr>
          <w:p w14:paraId="21C52C1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空间布局约束</w:t>
            </w:r>
          </w:p>
        </w:tc>
        <w:tc>
          <w:tcPr>
            <w:tcW w:w="1712" w:type="pct"/>
            <w:shd w:val="clear" w:color="auto" w:fill="auto"/>
            <w:vAlign w:val="center"/>
          </w:tcPr>
          <w:p w14:paraId="4C8D6FF7">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1、重点发展非金</w:t>
            </w:r>
            <w:commentRangeStart w:id="30"/>
            <w:r>
              <w:rPr>
                <w:rFonts w:hint="default" w:ascii="Times New Roman" w:hAnsi="Times New Roman" w:cs="Times New Roman"/>
                <w:color w:val="000000" w:themeColor="text1"/>
                <w:sz w:val="21"/>
                <w:szCs w:val="21"/>
                <w14:textFill>
                  <w14:solidFill>
                    <w14:schemeClr w14:val="tx1"/>
                  </w14:solidFill>
                </w14:textFill>
              </w:rPr>
              <w:t>屋</w:t>
            </w:r>
            <w:commentRangeEnd w:id="30"/>
            <w:r>
              <w:commentReference w:id="30"/>
            </w:r>
            <w:r>
              <w:rPr>
                <w:rFonts w:hint="default" w:ascii="Times New Roman" w:hAnsi="Times New Roman" w:cs="Times New Roman"/>
                <w:color w:val="000000" w:themeColor="text1"/>
                <w:sz w:val="21"/>
                <w:szCs w:val="21"/>
                <w14:textFill>
                  <w14:solidFill>
                    <w14:schemeClr w14:val="tx1"/>
                  </w14:solidFill>
                </w14:textFill>
              </w:rPr>
              <w:t>制品、高端装备制造、健康医药、绿色食品行业，禁止新建石化、有化学反应的化工、化学合成原料药、煤化工、制浆造纸项目入驻开发区禁止不符合园区规划或规划环评的项目入驻。</w:t>
            </w:r>
          </w:p>
          <w:p w14:paraId="60A9767B">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2、入驻项目应遵循循环经济理念，实施清洁生产，延长产业链</w:t>
            </w:r>
          </w:p>
          <w:p w14:paraId="23D67F17">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3、完善副产品和废物的综合利用产业链，减少废物的产生和排放。</w:t>
            </w:r>
          </w:p>
          <w:p w14:paraId="4A510608">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4、严格落实规划环评及批复文件要求，规划调整修编时应同步开展规划环评。</w:t>
            </w:r>
          </w:p>
          <w:p w14:paraId="5A83CEB7">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5、新建、改建、扩建</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两高</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项目须符合生态环境保护法律法规和相关法定规划，满足重点污然物排放总量控制、碳排放达峰目标、生态环境准入清单、相关规划环评和相应行业建设项目环境准入条件、环评文件审批原则要求。</w:t>
            </w:r>
          </w:p>
        </w:tc>
        <w:tc>
          <w:tcPr>
            <w:tcW w:w="1023" w:type="pct"/>
            <w:vAlign w:val="center"/>
          </w:tcPr>
          <w:p w14:paraId="6CB7F314">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1、本项目属于新建项目，属于</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食品制造业</w:t>
            </w:r>
            <w:commentRangeStart w:id="31"/>
            <w:r>
              <w:rPr>
                <w:rFonts w:hint="default" w:ascii="Times New Roman" w:hAnsi="Times New Roman" w:cs="Times New Roman"/>
                <w:color w:val="000000" w:themeColor="text1"/>
                <w:sz w:val="21"/>
                <w:szCs w:val="21"/>
                <w:highlight w:val="none"/>
                <w14:textFill>
                  <w14:solidFill>
                    <w14:schemeClr w14:val="tx1"/>
                  </w14:solidFill>
                </w14:textFill>
              </w:rPr>
              <w:t>，不属于新建石化、有化学反应的化工、化学合成原料药、煤化工、制浆造纸项目；</w:t>
            </w:r>
            <w:commentRangeEnd w:id="31"/>
            <w:r>
              <w:commentReference w:id="31"/>
            </w:r>
          </w:p>
          <w:p w14:paraId="681FDC24">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2、项目清洁生产预计能够达到国内先进水平；</w:t>
            </w:r>
          </w:p>
          <w:p w14:paraId="675191D7">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3、本项目不涉及；</w:t>
            </w:r>
          </w:p>
          <w:p w14:paraId="106652E4">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4、本项目不涉及；</w:t>
            </w:r>
          </w:p>
          <w:p w14:paraId="559308A7">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5、本项目不属于新建、改建、扩建</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两高</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项目；</w:t>
            </w:r>
          </w:p>
        </w:tc>
        <w:tc>
          <w:tcPr>
            <w:tcW w:w="241" w:type="pct"/>
            <w:vAlign w:val="center"/>
          </w:tcPr>
          <w:p w14:paraId="7626109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1FFC2F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vAlign w:val="center"/>
          </w:tcPr>
          <w:p w14:paraId="28497CBC">
            <w:pPr>
              <w:pStyle w:val="47"/>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68DE26A5">
            <w:pPr>
              <w:pStyle w:val="47"/>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vAlign w:val="center"/>
          </w:tcPr>
          <w:p w14:paraId="70BD7C8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vAlign w:val="center"/>
          </w:tcPr>
          <w:p w14:paraId="67B9925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vAlign w:val="center"/>
          </w:tcPr>
          <w:p w14:paraId="02DC809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vAlign w:val="center"/>
          </w:tcPr>
          <w:p w14:paraId="075C87A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vAlign w:val="center"/>
          </w:tcPr>
          <w:p w14:paraId="2F641F2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shd w:val="clear" w:color="auto" w:fill="auto"/>
            <w:vAlign w:val="center"/>
          </w:tcPr>
          <w:p w14:paraId="6ADD934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污染物排放管控</w:t>
            </w:r>
          </w:p>
        </w:tc>
        <w:tc>
          <w:tcPr>
            <w:tcW w:w="1712" w:type="pct"/>
            <w:shd w:val="clear" w:color="auto" w:fill="auto"/>
            <w:vAlign w:val="center"/>
          </w:tcPr>
          <w:p w14:paraId="284EF97F">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1、继续推进集中供热、供气，</w:t>
            </w:r>
            <w:commentRangeStart w:id="32"/>
            <w:r>
              <w:rPr>
                <w:rFonts w:hint="default" w:ascii="Times New Roman" w:hAnsi="Times New Roman" w:cs="Times New Roman"/>
                <w:color w:val="000000" w:themeColor="text1"/>
                <w:sz w:val="21"/>
                <w:szCs w:val="21"/>
                <w14:textFill>
                  <w14:solidFill>
                    <w14:schemeClr w14:val="tx1"/>
                  </w14:solidFill>
                </w14:textFill>
              </w:rPr>
              <w:t>新建项目不得建设燃煤锅炉，关闭集中供热范围内自</w:t>
            </w:r>
            <w:commentRangeEnd w:id="32"/>
            <w:r>
              <w:commentReference w:id="32"/>
            </w:r>
            <w:r>
              <w:rPr>
                <w:rFonts w:hint="default" w:ascii="Times New Roman" w:hAnsi="Times New Roman" w:cs="Times New Roman"/>
                <w:color w:val="000000" w:themeColor="text1"/>
                <w:sz w:val="21"/>
                <w:szCs w:val="21"/>
                <w14:textFill>
                  <w14:solidFill>
                    <w14:schemeClr w14:val="tx1"/>
                  </w14:solidFill>
                </w14:textFill>
              </w:rPr>
              <w:t>备燃煤锅炉。</w:t>
            </w:r>
          </w:p>
          <w:p w14:paraId="567B81A2">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2、新改扩建设项目主要污染物排放应满足总量减排要求。</w:t>
            </w:r>
          </w:p>
          <w:p w14:paraId="0483B6E0">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3、新建、改建、扩建涉VOCs排放项目应加强废气收集，完善废气收集治理措施，严格VOCs无组织排放治理。</w:t>
            </w:r>
          </w:p>
          <w:p w14:paraId="13E6D708">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4、按照</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清污分流、雨污分流、中水回用</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的要求，完善配套污水管网，确保</w:t>
            </w:r>
            <w:commentRangeStart w:id="33"/>
            <w:r>
              <w:rPr>
                <w:rFonts w:hint="default" w:ascii="Times New Roman" w:hAnsi="Times New Roman" w:cs="Times New Roman"/>
                <w:color w:val="000000" w:themeColor="text1"/>
                <w:sz w:val="21"/>
                <w:szCs w:val="21"/>
                <w14:textFill>
                  <w14:solidFill>
                    <w14:schemeClr w14:val="tx1"/>
                  </w14:solidFill>
                </w14:textFill>
              </w:rPr>
              <w:t>入区企业外排废水全部经管网收集后进入污水处理厂处理</w:t>
            </w:r>
            <w:commentRangeEnd w:id="33"/>
            <w:r>
              <w:commentReference w:id="33"/>
            </w:r>
            <w:r>
              <w:rPr>
                <w:rFonts w:hint="default" w:ascii="Times New Roman" w:hAnsi="Times New Roman" w:cs="Times New Roman"/>
                <w:color w:val="000000" w:themeColor="text1"/>
                <w:sz w:val="21"/>
                <w:szCs w:val="21"/>
                <w14:textFill>
                  <w14:solidFill>
                    <w14:schemeClr w14:val="tx1"/>
                  </w14:solidFill>
                </w14:textFill>
              </w:rPr>
              <w:t>，出水执行《城镇污水处理厂污染物排放标准》（GB18918)一级A标准。</w:t>
            </w:r>
          </w:p>
          <w:p w14:paraId="27AADE7D">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5、新建</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两高</w:t>
            </w:r>
            <w:r>
              <w:rPr>
                <w:rFonts w:hint="eastAsia"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项目应按照《关于加强重点行业建设项目区域削减措施监督管理的通知》要求，依据区域环境质量改善目标，制定配套区域污染物削减方案，采取有效的污染物区域削减措施，腾出足够的环境容量。</w:t>
            </w:r>
          </w:p>
          <w:p w14:paraId="1A022D4E">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6、新建耗煤项目还应严格按规定采取煤炭消费减量替代措施，不得使用高污染燃料作为煤炭减量替代措施。</w:t>
            </w:r>
          </w:p>
          <w:p w14:paraId="1C7AC374">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7、已出台超低排放要求的</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两高</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行业建设项目须满足超低排放要求。</w:t>
            </w:r>
          </w:p>
        </w:tc>
        <w:tc>
          <w:tcPr>
            <w:tcW w:w="1023" w:type="pct"/>
            <w:vAlign w:val="center"/>
          </w:tcPr>
          <w:p w14:paraId="7A2E55F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themeColor="text1"/>
                <w:spacing w:val="-16"/>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1、本项目不涉及</w:t>
            </w:r>
            <w:r>
              <w:rPr>
                <w:rFonts w:hint="default" w:ascii="Times New Roman" w:hAnsi="Times New Roman" w:cs="Times New Roman"/>
                <w:color w:val="000000" w:themeColor="text1"/>
                <w:spacing w:val="-16"/>
                <w:sz w:val="21"/>
                <w:szCs w:val="21"/>
                <w:highlight w:val="none"/>
                <w14:textFill>
                  <w14:solidFill>
                    <w14:schemeClr w14:val="tx1"/>
                  </w14:solidFill>
                </w14:textFill>
              </w:rPr>
              <w:t>；</w:t>
            </w:r>
          </w:p>
          <w:p w14:paraId="1CCBA00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2、本项目为新建项目，项目主要污染物排放满足总量减排要求；</w:t>
            </w:r>
          </w:p>
          <w:p w14:paraId="42FABD38">
            <w:pPr>
              <w:pStyle w:val="47"/>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16"/>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3、本项目不涉及；</w:t>
            </w:r>
          </w:p>
          <w:p w14:paraId="0B9E9F36">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4、本项目不涉及；</w:t>
            </w:r>
          </w:p>
          <w:p w14:paraId="61FE51B5">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5、本项目不涉及；</w:t>
            </w:r>
          </w:p>
          <w:p w14:paraId="3EC8D82B">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6、本项目不涉及；</w:t>
            </w:r>
          </w:p>
          <w:p w14:paraId="17D1E2B5">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7、本项目不涉及；</w:t>
            </w:r>
          </w:p>
        </w:tc>
        <w:tc>
          <w:tcPr>
            <w:tcW w:w="241" w:type="pct"/>
            <w:vAlign w:val="center"/>
          </w:tcPr>
          <w:p w14:paraId="40EBC67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704848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vAlign w:val="center"/>
          </w:tcPr>
          <w:p w14:paraId="38F7F3CF">
            <w:pPr>
              <w:pStyle w:val="47"/>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69BF8E2B">
            <w:pPr>
              <w:pStyle w:val="47"/>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vAlign w:val="center"/>
          </w:tcPr>
          <w:p w14:paraId="14CA547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vAlign w:val="center"/>
          </w:tcPr>
          <w:p w14:paraId="2C0C1DB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vAlign w:val="center"/>
          </w:tcPr>
          <w:p w14:paraId="2C19385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vAlign w:val="center"/>
          </w:tcPr>
          <w:p w14:paraId="3D46C3B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vAlign w:val="center"/>
          </w:tcPr>
          <w:p w14:paraId="7DEAD2F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shd w:val="clear" w:color="auto" w:fill="auto"/>
            <w:vAlign w:val="center"/>
          </w:tcPr>
          <w:p w14:paraId="4C70840C">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环境风险防控</w:t>
            </w:r>
          </w:p>
        </w:tc>
        <w:tc>
          <w:tcPr>
            <w:tcW w:w="1712" w:type="pct"/>
            <w:shd w:val="clear" w:color="auto" w:fill="auto"/>
            <w:vAlign w:val="center"/>
          </w:tcPr>
          <w:p w14:paraId="28B86EBB">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1、加强先进制造业开发区环境安全管理工作，</w:t>
            </w:r>
            <w:commentRangeStart w:id="34"/>
            <w:r>
              <w:rPr>
                <w:rFonts w:hint="default" w:ascii="Times New Roman" w:hAnsi="Times New Roman" w:cs="Times New Roman"/>
                <w:color w:val="000000" w:themeColor="text1"/>
                <w:spacing w:val="-4"/>
                <w:sz w:val="21"/>
                <w:szCs w:val="21"/>
                <w:lang w:eastAsia="zh-CN"/>
                <w14:textFill>
                  <w14:solidFill>
                    <w14:schemeClr w14:val="tx1"/>
                  </w14:solidFill>
                </w14:textFill>
              </w:rPr>
              <w:t>严格危险化学品管理，</w:t>
            </w:r>
            <w:commentRangeEnd w:id="34"/>
            <w:r>
              <w:commentReference w:id="34"/>
            </w:r>
            <w:r>
              <w:rPr>
                <w:rFonts w:hint="default" w:ascii="Times New Roman" w:hAnsi="Times New Roman" w:cs="Times New Roman"/>
                <w:color w:val="000000" w:themeColor="text1"/>
                <w:spacing w:val="-4"/>
                <w:sz w:val="21"/>
                <w:szCs w:val="21"/>
                <w:lang w:eastAsia="zh-CN"/>
                <w14:textFill>
                  <w14:solidFill>
                    <w14:schemeClr w14:val="tx1"/>
                  </w14:solidFill>
                </w14:textFill>
              </w:rPr>
              <w:t>减少环境风险。</w:t>
            </w:r>
          </w:p>
          <w:p w14:paraId="29B53BD7">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2、建立先进制造业开发区风险 防范体系以及风险防范应急预案；基础设施和企业内部生产运营管理中，认真落实环境风险防范措施，杜绝发生污染事故。</w:t>
            </w:r>
          </w:p>
          <w:p w14:paraId="0626E0F0">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3、</w:t>
            </w:r>
            <w:commentRangeStart w:id="35"/>
            <w:r>
              <w:rPr>
                <w:rFonts w:hint="default" w:ascii="Times New Roman" w:hAnsi="Times New Roman" w:cs="Times New Roman"/>
                <w:color w:val="000000" w:themeColor="text1"/>
                <w:spacing w:val="-4"/>
                <w:sz w:val="21"/>
                <w:szCs w:val="21"/>
                <w:lang w:eastAsia="zh-CN"/>
                <w14:textFill>
                  <w14:solidFill>
                    <w14:schemeClr w14:val="tx1"/>
                  </w14:solidFill>
                </w14:textFill>
              </w:rPr>
              <w:t>定期对地下水质进行监测，发现问题，及时采取有效防治措施，避免对地下水造成污染</w:t>
            </w:r>
            <w:commentRangeEnd w:id="35"/>
            <w:r>
              <w:commentReference w:id="35"/>
            </w:r>
            <w:r>
              <w:rPr>
                <w:rFonts w:hint="default" w:ascii="Times New Roman" w:hAnsi="Times New Roman" w:cs="Times New Roman"/>
                <w:color w:val="000000" w:themeColor="text1"/>
                <w:spacing w:val="-4"/>
                <w:sz w:val="21"/>
                <w:szCs w:val="21"/>
                <w:lang w:eastAsia="zh-CN"/>
                <w14:textFill>
                  <w14:solidFill>
                    <w14:schemeClr w14:val="tx1"/>
                  </w14:solidFill>
                </w14:textFill>
              </w:rPr>
              <w:t>。</w:t>
            </w:r>
          </w:p>
        </w:tc>
        <w:tc>
          <w:tcPr>
            <w:tcW w:w="1023" w:type="pct"/>
            <w:shd w:val="clear" w:color="auto" w:fill="auto"/>
            <w:vAlign w:val="center"/>
          </w:tcPr>
          <w:p w14:paraId="7AC8040E">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项目属于</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食品制造业</w:t>
            </w:r>
            <w:r>
              <w:rPr>
                <w:rFonts w:hint="default" w:ascii="Times New Roman" w:hAnsi="Times New Roman" w:cs="Times New Roman"/>
                <w:color w:val="000000" w:themeColor="text1"/>
                <w:sz w:val="21"/>
                <w:szCs w:val="21"/>
                <w:highlight w:val="none"/>
                <w14:textFill>
                  <w14:solidFill>
                    <w14:schemeClr w14:val="tx1"/>
                  </w14:solidFill>
                </w14:textFill>
              </w:rPr>
              <w:t>，环评要求企业运营期建立环境风险应急预案，落实环境风险防范措施，杜绝发生污染事故</w:t>
            </w:r>
          </w:p>
        </w:tc>
        <w:tc>
          <w:tcPr>
            <w:tcW w:w="241" w:type="pct"/>
            <w:vAlign w:val="center"/>
          </w:tcPr>
          <w:p w14:paraId="2DA5313D">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238C3F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tcPr>
          <w:p w14:paraId="1877DB0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tcPr>
          <w:p w14:paraId="02DC150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tcPr>
          <w:p w14:paraId="18B03A2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tcPr>
          <w:p w14:paraId="496F3C3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tcPr>
          <w:p w14:paraId="735369E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tcPr>
          <w:p w14:paraId="16ED069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tcPr>
          <w:p w14:paraId="2F7B5BF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tcBorders>
              <w:bottom w:val="single" w:color="auto" w:sz="4" w:space="0"/>
            </w:tcBorders>
            <w:shd w:val="clear" w:color="auto" w:fill="auto"/>
            <w:vAlign w:val="center"/>
          </w:tcPr>
          <w:p w14:paraId="186DC7F2">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资源开发</w:t>
            </w:r>
            <w:r>
              <w:rPr>
                <w:rFonts w:hint="default" w:ascii="Times New Roman" w:hAnsi="Times New Roman" w:cs="Times New Roman"/>
                <w:color w:val="000000" w:themeColor="text1"/>
                <w:spacing w:val="-4"/>
                <w:sz w:val="21"/>
                <w:szCs w:val="21"/>
                <w14:textFill>
                  <w14:solidFill>
                    <w14:schemeClr w14:val="tx1"/>
                  </w14:solidFill>
                </w14:textFill>
              </w:rPr>
              <w:t>效率要求</w:t>
            </w:r>
          </w:p>
        </w:tc>
        <w:tc>
          <w:tcPr>
            <w:tcW w:w="1712" w:type="pct"/>
            <w:tcBorders>
              <w:bottom w:val="single" w:color="auto" w:sz="4" w:space="0"/>
            </w:tcBorders>
            <w:shd w:val="clear" w:color="auto" w:fill="auto"/>
            <w:vAlign w:val="center"/>
          </w:tcPr>
          <w:p w14:paraId="091028A9">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3"/>
                <w:sz w:val="21"/>
                <w:szCs w:val="21"/>
                <w:lang w:eastAsia="zh-CN"/>
                <w14:textFill>
                  <w14:solidFill>
                    <w14:schemeClr w14:val="tx1"/>
                  </w14:solidFill>
                </w14:textFill>
              </w:rPr>
            </w:pPr>
            <w:r>
              <w:rPr>
                <w:rFonts w:hint="default" w:ascii="Times New Roman" w:hAnsi="Times New Roman" w:cs="Times New Roman"/>
                <w:color w:val="000000" w:themeColor="text1"/>
                <w:spacing w:val="-6"/>
                <w:sz w:val="21"/>
                <w:szCs w:val="21"/>
                <w:lang w:eastAsia="zh-CN"/>
                <w14:textFill>
                  <w14:solidFill>
                    <w14:schemeClr w14:val="tx1"/>
                  </w14:solidFill>
                </w14:textFill>
              </w:rPr>
              <w:t>1、区内企</w:t>
            </w:r>
            <w:r>
              <w:rPr>
                <w:rFonts w:hint="default" w:ascii="Times New Roman" w:hAnsi="Times New Roman" w:cs="Times New Roman"/>
                <w:color w:val="000000" w:themeColor="text1"/>
                <w:spacing w:val="-3"/>
                <w:sz w:val="21"/>
                <w:szCs w:val="21"/>
                <w:lang w:eastAsia="zh-CN"/>
                <w14:textFill>
                  <w14:solidFill>
                    <w14:schemeClr w14:val="tx1"/>
                  </w14:solidFill>
                </w14:textFill>
              </w:rPr>
              <w:t>业应不断提高资源能源利用效率，新改扩建建设项目的清洁生产水平应达到国内先进水平。</w:t>
            </w:r>
          </w:p>
          <w:p w14:paraId="5C3B00F5">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2、先进制造业开发区应加大中水回用力度，建设再生水回用配套设施，提高再生水利用率。</w:t>
            </w:r>
          </w:p>
        </w:tc>
        <w:tc>
          <w:tcPr>
            <w:tcW w:w="1023" w:type="pct"/>
            <w:tcBorders>
              <w:bottom w:val="single" w:color="auto" w:sz="4" w:space="0"/>
            </w:tcBorders>
            <w:shd w:val="clear" w:color="auto" w:fill="auto"/>
            <w:vAlign w:val="center"/>
          </w:tcPr>
          <w:p w14:paraId="3A587D4D">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2"/>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lang w:eastAsia="zh-CN"/>
                <w14:textFill>
                  <w14:solidFill>
                    <w14:schemeClr w14:val="tx1"/>
                  </w14:solidFill>
                </w14:textFill>
              </w:rPr>
              <w:t>1、</w:t>
            </w:r>
            <w:r>
              <w:rPr>
                <w:rFonts w:hint="default" w:ascii="Times New Roman" w:hAnsi="Times New Roman" w:cs="Times New Roman"/>
                <w:color w:val="000000" w:themeColor="text1"/>
                <w:sz w:val="21"/>
                <w:szCs w:val="21"/>
                <w:highlight w:val="none"/>
                <w:lang w:eastAsia="zh-CN"/>
                <w14:textFill>
                  <w14:solidFill>
                    <w14:schemeClr w14:val="tx1"/>
                  </w14:solidFill>
                </w14:textFill>
              </w:rPr>
              <w:t>评价要求企业</w:t>
            </w:r>
            <w:r>
              <w:rPr>
                <w:rFonts w:hint="default" w:ascii="Times New Roman" w:hAnsi="Times New Roman" w:cs="Times New Roman"/>
                <w:color w:val="000000" w:themeColor="text1"/>
                <w:spacing w:val="-2"/>
                <w:sz w:val="21"/>
                <w:szCs w:val="21"/>
                <w:highlight w:val="none"/>
                <w:lang w:eastAsia="zh-CN"/>
                <w14:textFill>
                  <w14:solidFill>
                    <w14:schemeClr w14:val="tx1"/>
                  </w14:solidFill>
                </w14:textFill>
              </w:rPr>
              <w:t>应不断提高资源能源利用效率，</w:t>
            </w:r>
            <w:r>
              <w:rPr>
                <w:rFonts w:hint="default" w:ascii="Times New Roman" w:hAnsi="Times New Roman" w:cs="Times New Roman"/>
                <w:color w:val="000000" w:themeColor="text1"/>
                <w:sz w:val="21"/>
                <w:szCs w:val="21"/>
                <w:highlight w:val="none"/>
                <w:lang w:eastAsia="zh-CN"/>
                <w14:textFill>
                  <w14:solidFill>
                    <w14:schemeClr w14:val="tx1"/>
                  </w14:solidFill>
                </w14:textFill>
              </w:rPr>
              <w:t>严格遵循循环经济理念，实施清洁生产，</w:t>
            </w:r>
            <w:r>
              <w:rPr>
                <w:rFonts w:hint="default" w:ascii="Times New Roman" w:hAnsi="Times New Roman" w:cs="Times New Roman"/>
                <w:color w:val="000000" w:themeColor="text1"/>
                <w:spacing w:val="-2"/>
                <w:sz w:val="21"/>
                <w:szCs w:val="21"/>
                <w:highlight w:val="none"/>
                <w:lang w:eastAsia="zh-CN"/>
                <w14:textFill>
                  <w14:solidFill>
                    <w14:schemeClr w14:val="tx1"/>
                  </w14:solidFill>
                </w14:textFill>
              </w:rPr>
              <w:t>清洁生产水平应达到国内先进水平。</w:t>
            </w:r>
          </w:p>
          <w:p w14:paraId="24801676">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yellow"/>
                <w:lang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2、</w:t>
            </w:r>
            <w:r>
              <w:rPr>
                <w:rFonts w:hint="default" w:ascii="Times New Roman" w:hAnsi="Times New Roman" w:cs="Times New Roman"/>
                <w:color w:val="000000" w:themeColor="text1"/>
                <w:spacing w:val="-2"/>
                <w:sz w:val="21"/>
                <w:szCs w:val="21"/>
                <w:highlight w:val="none"/>
                <w:lang w:eastAsia="zh-CN"/>
                <w14:textFill>
                  <w14:solidFill>
                    <w14:schemeClr w14:val="tx1"/>
                  </w14:solidFill>
                </w14:textFill>
              </w:rPr>
              <w:t>本项目不涉及</w:t>
            </w:r>
          </w:p>
        </w:tc>
        <w:tc>
          <w:tcPr>
            <w:tcW w:w="241" w:type="pct"/>
            <w:tcBorders>
              <w:bottom w:val="single" w:color="auto" w:sz="4" w:space="0"/>
            </w:tcBorders>
            <w:vAlign w:val="center"/>
          </w:tcPr>
          <w:p w14:paraId="7208AA2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5233FE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restart"/>
            <w:shd w:val="clear" w:color="auto" w:fill="auto"/>
            <w:vAlign w:val="center"/>
          </w:tcPr>
          <w:p w14:paraId="0576DD0E">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
                <w:sz w:val="21"/>
                <w:szCs w:val="21"/>
                <w14:textFill>
                  <w14:solidFill>
                    <w14:schemeClr w14:val="tx1"/>
                  </w14:solidFill>
                </w14:textFill>
              </w:rPr>
              <w:t>YS41132</w:t>
            </w:r>
            <w:r>
              <w:rPr>
                <w:rFonts w:hint="default" w:ascii="Times New Roman" w:hAnsi="Times New Roman" w:cs="Times New Roman"/>
                <w:color w:val="000000" w:themeColor="text1"/>
                <w:spacing w:val="-2"/>
                <w:sz w:val="21"/>
                <w:szCs w:val="21"/>
                <w14:textFill>
                  <w14:solidFill>
                    <w14:schemeClr w14:val="tx1"/>
                  </w14:solidFill>
                </w14:textFill>
              </w:rPr>
              <w:t>4221</w:t>
            </w:r>
            <w:commentRangeStart w:id="36"/>
            <w:r>
              <w:rPr>
                <w:rFonts w:hint="default" w:ascii="Times New Roman" w:hAnsi="Times New Roman" w:cs="Times New Roman"/>
                <w:color w:val="000000" w:themeColor="text1"/>
                <w:spacing w:val="-2"/>
                <w:sz w:val="21"/>
                <w:szCs w:val="21"/>
                <w14:textFill>
                  <w14:solidFill>
                    <w14:schemeClr w14:val="tx1"/>
                  </w14:solidFill>
                </w14:textFill>
              </w:rPr>
              <w:t>027</w:t>
            </w:r>
            <w:r>
              <w:rPr>
                <w:rFonts w:hint="default" w:ascii="Times New Roman" w:hAnsi="Times New Roman" w:cs="Times New Roman"/>
                <w:color w:val="000000" w:themeColor="text1"/>
                <w:sz w:val="21"/>
                <w:szCs w:val="21"/>
                <w14:textFill>
                  <w14:solidFill>
                    <w14:schemeClr w14:val="tx1"/>
                  </w14:solidFill>
                </w14:textFill>
              </w:rPr>
              <w:t>3</w:t>
            </w:r>
            <w:commentRangeEnd w:id="36"/>
            <w:r>
              <w:commentReference w:id="36"/>
            </w:r>
          </w:p>
        </w:tc>
        <w:tc>
          <w:tcPr>
            <w:tcW w:w="259" w:type="pct"/>
            <w:vMerge w:val="restart"/>
            <w:shd w:val="clear" w:color="auto" w:fill="auto"/>
            <w:vAlign w:val="center"/>
          </w:tcPr>
          <w:p w14:paraId="7DEDD70E">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镇平县</w:t>
            </w:r>
            <w:r>
              <w:rPr>
                <w:rFonts w:hint="default" w:ascii="Times New Roman" w:hAnsi="Times New Roman" w:cs="Times New Roman"/>
                <w:color w:val="000000" w:themeColor="text1"/>
                <w:spacing w:val="-5"/>
                <w:sz w:val="21"/>
                <w:szCs w:val="21"/>
                <w:lang w:eastAsia="zh-CN"/>
                <w14:textFill>
                  <w14:solidFill>
                    <w14:schemeClr w14:val="tx1"/>
                  </w14:solidFill>
                </w14:textFill>
              </w:rPr>
              <w:t>先进制</w:t>
            </w:r>
          </w:p>
          <w:p w14:paraId="086B922C">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1"/>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造业开</w:t>
            </w:r>
            <w:r>
              <w:rPr>
                <w:rFonts w:hint="default" w:ascii="Times New Roman" w:hAnsi="Times New Roman" w:cs="Times New Roman"/>
                <w:color w:val="000000" w:themeColor="text1"/>
                <w:spacing w:val="-7"/>
                <w:sz w:val="21"/>
                <w:szCs w:val="21"/>
                <w:lang w:eastAsia="zh-CN"/>
                <w14:textFill>
                  <w14:solidFill>
                    <w14:schemeClr w14:val="tx1"/>
                  </w14:solidFill>
                </w14:textFill>
              </w:rPr>
              <w:t>发区</w:t>
            </w:r>
          </w:p>
        </w:tc>
        <w:tc>
          <w:tcPr>
            <w:tcW w:w="146" w:type="pct"/>
            <w:vMerge w:val="restart"/>
            <w:vAlign w:val="center"/>
          </w:tcPr>
          <w:p w14:paraId="5061BAB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w:t>
            </w:r>
          </w:p>
        </w:tc>
        <w:tc>
          <w:tcPr>
            <w:tcW w:w="141" w:type="pct"/>
            <w:vMerge w:val="restart"/>
            <w:vAlign w:val="center"/>
          </w:tcPr>
          <w:p w14:paraId="68DFACF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南阳市</w:t>
            </w:r>
          </w:p>
        </w:tc>
        <w:tc>
          <w:tcPr>
            <w:tcW w:w="164" w:type="pct"/>
            <w:vMerge w:val="restart"/>
            <w:vAlign w:val="center"/>
          </w:tcPr>
          <w:p w14:paraId="2F706E4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镇平县</w:t>
            </w:r>
          </w:p>
        </w:tc>
        <w:tc>
          <w:tcPr>
            <w:tcW w:w="147" w:type="pct"/>
            <w:vMerge w:val="restart"/>
            <w:vAlign w:val="center"/>
          </w:tcPr>
          <w:p w14:paraId="7624E3C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64" w:type="pct"/>
            <w:vMerge w:val="restart"/>
            <w:vAlign w:val="center"/>
          </w:tcPr>
          <w:p w14:paraId="2B18BF2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重点管控单元</w:t>
            </w:r>
          </w:p>
        </w:tc>
        <w:tc>
          <w:tcPr>
            <w:tcW w:w="241" w:type="pct"/>
            <w:tcBorders>
              <w:top w:val="single" w:color="auto" w:sz="4" w:space="0"/>
              <w:bottom w:val="single" w:color="auto" w:sz="4" w:space="0"/>
            </w:tcBorders>
            <w:shd w:val="clear" w:color="auto" w:fill="auto"/>
            <w:vAlign w:val="center"/>
          </w:tcPr>
          <w:p w14:paraId="405C52F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空间布局约束</w:t>
            </w:r>
          </w:p>
        </w:tc>
        <w:tc>
          <w:tcPr>
            <w:tcW w:w="1712" w:type="pct"/>
            <w:tcBorders>
              <w:top w:val="single" w:color="auto" w:sz="4" w:space="0"/>
              <w:bottom w:val="single" w:color="auto" w:sz="4" w:space="0"/>
            </w:tcBorders>
            <w:shd w:val="clear" w:color="auto" w:fill="auto"/>
            <w:vAlign w:val="center"/>
          </w:tcPr>
          <w:p w14:paraId="650FFEEE">
            <w:pPr>
              <w:pStyle w:val="35"/>
              <w:keepNext w:val="0"/>
              <w:keepLines w:val="0"/>
              <w:pageBreakBefore w:val="0"/>
              <w:widowControl w:val="0"/>
              <w:kinsoku/>
              <w:wordWrap/>
              <w:overflowPunct/>
              <w:topLinePunct w:val="0"/>
              <w:autoSpaceDE/>
              <w:autoSpaceDN/>
              <w:bidi w:val="0"/>
              <w:adjustRightInd/>
              <w:jc w:val="both"/>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禁止不符合园区规划或规划环评的项目入驻。</w:t>
            </w:r>
          </w:p>
        </w:tc>
        <w:tc>
          <w:tcPr>
            <w:tcW w:w="1023" w:type="pct"/>
            <w:tcBorders>
              <w:top w:val="single" w:color="auto" w:sz="4" w:space="0"/>
              <w:bottom w:val="single" w:color="auto" w:sz="4" w:space="0"/>
            </w:tcBorders>
            <w:shd w:val="clear" w:color="auto" w:fill="auto"/>
            <w:vAlign w:val="center"/>
          </w:tcPr>
          <w:p w14:paraId="5FE31187">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本项目已取得镇平县先进制造业开发区管理委员会出具的同意入驻证明，项目建设符合镇平县先进制造业开发区规划要求。</w:t>
            </w:r>
          </w:p>
        </w:tc>
        <w:tc>
          <w:tcPr>
            <w:tcW w:w="241" w:type="pct"/>
            <w:tcBorders>
              <w:top w:val="single" w:color="auto" w:sz="4" w:space="0"/>
              <w:bottom w:val="single" w:color="auto" w:sz="4" w:space="0"/>
            </w:tcBorders>
            <w:vAlign w:val="center"/>
          </w:tcPr>
          <w:p w14:paraId="56BF9FD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7B8A24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vAlign w:val="center"/>
          </w:tcPr>
          <w:p w14:paraId="373FB8B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2C83C773">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vAlign w:val="center"/>
          </w:tcPr>
          <w:p w14:paraId="50B8A16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vAlign w:val="center"/>
          </w:tcPr>
          <w:p w14:paraId="04C7211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vAlign w:val="center"/>
          </w:tcPr>
          <w:p w14:paraId="1A71146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vAlign w:val="center"/>
          </w:tcPr>
          <w:p w14:paraId="45B69BB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vAlign w:val="center"/>
          </w:tcPr>
          <w:p w14:paraId="486E323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tcBorders>
              <w:top w:val="single" w:color="auto" w:sz="4" w:space="0"/>
              <w:bottom w:val="single" w:color="auto" w:sz="4" w:space="0"/>
            </w:tcBorders>
            <w:shd w:val="clear" w:color="auto" w:fill="auto"/>
            <w:vAlign w:val="center"/>
          </w:tcPr>
          <w:p w14:paraId="1E7725F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污染物排放管控</w:t>
            </w:r>
          </w:p>
        </w:tc>
        <w:tc>
          <w:tcPr>
            <w:tcW w:w="1712" w:type="pct"/>
            <w:tcBorders>
              <w:top w:val="single" w:color="auto" w:sz="4" w:space="0"/>
              <w:bottom w:val="single" w:color="auto" w:sz="4" w:space="0"/>
            </w:tcBorders>
            <w:shd w:val="clear" w:color="auto" w:fill="auto"/>
            <w:vAlign w:val="center"/>
          </w:tcPr>
          <w:p w14:paraId="2BC02E5F">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20"/>
                <w:sz w:val="21"/>
                <w:szCs w:val="21"/>
                <w:lang w:eastAsia="zh-CN"/>
                <w14:textFill>
                  <w14:solidFill>
                    <w14:schemeClr w14:val="tx1"/>
                  </w14:solidFill>
                </w14:textFill>
              </w:rPr>
            </w:pPr>
            <w:r>
              <w:rPr>
                <w:rFonts w:hint="default" w:ascii="Times New Roman" w:hAnsi="Times New Roman" w:cs="Times New Roman"/>
                <w:color w:val="000000" w:themeColor="text1"/>
                <w:spacing w:val="20"/>
                <w:sz w:val="21"/>
                <w:szCs w:val="21"/>
                <w:lang w:eastAsia="zh-CN"/>
                <w14:textFill>
                  <w14:solidFill>
                    <w14:schemeClr w14:val="tx1"/>
                  </w14:solidFill>
                </w14:textFill>
              </w:rPr>
              <w:t>1、</w:t>
            </w:r>
            <w:r>
              <w:rPr>
                <w:rFonts w:hint="default" w:ascii="Times New Roman" w:hAnsi="Times New Roman" w:cs="Times New Roman"/>
                <w:color w:val="000000" w:themeColor="text1"/>
                <w:spacing w:val="-6"/>
                <w:sz w:val="21"/>
                <w:szCs w:val="21"/>
                <w:lang w:eastAsia="zh-CN"/>
                <w14:textFill>
                  <w14:solidFill>
                    <w14:schemeClr w14:val="tx1"/>
                  </w14:solidFill>
                </w14:textFill>
              </w:rPr>
              <w:t>园区内</w:t>
            </w:r>
            <w:r>
              <w:rPr>
                <w:rFonts w:hint="default" w:ascii="Times New Roman" w:hAnsi="Times New Roman" w:cs="Times New Roman"/>
                <w:color w:val="000000" w:themeColor="text1"/>
                <w:spacing w:val="11"/>
                <w:sz w:val="21"/>
                <w:szCs w:val="21"/>
                <w:lang w:eastAsia="zh-CN"/>
                <w14:textFill>
                  <w14:solidFill>
                    <w14:schemeClr w14:val="tx1"/>
                  </w14:solidFill>
                </w14:textFill>
              </w:rPr>
              <w:t>企业废水必须实现</w:t>
            </w:r>
            <w:r>
              <w:rPr>
                <w:rFonts w:hint="default" w:ascii="Times New Roman" w:hAnsi="Times New Roman" w:cs="Times New Roman"/>
                <w:color w:val="000000" w:themeColor="text1"/>
                <w:spacing w:val="18"/>
                <w:sz w:val="21"/>
                <w:szCs w:val="21"/>
                <w:lang w:eastAsia="zh-CN"/>
                <w14:textFill>
                  <w14:solidFill>
                    <w14:schemeClr w14:val="tx1"/>
                  </w14:solidFill>
                </w14:textFill>
              </w:rPr>
              <w:t>全收集、</w:t>
            </w:r>
            <w:r>
              <w:rPr>
                <w:rFonts w:hint="default" w:ascii="Times New Roman" w:hAnsi="Times New Roman" w:cs="Times New Roman"/>
                <w:color w:val="000000" w:themeColor="text1"/>
                <w:spacing w:val="20"/>
                <w:sz w:val="21"/>
                <w:szCs w:val="21"/>
                <w:lang w:eastAsia="zh-CN"/>
                <w14:textFill>
                  <w14:solidFill>
                    <w14:schemeClr w14:val="tx1"/>
                  </w14:solidFill>
                </w14:textFill>
              </w:rPr>
              <w:t>全处理。</w:t>
            </w:r>
          </w:p>
          <w:p w14:paraId="5299C429">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10"/>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2、园区要</w:t>
            </w:r>
            <w:r>
              <w:rPr>
                <w:rFonts w:hint="default" w:ascii="Times New Roman" w:hAnsi="Times New Roman" w:cs="Times New Roman"/>
                <w:color w:val="000000" w:themeColor="text1"/>
                <w:spacing w:val="11"/>
                <w:sz w:val="21"/>
                <w:szCs w:val="21"/>
                <w:lang w:eastAsia="zh-CN"/>
                <w14:textFill>
                  <w14:solidFill>
                    <w14:schemeClr w14:val="tx1"/>
                  </w14:solidFill>
                </w14:textFill>
              </w:rPr>
              <w:t>配备完善的污水处理厂、垃圾集中处</w:t>
            </w:r>
            <w:r>
              <w:rPr>
                <w:rFonts w:hint="default" w:ascii="Times New Roman" w:hAnsi="Times New Roman" w:cs="Times New Roman"/>
                <w:color w:val="000000" w:themeColor="text1"/>
                <w:spacing w:val="-5"/>
                <w:sz w:val="21"/>
                <w:szCs w:val="21"/>
                <w:lang w:eastAsia="zh-CN"/>
                <w14:textFill>
                  <w14:solidFill>
                    <w14:schemeClr w14:val="tx1"/>
                  </w14:solidFill>
                </w14:textFill>
              </w:rPr>
              <w:t>理等设</w:t>
            </w:r>
            <w:r>
              <w:rPr>
                <w:rFonts w:hint="default" w:ascii="Times New Roman" w:hAnsi="Times New Roman" w:cs="Times New Roman"/>
                <w:color w:val="000000" w:themeColor="text1"/>
                <w:spacing w:val="12"/>
                <w:sz w:val="21"/>
                <w:szCs w:val="21"/>
                <w:lang w:eastAsia="zh-CN"/>
                <w14:textFill>
                  <w14:solidFill>
                    <w14:schemeClr w14:val="tx1"/>
                  </w14:solidFill>
                </w14:textFill>
              </w:rPr>
              <w:t>施。污水集中处理设施要实现管网全配套，并安装自动</w:t>
            </w:r>
            <w:r>
              <w:rPr>
                <w:rFonts w:hint="default" w:ascii="Times New Roman" w:hAnsi="Times New Roman" w:cs="Times New Roman"/>
                <w:color w:val="000000" w:themeColor="text1"/>
                <w:spacing w:val="1"/>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12"/>
                <w:sz w:val="21"/>
                <w:szCs w:val="21"/>
                <w:lang w:eastAsia="zh-CN"/>
                <w14:textFill>
                  <w14:solidFill>
                    <w14:schemeClr w14:val="tx1"/>
                  </w14:solidFill>
                </w14:textFill>
              </w:rPr>
              <w:t>在线监控</w:t>
            </w:r>
            <w:r>
              <w:rPr>
                <w:rFonts w:hint="default" w:ascii="Times New Roman" w:hAnsi="Times New Roman" w:cs="Times New Roman"/>
                <w:color w:val="000000" w:themeColor="text1"/>
                <w:spacing w:val="-10"/>
                <w:sz w:val="21"/>
                <w:szCs w:val="21"/>
                <w:lang w:eastAsia="zh-CN"/>
                <w14:textFill>
                  <w14:solidFill>
                    <w14:schemeClr w14:val="tx1"/>
                  </w14:solidFill>
                </w14:textFill>
              </w:rPr>
              <w:t>装置。</w:t>
            </w:r>
          </w:p>
          <w:p w14:paraId="7ACEFCBE">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10"/>
                <w:sz w:val="21"/>
                <w:szCs w:val="21"/>
                <w:lang w:eastAsia="zh-CN"/>
                <w14:textFill>
                  <w14:solidFill>
                    <w14:schemeClr w14:val="tx1"/>
                  </w14:solidFill>
                </w14:textFill>
              </w:rPr>
              <w:t>3、</w:t>
            </w:r>
            <w:r>
              <w:rPr>
                <w:rFonts w:hint="default" w:ascii="Times New Roman" w:hAnsi="Times New Roman" w:cs="Times New Roman"/>
                <w:color w:val="000000" w:themeColor="text1"/>
                <w:spacing w:val="12"/>
                <w:sz w:val="21"/>
                <w:szCs w:val="21"/>
                <w:lang w:eastAsia="zh-CN"/>
                <w14:textFill>
                  <w14:solidFill>
                    <w14:schemeClr w14:val="tx1"/>
                  </w14:solidFill>
                </w14:textFill>
              </w:rPr>
              <w:t>污水处理厂排水必须达到一</w:t>
            </w:r>
            <w:r>
              <w:rPr>
                <w:rFonts w:hint="default" w:ascii="Times New Roman" w:hAnsi="Times New Roman" w:cs="Times New Roman"/>
                <w:color w:val="000000" w:themeColor="text1"/>
                <w:spacing w:val="9"/>
                <w:sz w:val="21"/>
                <w:szCs w:val="21"/>
                <w:lang w:eastAsia="zh-CN"/>
                <w14:textFill>
                  <w14:solidFill>
                    <w14:schemeClr w14:val="tx1"/>
                  </w14:solidFill>
                </w14:textFill>
              </w:rPr>
              <w:t>级</w:t>
            </w:r>
            <w:r>
              <w:rPr>
                <w:rFonts w:hint="default" w:ascii="Times New Roman" w:hAnsi="Times New Roman" w:cs="Times New Roman"/>
                <w:color w:val="000000" w:themeColor="text1"/>
                <w:spacing w:val="-56"/>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9"/>
                <w:sz w:val="21"/>
                <w:szCs w:val="21"/>
                <w:lang w:eastAsia="zh-CN"/>
                <w14:textFill>
                  <w14:solidFill>
                    <w14:schemeClr w14:val="tx1"/>
                  </w14:solidFill>
                </w14:textFill>
              </w:rPr>
              <w:t>A</w:t>
            </w:r>
            <w:r>
              <w:rPr>
                <w:rFonts w:hint="default" w:ascii="Times New Roman" w:hAnsi="Times New Roman" w:cs="Times New Roman"/>
                <w:color w:val="000000" w:themeColor="text1"/>
                <w:spacing w:val="-51"/>
                <w:sz w:val="21"/>
                <w:szCs w:val="21"/>
                <w:lang w:eastAsia="zh-CN"/>
                <w14:textFill>
                  <w14:solidFill>
                    <w14:schemeClr w14:val="tx1"/>
                  </w14:solidFill>
                </w14:textFill>
              </w:rPr>
              <w:t xml:space="preserve"> </w:t>
            </w:r>
            <w:r>
              <w:rPr>
                <w:rFonts w:hint="default" w:ascii="Times New Roman" w:hAnsi="Times New Roman" w:cs="Times New Roman"/>
                <w:color w:val="000000" w:themeColor="text1"/>
                <w:spacing w:val="9"/>
                <w:sz w:val="21"/>
                <w:szCs w:val="21"/>
                <w:lang w:eastAsia="zh-CN"/>
                <w14:textFill>
                  <w14:solidFill>
                    <w14:schemeClr w14:val="tx1"/>
                  </w14:solidFill>
                </w14:textFill>
              </w:rPr>
              <w:t>排放</w:t>
            </w:r>
            <w:r>
              <w:rPr>
                <w:rFonts w:hint="default" w:ascii="Times New Roman" w:hAnsi="Times New Roman" w:cs="Times New Roman"/>
                <w:color w:val="000000" w:themeColor="text1"/>
                <w:spacing w:val="12"/>
                <w:sz w:val="21"/>
                <w:szCs w:val="21"/>
                <w:lang w:eastAsia="zh-CN"/>
                <w14:textFill>
                  <w14:solidFill>
                    <w14:schemeClr w14:val="tx1"/>
                  </w14:solidFill>
                </w14:textFill>
              </w:rPr>
              <w:t>标准或地方流域水污染物排放标准。</w:t>
            </w:r>
          </w:p>
        </w:tc>
        <w:tc>
          <w:tcPr>
            <w:tcW w:w="1023" w:type="pct"/>
            <w:tcBorders>
              <w:top w:val="single" w:color="auto" w:sz="4" w:space="0"/>
              <w:bottom w:val="single" w:color="auto" w:sz="4" w:space="0"/>
            </w:tcBorders>
            <w:shd w:val="clear" w:color="auto" w:fill="auto"/>
            <w:vAlign w:val="center"/>
          </w:tcPr>
          <w:p w14:paraId="612E00ED">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1、本项目</w:t>
            </w:r>
            <w:r>
              <w:rPr>
                <w:rFonts w:hint="default" w:ascii="Times New Roman" w:hAnsi="Times New Roman" w:cs="Times New Roman"/>
                <w:color w:val="000000" w:themeColor="text1"/>
                <w:szCs w:val="21"/>
                <w:highlight w:val="none"/>
                <w14:textFill>
                  <w14:solidFill>
                    <w14:schemeClr w14:val="tx1"/>
                  </w14:solidFill>
                </w14:textFill>
              </w:rPr>
              <w:t>营运期</w:t>
            </w:r>
            <w:r>
              <w:rPr>
                <w:rFonts w:hint="default" w:ascii="Times New Roman" w:hAnsi="Times New Roman" w:cs="Times New Roman"/>
                <w:color w:val="000000" w:themeColor="text1"/>
                <w:highlight w:val="none"/>
                <w14:textFill>
                  <w14:solidFill>
                    <w14:schemeClr w14:val="tx1"/>
                  </w14:solidFill>
                </w14:textFill>
              </w:rPr>
              <w:t>职工</w:t>
            </w:r>
            <w:r>
              <w:rPr>
                <w:rFonts w:hint="default" w:ascii="Times New Roman" w:hAnsi="Times New Roman" w:cs="Times New Roman"/>
                <w:color w:val="000000"/>
                <w:highlight w:val="none"/>
              </w:rPr>
              <w:t>生活污水经化粪池处理后</w:t>
            </w:r>
            <w:r>
              <w:rPr>
                <w:rFonts w:hint="default" w:ascii="Times New Roman" w:hAnsi="Times New Roman" w:cs="Times New Roman"/>
                <w:color w:val="000000"/>
                <w:highlight w:val="none"/>
                <w:lang w:val="en-US" w:eastAsia="zh-CN"/>
              </w:rPr>
              <w:t>与</w:t>
            </w:r>
            <w:r>
              <w:rPr>
                <w:rFonts w:hint="default" w:ascii="Times New Roman" w:hAnsi="Times New Roman" w:eastAsia="宋体" w:cs="Times New Roman"/>
                <w:color w:val="000000" w:themeColor="text1"/>
                <w:szCs w:val="21"/>
                <w:highlight w:val="none"/>
                <w:u w:val="none"/>
                <w:lang w:val="en-US" w:eastAsia="zh-CN"/>
                <w14:textFill>
                  <w14:solidFill>
                    <w14:schemeClr w14:val="tx1"/>
                  </w14:solidFill>
                </w14:textFill>
              </w:rPr>
              <w:t>生产</w:t>
            </w:r>
            <w:r>
              <w:rPr>
                <w:rFonts w:hint="default" w:ascii="Times New Roman" w:hAnsi="Times New Roman" w:cs="Times New Roman"/>
                <w:color w:val="000000" w:themeColor="text1"/>
                <w:szCs w:val="21"/>
                <w:highlight w:val="none"/>
                <w:u w:val="none"/>
                <w14:textFill>
                  <w14:solidFill>
                    <w14:schemeClr w14:val="tx1"/>
                  </w14:solidFill>
                </w14:textFill>
              </w:rPr>
              <w:t>废水</w:t>
            </w:r>
            <w:r>
              <w:rPr>
                <w:rFonts w:hint="default" w:ascii="Times New Roman" w:hAnsi="Times New Roman" w:cs="Times New Roman"/>
                <w:color w:val="000000"/>
                <w:highlight w:val="none"/>
              </w:rPr>
              <w:t>混合后</w:t>
            </w:r>
            <w:r>
              <w:rPr>
                <w:rFonts w:hint="default" w:ascii="Times New Roman" w:hAnsi="Times New Roman" w:cs="Times New Roman"/>
                <w:color w:val="000000"/>
                <w:highlight w:val="none"/>
                <w:lang w:val="en-US" w:eastAsia="zh-CN"/>
              </w:rPr>
              <w:t>经厂区污水处理站处理后</w:t>
            </w:r>
            <w:r>
              <w:rPr>
                <w:rFonts w:hint="default" w:ascii="Times New Roman" w:hAnsi="Times New Roman" w:cs="Times New Roman"/>
                <w:color w:val="000000" w:themeColor="text1"/>
                <w:highlight w:val="none"/>
                <w14:textFill>
                  <w14:solidFill>
                    <w14:schemeClr w14:val="tx1"/>
                  </w14:solidFill>
                </w14:textFill>
              </w:rPr>
              <w:t>，出水水质能够满足《污水综合排放标准》（GB8978-1996）及镇平县第二污水处理厂进水水质指标</w:t>
            </w:r>
            <w:r>
              <w:rPr>
                <w:rFonts w:hint="default" w:ascii="Times New Roman" w:hAnsi="Times New Roman" w:cs="Times New Roman"/>
                <w:color w:val="000000" w:themeColor="text1"/>
                <w:szCs w:val="21"/>
                <w:highlight w:val="none"/>
                <w14:textFill>
                  <w14:solidFill>
                    <w14:schemeClr w14:val="tx1"/>
                  </w14:solidFill>
                </w14:textFill>
              </w:rPr>
              <w:t>后经市政污水管网进入镇平县第二污水处理厂进一步处理达到《城镇污水处理厂污染物排放标准》（GB18918-2002）一级A标准后排入赵河</w:t>
            </w:r>
            <w:r>
              <w:rPr>
                <w:rFonts w:hint="default" w:ascii="Times New Roman" w:hAnsi="Times New Roman" w:cs="Times New Roman"/>
                <w:color w:val="000000" w:themeColor="text1"/>
                <w:sz w:val="21"/>
                <w:szCs w:val="21"/>
                <w:highlight w:val="none"/>
                <w14:textFill>
                  <w14:solidFill>
                    <w14:schemeClr w14:val="tx1"/>
                  </w14:solidFill>
                </w14:textFill>
              </w:rPr>
              <w:t>；</w:t>
            </w:r>
          </w:p>
          <w:p w14:paraId="78030728">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2、本项目不涉及；</w:t>
            </w:r>
          </w:p>
          <w:p w14:paraId="77871A01">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3、本项目不涉及；</w:t>
            </w:r>
          </w:p>
        </w:tc>
        <w:tc>
          <w:tcPr>
            <w:tcW w:w="241" w:type="pct"/>
            <w:tcBorders>
              <w:top w:val="single" w:color="auto" w:sz="4" w:space="0"/>
              <w:bottom w:val="single" w:color="auto" w:sz="4" w:space="0"/>
            </w:tcBorders>
            <w:vAlign w:val="center"/>
          </w:tcPr>
          <w:p w14:paraId="3963B52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517957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vAlign w:val="center"/>
          </w:tcPr>
          <w:p w14:paraId="7EBDBDC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228C22C4">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vAlign w:val="center"/>
          </w:tcPr>
          <w:p w14:paraId="72795CE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vAlign w:val="center"/>
          </w:tcPr>
          <w:p w14:paraId="48FC6F5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vAlign w:val="center"/>
          </w:tcPr>
          <w:p w14:paraId="0488F44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vAlign w:val="center"/>
          </w:tcPr>
          <w:p w14:paraId="766EBD6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vAlign w:val="center"/>
          </w:tcPr>
          <w:p w14:paraId="644F1FF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tcBorders>
              <w:top w:val="single" w:color="auto" w:sz="4" w:space="0"/>
              <w:bottom w:val="single" w:color="auto" w:sz="4" w:space="0"/>
            </w:tcBorders>
            <w:shd w:val="clear" w:color="auto" w:fill="auto"/>
            <w:vAlign w:val="center"/>
          </w:tcPr>
          <w:p w14:paraId="31333500">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环境风险防控</w:t>
            </w:r>
          </w:p>
        </w:tc>
        <w:tc>
          <w:tcPr>
            <w:tcW w:w="1712" w:type="pct"/>
            <w:tcBorders>
              <w:top w:val="single" w:color="auto" w:sz="4" w:space="0"/>
              <w:bottom w:val="single" w:color="auto" w:sz="4" w:space="0"/>
            </w:tcBorders>
            <w:shd w:val="clear" w:color="auto" w:fill="auto"/>
            <w:vAlign w:val="center"/>
          </w:tcPr>
          <w:p w14:paraId="538396D7">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5"/>
                <w:sz w:val="21"/>
                <w:szCs w:val="21"/>
                <w:lang w:eastAsia="zh-CN"/>
                <w14:textFill>
                  <w14:solidFill>
                    <w14:schemeClr w14:val="tx1"/>
                  </w14:solidFill>
                </w14:textFill>
              </w:rPr>
            </w:pPr>
            <w:r>
              <w:rPr>
                <w:rFonts w:hint="default" w:ascii="Times New Roman" w:hAnsi="Times New Roman" w:cs="Times New Roman"/>
                <w:color w:val="000000" w:themeColor="text1"/>
                <w:spacing w:val="-5"/>
                <w:sz w:val="21"/>
                <w:szCs w:val="21"/>
                <w:lang w:eastAsia="zh-CN"/>
                <w14:textFill>
                  <w14:solidFill>
                    <w14:schemeClr w14:val="tx1"/>
                  </w14:solidFill>
                </w14:textFill>
              </w:rPr>
              <w:t>1、</w:t>
            </w:r>
            <w:r>
              <w:rPr>
                <w:rFonts w:hint="default" w:ascii="Times New Roman" w:hAnsi="Times New Roman" w:cs="Times New Roman"/>
                <w:color w:val="000000" w:themeColor="text1"/>
                <w:spacing w:val="-6"/>
                <w:sz w:val="21"/>
                <w:szCs w:val="21"/>
                <w:lang w:eastAsia="zh-CN"/>
                <w14:textFill>
                  <w14:solidFill>
                    <w14:schemeClr w14:val="tx1"/>
                  </w14:solidFill>
                </w14:textFill>
              </w:rPr>
              <w:t>加强先</w:t>
            </w:r>
            <w:r>
              <w:rPr>
                <w:rFonts w:hint="default" w:ascii="Times New Roman" w:hAnsi="Times New Roman" w:cs="Times New Roman"/>
                <w:color w:val="000000" w:themeColor="text1"/>
                <w:spacing w:val="-2"/>
                <w:sz w:val="21"/>
                <w:szCs w:val="21"/>
                <w:lang w:eastAsia="zh-CN"/>
                <w14:textFill>
                  <w14:solidFill>
                    <w14:schemeClr w14:val="tx1"/>
                  </w14:solidFill>
                </w14:textFill>
              </w:rPr>
              <w:t>进制造业开发区环境安全管理工作，</w:t>
            </w:r>
            <w:r>
              <w:rPr>
                <w:rFonts w:hint="default" w:ascii="Times New Roman" w:hAnsi="Times New Roman" w:cs="Times New Roman"/>
                <w:color w:val="000000" w:themeColor="text1"/>
                <w:spacing w:val="-3"/>
                <w:sz w:val="21"/>
                <w:szCs w:val="21"/>
                <w:lang w:eastAsia="zh-CN"/>
                <w14:textFill>
                  <w14:solidFill>
                    <w14:schemeClr w14:val="tx1"/>
                  </w14:solidFill>
                </w14:textFill>
              </w:rPr>
              <w:t>严格危险化学品管理，减少</w:t>
            </w:r>
            <w:r>
              <w:rPr>
                <w:rFonts w:hint="default" w:ascii="Times New Roman" w:hAnsi="Times New Roman" w:cs="Times New Roman"/>
                <w:color w:val="000000" w:themeColor="text1"/>
                <w:spacing w:val="-4"/>
                <w:sz w:val="21"/>
                <w:szCs w:val="21"/>
                <w:lang w:eastAsia="zh-CN"/>
                <w14:textFill>
                  <w14:solidFill>
                    <w14:schemeClr w14:val="tx1"/>
                  </w14:solidFill>
                </w14:textFill>
              </w:rPr>
              <w:t>环境风</w:t>
            </w:r>
            <w:r>
              <w:rPr>
                <w:rFonts w:hint="default" w:ascii="Times New Roman" w:hAnsi="Times New Roman" w:cs="Times New Roman"/>
                <w:color w:val="000000" w:themeColor="text1"/>
                <w:spacing w:val="-5"/>
                <w:sz w:val="21"/>
                <w:szCs w:val="21"/>
                <w:lang w:eastAsia="zh-CN"/>
                <w14:textFill>
                  <w14:solidFill>
                    <w14:schemeClr w14:val="tx1"/>
                  </w14:solidFill>
                </w14:textFill>
              </w:rPr>
              <w:t>险。</w:t>
            </w:r>
          </w:p>
          <w:p w14:paraId="07E2D147">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3"/>
                <w:sz w:val="21"/>
                <w:szCs w:val="21"/>
                <w:lang w:eastAsia="zh-CN"/>
                <w14:textFill>
                  <w14:solidFill>
                    <w14:schemeClr w14:val="tx1"/>
                  </w14:solidFill>
                </w14:textFill>
              </w:rPr>
            </w:pPr>
            <w:r>
              <w:rPr>
                <w:rFonts w:hint="default" w:ascii="Times New Roman" w:hAnsi="Times New Roman" w:cs="Times New Roman"/>
                <w:color w:val="000000" w:themeColor="text1"/>
                <w:spacing w:val="-5"/>
                <w:sz w:val="21"/>
                <w:szCs w:val="21"/>
                <w:lang w:eastAsia="zh-CN"/>
                <w14:textFill>
                  <w14:solidFill>
                    <w14:schemeClr w14:val="tx1"/>
                  </w14:solidFill>
                </w14:textFill>
              </w:rPr>
              <w:t>2、建</w:t>
            </w:r>
            <w:r>
              <w:rPr>
                <w:rFonts w:hint="default" w:ascii="Times New Roman" w:hAnsi="Times New Roman" w:cs="Times New Roman"/>
                <w:color w:val="000000" w:themeColor="text1"/>
                <w:spacing w:val="9"/>
                <w:sz w:val="21"/>
                <w:szCs w:val="21"/>
                <w:lang w:eastAsia="zh-CN"/>
                <w14:textFill>
                  <w14:solidFill>
                    <w14:schemeClr w14:val="tx1"/>
                  </w14:solidFill>
                </w14:textFill>
              </w:rPr>
              <w:t>立先进制造业开发区风险防范体系以及风险防范应急预案；基础设施和企业内部生产运营管理中，认真落实环境风险防范措施，</w:t>
            </w:r>
            <w:r>
              <w:rPr>
                <w:rFonts w:hint="default" w:ascii="Times New Roman" w:hAnsi="Times New Roman" w:cs="Times New Roman"/>
                <w:color w:val="000000" w:themeColor="text1"/>
                <w:spacing w:val="-3"/>
                <w:sz w:val="21"/>
                <w:szCs w:val="21"/>
                <w:lang w:eastAsia="zh-CN"/>
                <w14:textFill>
                  <w14:solidFill>
                    <w14:schemeClr w14:val="tx1"/>
                  </w14:solidFill>
                </w14:textFill>
              </w:rPr>
              <w:t>杜绝发生</w:t>
            </w:r>
            <w:r>
              <w:rPr>
                <w:rFonts w:hint="default" w:ascii="Times New Roman" w:hAnsi="Times New Roman" w:cs="Times New Roman"/>
                <w:color w:val="000000" w:themeColor="text1"/>
                <w:spacing w:val="-4"/>
                <w:sz w:val="21"/>
                <w:szCs w:val="21"/>
                <w:lang w:eastAsia="zh-CN"/>
                <w14:textFill>
                  <w14:solidFill>
                    <w14:schemeClr w14:val="tx1"/>
                  </w14:solidFill>
                </w14:textFill>
              </w:rPr>
              <w:t>污染事</w:t>
            </w:r>
            <w:r>
              <w:rPr>
                <w:rFonts w:hint="default" w:ascii="Times New Roman" w:hAnsi="Times New Roman" w:cs="Times New Roman"/>
                <w:color w:val="000000" w:themeColor="text1"/>
                <w:spacing w:val="-3"/>
                <w:sz w:val="21"/>
                <w:szCs w:val="21"/>
                <w:lang w:eastAsia="zh-CN"/>
                <w14:textFill>
                  <w14:solidFill>
                    <w14:schemeClr w14:val="tx1"/>
                  </w14:solidFill>
                </w14:textFill>
              </w:rPr>
              <w:t>故。</w:t>
            </w:r>
          </w:p>
          <w:p w14:paraId="1415E2F2">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3、定</w:t>
            </w:r>
            <w:r>
              <w:rPr>
                <w:rFonts w:hint="default" w:ascii="Times New Roman" w:hAnsi="Times New Roman" w:cs="Times New Roman"/>
                <w:color w:val="000000" w:themeColor="text1"/>
                <w:spacing w:val="11"/>
                <w:sz w:val="21"/>
                <w:szCs w:val="21"/>
                <w:lang w:eastAsia="zh-CN"/>
                <w14:textFill>
                  <w14:solidFill>
                    <w14:schemeClr w14:val="tx1"/>
                  </w14:solidFill>
                </w14:textFill>
              </w:rPr>
              <w:t>期对地下水质进行</w:t>
            </w:r>
            <w:r>
              <w:rPr>
                <w:rFonts w:hint="default" w:ascii="Times New Roman" w:hAnsi="Times New Roman" w:cs="Times New Roman"/>
                <w:color w:val="000000" w:themeColor="text1"/>
                <w:spacing w:val="-3"/>
                <w:sz w:val="21"/>
                <w:szCs w:val="21"/>
                <w:lang w:eastAsia="zh-CN"/>
                <w14:textFill>
                  <w14:solidFill>
                    <w14:schemeClr w14:val="tx1"/>
                  </w14:solidFill>
                </w14:textFill>
              </w:rPr>
              <w:t>监测，发现问题，及时采取有效防治措施，避免对地下</w:t>
            </w:r>
            <w:r>
              <w:rPr>
                <w:rFonts w:hint="default" w:ascii="Times New Roman" w:hAnsi="Times New Roman" w:cs="Times New Roman"/>
                <w:color w:val="000000" w:themeColor="text1"/>
                <w:spacing w:val="-4"/>
                <w:sz w:val="21"/>
                <w:szCs w:val="21"/>
                <w:lang w:eastAsia="zh-CN"/>
                <w14:textFill>
                  <w14:solidFill>
                    <w14:schemeClr w14:val="tx1"/>
                  </w14:solidFill>
                </w14:textFill>
              </w:rPr>
              <w:t>水造成污</w:t>
            </w:r>
            <w:r>
              <w:rPr>
                <w:rFonts w:hint="default" w:ascii="Times New Roman" w:hAnsi="Times New Roman" w:cs="Times New Roman"/>
                <w:color w:val="000000" w:themeColor="text1"/>
                <w:spacing w:val="-7"/>
                <w:sz w:val="21"/>
                <w:szCs w:val="21"/>
                <w:lang w:eastAsia="zh-CN"/>
                <w14:textFill>
                  <w14:solidFill>
                    <w14:schemeClr w14:val="tx1"/>
                  </w14:solidFill>
                </w14:textFill>
              </w:rPr>
              <w:t>染。</w:t>
            </w:r>
          </w:p>
        </w:tc>
        <w:tc>
          <w:tcPr>
            <w:tcW w:w="1023" w:type="pct"/>
            <w:tcBorders>
              <w:top w:val="single" w:color="auto" w:sz="4" w:space="0"/>
              <w:bottom w:val="single" w:color="auto" w:sz="4" w:space="0"/>
            </w:tcBorders>
            <w:shd w:val="clear" w:color="auto" w:fill="auto"/>
            <w:vAlign w:val="center"/>
          </w:tcPr>
          <w:p w14:paraId="667559F4">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项目属于</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食品制造业</w:t>
            </w:r>
            <w:r>
              <w:rPr>
                <w:rFonts w:hint="default" w:ascii="Times New Roman" w:hAnsi="Times New Roman" w:cs="Times New Roman"/>
                <w:color w:val="000000" w:themeColor="text1"/>
                <w:sz w:val="21"/>
                <w:szCs w:val="21"/>
                <w:highlight w:val="none"/>
                <w14:textFill>
                  <w14:solidFill>
                    <w14:schemeClr w14:val="tx1"/>
                  </w14:solidFill>
                </w14:textFill>
              </w:rPr>
              <w:t>，环评要求企业运营期建立环境风险应急预案，落实环境风险防范措施，杜绝发生污染事故</w:t>
            </w:r>
          </w:p>
        </w:tc>
        <w:tc>
          <w:tcPr>
            <w:tcW w:w="241" w:type="pct"/>
            <w:tcBorders>
              <w:top w:val="single" w:color="auto" w:sz="4" w:space="0"/>
              <w:bottom w:val="single" w:color="auto" w:sz="4" w:space="0"/>
            </w:tcBorders>
            <w:shd w:val="clear" w:color="auto" w:fill="auto"/>
            <w:vAlign w:val="center"/>
          </w:tcPr>
          <w:p w14:paraId="14D3D05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44F4B4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tcPr>
          <w:p w14:paraId="7BABD8F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tcPr>
          <w:p w14:paraId="2EF9F5A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tcPr>
          <w:p w14:paraId="504C9A7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tcPr>
          <w:p w14:paraId="7FBD3BB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tcPr>
          <w:p w14:paraId="366ADE2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tcPr>
          <w:p w14:paraId="221CA6C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tcPr>
          <w:p w14:paraId="5F098C6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tcBorders>
              <w:top w:val="single" w:color="auto" w:sz="4" w:space="0"/>
              <w:bottom w:val="single" w:color="auto" w:sz="4" w:space="0"/>
            </w:tcBorders>
            <w:shd w:val="clear" w:color="auto" w:fill="auto"/>
            <w:vAlign w:val="center"/>
          </w:tcPr>
          <w:p w14:paraId="6E1995F5">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资源开发</w:t>
            </w:r>
            <w:r>
              <w:rPr>
                <w:rFonts w:hint="default" w:ascii="Times New Roman" w:hAnsi="Times New Roman" w:cs="Times New Roman"/>
                <w:color w:val="000000" w:themeColor="text1"/>
                <w:spacing w:val="-4"/>
                <w:sz w:val="21"/>
                <w:szCs w:val="21"/>
                <w14:textFill>
                  <w14:solidFill>
                    <w14:schemeClr w14:val="tx1"/>
                  </w14:solidFill>
                </w14:textFill>
              </w:rPr>
              <w:t>效率要求</w:t>
            </w:r>
          </w:p>
        </w:tc>
        <w:tc>
          <w:tcPr>
            <w:tcW w:w="1712" w:type="pct"/>
            <w:tcBorders>
              <w:top w:val="single" w:color="auto" w:sz="4" w:space="0"/>
              <w:bottom w:val="single" w:color="auto" w:sz="4" w:space="0"/>
            </w:tcBorders>
            <w:shd w:val="clear" w:color="auto" w:fill="auto"/>
            <w:vAlign w:val="center"/>
          </w:tcPr>
          <w:p w14:paraId="2F3ED95D">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开发区应加大中水回用力度，建设再生水回用配套设施，提高再生水利用率。</w:t>
            </w:r>
          </w:p>
        </w:tc>
        <w:tc>
          <w:tcPr>
            <w:tcW w:w="1023" w:type="pct"/>
            <w:tcBorders>
              <w:top w:val="single" w:color="auto" w:sz="4" w:space="0"/>
              <w:bottom w:val="single" w:color="auto" w:sz="4" w:space="0"/>
            </w:tcBorders>
            <w:shd w:val="clear" w:color="auto" w:fill="auto"/>
            <w:vAlign w:val="center"/>
          </w:tcPr>
          <w:p w14:paraId="343676CB">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本项目不涉及</w:t>
            </w:r>
          </w:p>
        </w:tc>
        <w:tc>
          <w:tcPr>
            <w:tcW w:w="241" w:type="pct"/>
            <w:tcBorders>
              <w:top w:val="single" w:color="auto" w:sz="4" w:space="0"/>
              <w:bottom w:val="single" w:color="auto" w:sz="4" w:space="0"/>
            </w:tcBorders>
            <w:vAlign w:val="center"/>
          </w:tcPr>
          <w:p w14:paraId="1EEE02E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6D5098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restart"/>
            <w:shd w:val="clear" w:color="auto" w:fill="auto"/>
            <w:vAlign w:val="center"/>
          </w:tcPr>
          <w:p w14:paraId="5CEDC35A">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1"/>
                <w:sz w:val="21"/>
                <w:szCs w:val="21"/>
                <w14:textFill>
                  <w14:solidFill>
                    <w14:schemeClr w14:val="tx1"/>
                  </w14:solidFill>
                </w14:textFill>
              </w:rPr>
              <w:t>YS41132</w:t>
            </w:r>
            <w:r>
              <w:rPr>
                <w:rFonts w:hint="default" w:ascii="Times New Roman" w:hAnsi="Times New Roman" w:cs="Times New Roman"/>
                <w:color w:val="000000" w:themeColor="text1"/>
                <w:spacing w:val="-2"/>
                <w:sz w:val="21"/>
                <w:szCs w:val="21"/>
                <w14:textFill>
                  <w14:solidFill>
                    <w14:schemeClr w14:val="tx1"/>
                  </w14:solidFill>
                </w14:textFill>
              </w:rPr>
              <w:t>4231000</w:t>
            </w:r>
            <w:r>
              <w:rPr>
                <w:rFonts w:hint="default" w:ascii="Times New Roman" w:hAnsi="Times New Roman" w:cs="Times New Roman"/>
                <w:color w:val="000000" w:themeColor="text1"/>
                <w:sz w:val="21"/>
                <w:szCs w:val="21"/>
                <w14:textFill>
                  <w14:solidFill>
                    <w14:schemeClr w14:val="tx1"/>
                  </w14:solidFill>
                </w14:textFill>
              </w:rPr>
              <w:t>1</w:t>
            </w:r>
          </w:p>
        </w:tc>
        <w:tc>
          <w:tcPr>
            <w:tcW w:w="259" w:type="pct"/>
            <w:vMerge w:val="restart"/>
            <w:shd w:val="clear" w:color="auto" w:fill="auto"/>
            <w:vAlign w:val="center"/>
          </w:tcPr>
          <w:p w14:paraId="3FF39A55">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镇平县</w:t>
            </w:r>
            <w:r>
              <w:rPr>
                <w:rFonts w:hint="default" w:ascii="Times New Roman" w:hAnsi="Times New Roman" w:cs="Times New Roman"/>
                <w:color w:val="000000" w:themeColor="text1"/>
                <w:spacing w:val="-5"/>
                <w:sz w:val="21"/>
                <w:szCs w:val="21"/>
                <w:lang w:eastAsia="zh-CN"/>
                <w14:textFill>
                  <w14:solidFill>
                    <w14:schemeClr w14:val="tx1"/>
                  </w14:solidFill>
                </w14:textFill>
              </w:rPr>
              <w:t>先进制</w:t>
            </w:r>
          </w:p>
          <w:p w14:paraId="5F14F40B">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造业开</w:t>
            </w:r>
            <w:r>
              <w:rPr>
                <w:rFonts w:hint="default" w:ascii="Times New Roman" w:hAnsi="Times New Roman" w:cs="Times New Roman"/>
                <w:color w:val="000000" w:themeColor="text1"/>
                <w:spacing w:val="-7"/>
                <w:sz w:val="21"/>
                <w:szCs w:val="21"/>
                <w:lang w:eastAsia="zh-CN"/>
                <w14:textFill>
                  <w14:solidFill>
                    <w14:schemeClr w14:val="tx1"/>
                  </w14:solidFill>
                </w14:textFill>
              </w:rPr>
              <w:t>发区</w:t>
            </w:r>
          </w:p>
        </w:tc>
        <w:tc>
          <w:tcPr>
            <w:tcW w:w="146" w:type="pct"/>
            <w:vMerge w:val="restart"/>
            <w:vAlign w:val="center"/>
          </w:tcPr>
          <w:p w14:paraId="30DB269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w:t>
            </w:r>
          </w:p>
        </w:tc>
        <w:tc>
          <w:tcPr>
            <w:tcW w:w="141" w:type="pct"/>
            <w:vMerge w:val="restart"/>
            <w:vAlign w:val="center"/>
          </w:tcPr>
          <w:p w14:paraId="7A94805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南阳市</w:t>
            </w:r>
          </w:p>
        </w:tc>
        <w:tc>
          <w:tcPr>
            <w:tcW w:w="164" w:type="pct"/>
            <w:vMerge w:val="restart"/>
            <w:vAlign w:val="center"/>
          </w:tcPr>
          <w:p w14:paraId="34D7D46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镇平县</w:t>
            </w:r>
          </w:p>
        </w:tc>
        <w:tc>
          <w:tcPr>
            <w:tcW w:w="147" w:type="pct"/>
            <w:vMerge w:val="restart"/>
            <w:vAlign w:val="center"/>
          </w:tcPr>
          <w:p w14:paraId="3F748C9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64" w:type="pct"/>
            <w:vMerge w:val="restart"/>
            <w:vAlign w:val="center"/>
          </w:tcPr>
          <w:p w14:paraId="36BA36B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重点管控单元</w:t>
            </w:r>
          </w:p>
        </w:tc>
        <w:tc>
          <w:tcPr>
            <w:tcW w:w="241" w:type="pct"/>
            <w:tcBorders>
              <w:top w:val="single" w:color="auto" w:sz="4" w:space="0"/>
              <w:bottom w:val="single" w:color="auto" w:sz="4" w:space="0"/>
            </w:tcBorders>
            <w:shd w:val="clear" w:color="auto" w:fill="auto"/>
            <w:vAlign w:val="center"/>
          </w:tcPr>
          <w:p w14:paraId="2F4BBD2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空间布局约束</w:t>
            </w:r>
          </w:p>
        </w:tc>
        <w:tc>
          <w:tcPr>
            <w:tcW w:w="1712" w:type="pct"/>
            <w:tcBorders>
              <w:top w:val="single" w:color="auto" w:sz="4" w:space="0"/>
              <w:bottom w:val="single" w:color="auto" w:sz="4" w:space="0"/>
            </w:tcBorders>
            <w:shd w:val="clear" w:color="auto" w:fill="auto"/>
            <w:vAlign w:val="center"/>
          </w:tcPr>
          <w:p w14:paraId="3E58347C">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6"/>
                <w:sz w:val="21"/>
                <w:szCs w:val="21"/>
                <w:lang w:eastAsia="zh-CN"/>
                <w14:textFill>
                  <w14:solidFill>
                    <w14:schemeClr w14:val="tx1"/>
                  </w14:solidFill>
                </w14:textFill>
              </w:rPr>
            </w:pPr>
            <w:r>
              <w:rPr>
                <w:rFonts w:hint="default" w:ascii="Times New Roman" w:hAnsi="Times New Roman" w:cs="Times New Roman"/>
                <w:color w:val="000000" w:themeColor="text1"/>
                <w:spacing w:val="-6"/>
                <w:sz w:val="21"/>
                <w:szCs w:val="21"/>
                <w:lang w:eastAsia="zh-CN"/>
                <w14:textFill>
                  <w14:solidFill>
                    <w14:schemeClr w14:val="tx1"/>
                  </w14:solidFill>
                </w14:textFill>
              </w:rPr>
              <w:t>1、重点发展非金属制品、高端装备制造、健康医药、绿色食品行业，禁止新建石化、有化学反应的化工、化学合成原料药、煤化工、制浆造纸项目入驻开发区。禁止不符合园区规划或规划环评的项目入驻。</w:t>
            </w:r>
          </w:p>
          <w:p w14:paraId="3FD825CB">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6"/>
                <w:sz w:val="21"/>
                <w:szCs w:val="21"/>
                <w:lang w:eastAsia="zh-CN"/>
                <w14:textFill>
                  <w14:solidFill>
                    <w14:schemeClr w14:val="tx1"/>
                  </w14:solidFill>
                </w14:textFill>
              </w:rPr>
              <w:t>2新建、改建、扩建“两高”项目须符合生态环境保护法律法规和相关法定规划，满足重点污染物排放总量控制、碳排放达峰目标、相关</w:t>
            </w:r>
            <w:r>
              <w:rPr>
                <w:rFonts w:hint="default" w:ascii="Times New Roman" w:hAnsi="Times New Roman" w:cs="Times New Roman"/>
                <w:color w:val="000000" w:themeColor="text1"/>
                <w:spacing w:val="-3"/>
                <w:sz w:val="21"/>
                <w:szCs w:val="21"/>
                <w:lang w:eastAsia="zh-CN"/>
                <w14:textFill>
                  <w14:solidFill>
                    <w14:schemeClr w14:val="tx1"/>
                  </w14:solidFill>
                </w14:textFill>
              </w:rPr>
              <w:t>规划环评和相应行业建设项目环境准入条件、环评文件</w:t>
            </w:r>
            <w:r>
              <w:rPr>
                <w:rFonts w:hint="default" w:ascii="Times New Roman" w:hAnsi="Times New Roman" w:cs="Times New Roman"/>
                <w:color w:val="000000" w:themeColor="text1"/>
                <w:spacing w:val="-6"/>
                <w:sz w:val="21"/>
                <w:szCs w:val="21"/>
                <w:lang w:eastAsia="zh-CN"/>
                <w14:textFill>
                  <w14:solidFill>
                    <w14:schemeClr w14:val="tx1"/>
                  </w14:solidFill>
                </w14:textFill>
              </w:rPr>
              <w:t>审批原则</w:t>
            </w:r>
            <w:r>
              <w:rPr>
                <w:rFonts w:hint="default" w:ascii="Times New Roman" w:hAnsi="Times New Roman" w:cs="Times New Roman"/>
                <w:color w:val="000000" w:themeColor="text1"/>
                <w:spacing w:val="-4"/>
                <w:sz w:val="21"/>
                <w:szCs w:val="21"/>
                <w:lang w:eastAsia="zh-CN"/>
                <w14:textFill>
                  <w14:solidFill>
                    <w14:schemeClr w14:val="tx1"/>
                  </w14:solidFill>
                </w14:textFill>
              </w:rPr>
              <w:t>要求</w:t>
            </w:r>
          </w:p>
        </w:tc>
        <w:tc>
          <w:tcPr>
            <w:tcW w:w="1023" w:type="pct"/>
            <w:tcBorders>
              <w:top w:val="single" w:color="auto" w:sz="4" w:space="0"/>
              <w:bottom w:val="single" w:color="auto" w:sz="4" w:space="0"/>
            </w:tcBorders>
            <w:shd w:val="clear" w:color="auto" w:fill="auto"/>
            <w:vAlign w:val="center"/>
          </w:tcPr>
          <w:p w14:paraId="262CC5EE">
            <w:pPr>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1、本项目属于新建项目，属于</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食品制造业</w:t>
            </w:r>
            <w:r>
              <w:rPr>
                <w:rFonts w:hint="default" w:ascii="Times New Roman" w:hAnsi="Times New Roman" w:cs="Times New Roman"/>
                <w:color w:val="000000" w:themeColor="text1"/>
                <w:sz w:val="21"/>
                <w:szCs w:val="21"/>
                <w:highlight w:val="none"/>
                <w14:textFill>
                  <w14:solidFill>
                    <w14:schemeClr w14:val="tx1"/>
                  </w14:solidFill>
                </w14:textFill>
              </w:rPr>
              <w:t>，本项目已取得镇平县先进制造业开发区管理委员会出具的同意入驻证明，项目建设符合镇平县先进制造业开发区规划要求；</w:t>
            </w:r>
          </w:p>
          <w:p w14:paraId="35974916">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pacing w:val="-4"/>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2、本项目不属于新建、改建、扩建</w:t>
            </w: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两高</w:t>
            </w: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项目；</w:t>
            </w:r>
          </w:p>
        </w:tc>
        <w:tc>
          <w:tcPr>
            <w:tcW w:w="241" w:type="pct"/>
            <w:tcBorders>
              <w:top w:val="single" w:color="auto" w:sz="4" w:space="0"/>
              <w:bottom w:val="single" w:color="auto" w:sz="4" w:space="0"/>
            </w:tcBorders>
            <w:vAlign w:val="center"/>
          </w:tcPr>
          <w:p w14:paraId="2786EAC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3B7966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vAlign w:val="center"/>
          </w:tcPr>
          <w:p w14:paraId="52E693A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501EB11F">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vAlign w:val="center"/>
          </w:tcPr>
          <w:p w14:paraId="1546B2D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vAlign w:val="center"/>
          </w:tcPr>
          <w:p w14:paraId="1162DFED">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vAlign w:val="center"/>
          </w:tcPr>
          <w:p w14:paraId="04A9011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vAlign w:val="center"/>
          </w:tcPr>
          <w:p w14:paraId="18DAF7F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vAlign w:val="center"/>
          </w:tcPr>
          <w:p w14:paraId="1399995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tcBorders>
              <w:top w:val="single" w:color="auto" w:sz="4" w:space="0"/>
              <w:bottom w:val="single" w:color="auto" w:sz="4" w:space="0"/>
            </w:tcBorders>
            <w:shd w:val="clear" w:color="auto" w:fill="auto"/>
            <w:vAlign w:val="center"/>
          </w:tcPr>
          <w:p w14:paraId="20213DF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污染物排放管控</w:t>
            </w:r>
          </w:p>
        </w:tc>
        <w:tc>
          <w:tcPr>
            <w:tcW w:w="1712" w:type="pct"/>
            <w:tcBorders>
              <w:top w:val="single" w:color="auto" w:sz="4" w:space="0"/>
              <w:bottom w:val="single" w:color="auto" w:sz="4" w:space="0"/>
            </w:tcBorders>
            <w:shd w:val="clear" w:color="auto" w:fill="auto"/>
            <w:vAlign w:val="center"/>
          </w:tcPr>
          <w:p w14:paraId="2D860B9C">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6"/>
                <w:sz w:val="21"/>
                <w:szCs w:val="21"/>
                <w:lang w:eastAsia="zh-CN"/>
                <w14:textFill>
                  <w14:solidFill>
                    <w14:schemeClr w14:val="tx1"/>
                  </w14:solidFill>
                </w14:textFill>
              </w:rPr>
              <w:t>/</w:t>
            </w:r>
          </w:p>
        </w:tc>
        <w:tc>
          <w:tcPr>
            <w:tcW w:w="1023" w:type="pct"/>
            <w:tcBorders>
              <w:top w:val="single" w:color="auto" w:sz="4" w:space="0"/>
              <w:bottom w:val="single" w:color="auto" w:sz="4" w:space="0"/>
            </w:tcBorders>
            <w:shd w:val="clear" w:color="auto" w:fill="auto"/>
            <w:vAlign w:val="center"/>
          </w:tcPr>
          <w:p w14:paraId="68FAD98C">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pacing w:val="-4"/>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241" w:type="pct"/>
            <w:tcBorders>
              <w:top w:val="single" w:color="auto" w:sz="4" w:space="0"/>
              <w:bottom w:val="single" w:color="auto" w:sz="4" w:space="0"/>
            </w:tcBorders>
            <w:vAlign w:val="center"/>
          </w:tcPr>
          <w:p w14:paraId="35E84BE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11514C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vAlign w:val="center"/>
          </w:tcPr>
          <w:p w14:paraId="4A51FF4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vAlign w:val="center"/>
          </w:tcPr>
          <w:p w14:paraId="4E646B9D">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vAlign w:val="center"/>
          </w:tcPr>
          <w:p w14:paraId="43F6C78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vAlign w:val="center"/>
          </w:tcPr>
          <w:p w14:paraId="76AEF00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vAlign w:val="center"/>
          </w:tcPr>
          <w:p w14:paraId="26E5F54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vAlign w:val="center"/>
          </w:tcPr>
          <w:p w14:paraId="692A9BE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vAlign w:val="center"/>
          </w:tcPr>
          <w:p w14:paraId="4346409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tcBorders>
              <w:top w:val="single" w:color="auto" w:sz="4" w:space="0"/>
              <w:bottom w:val="single" w:color="auto" w:sz="4" w:space="0"/>
            </w:tcBorders>
            <w:shd w:val="clear" w:color="auto" w:fill="auto"/>
            <w:vAlign w:val="center"/>
          </w:tcPr>
          <w:p w14:paraId="66BE350D">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环境风险防控</w:t>
            </w:r>
          </w:p>
        </w:tc>
        <w:tc>
          <w:tcPr>
            <w:tcW w:w="1712" w:type="pct"/>
            <w:tcBorders>
              <w:top w:val="single" w:color="auto" w:sz="4" w:space="0"/>
              <w:bottom w:val="single" w:color="auto" w:sz="4" w:space="0"/>
            </w:tcBorders>
            <w:shd w:val="clear" w:color="auto" w:fill="auto"/>
            <w:vAlign w:val="center"/>
          </w:tcPr>
          <w:p w14:paraId="5595EBDD">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2"/>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eastAsia="zh-CN"/>
                <w14:textFill>
                  <w14:solidFill>
                    <w14:schemeClr w14:val="tx1"/>
                  </w14:solidFill>
                </w14:textFill>
              </w:rPr>
              <w:t>1、</w:t>
            </w:r>
            <w:r>
              <w:rPr>
                <w:rFonts w:hint="default" w:ascii="Times New Roman" w:hAnsi="Times New Roman" w:cs="Times New Roman"/>
                <w:color w:val="000000" w:themeColor="text1"/>
                <w:spacing w:val="-6"/>
                <w:sz w:val="21"/>
                <w:szCs w:val="21"/>
                <w:lang w:eastAsia="zh-CN"/>
                <w14:textFill>
                  <w14:solidFill>
                    <w14:schemeClr w14:val="tx1"/>
                  </w14:solidFill>
                </w14:textFill>
              </w:rPr>
              <w:t>严格落</w:t>
            </w:r>
            <w:r>
              <w:rPr>
                <w:rFonts w:hint="default" w:ascii="Times New Roman" w:hAnsi="Times New Roman" w:cs="Times New Roman"/>
                <w:color w:val="000000" w:themeColor="text1"/>
                <w:spacing w:val="12"/>
                <w:sz w:val="21"/>
                <w:szCs w:val="21"/>
                <w:lang w:eastAsia="zh-CN"/>
                <w14:textFill>
                  <w14:solidFill>
                    <w14:schemeClr w14:val="tx1"/>
                  </w14:solidFill>
                </w14:textFill>
              </w:rPr>
              <w:t>实规划环评及其批复文件制定的环境风险防范</w:t>
            </w:r>
            <w:r>
              <w:rPr>
                <w:rFonts w:hint="default" w:ascii="Times New Roman" w:hAnsi="Times New Roman" w:cs="Times New Roman"/>
                <w:color w:val="000000" w:themeColor="text1"/>
                <w:spacing w:val="-2"/>
                <w:sz w:val="21"/>
                <w:szCs w:val="21"/>
                <w:lang w:eastAsia="zh-CN"/>
                <w14:textFill>
                  <w14:solidFill>
                    <w14:schemeClr w14:val="tx1"/>
                  </w14:solidFill>
                </w14:textFill>
              </w:rPr>
              <w:t>措施。</w:t>
            </w:r>
          </w:p>
          <w:p w14:paraId="58F09C6D">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2"/>
                <w:sz w:val="21"/>
                <w:szCs w:val="21"/>
                <w:lang w:eastAsia="zh-CN"/>
                <w14:textFill>
                  <w14:solidFill>
                    <w14:schemeClr w14:val="tx1"/>
                  </w14:solidFill>
                </w14:textFill>
              </w:rPr>
              <w:t>2、</w:t>
            </w:r>
            <w:r>
              <w:rPr>
                <w:rFonts w:hint="default" w:ascii="Times New Roman" w:hAnsi="Times New Roman" w:cs="Times New Roman"/>
                <w:color w:val="000000" w:themeColor="text1"/>
                <w:spacing w:val="12"/>
                <w:sz w:val="21"/>
                <w:szCs w:val="21"/>
                <w:lang w:eastAsia="zh-CN"/>
                <w14:textFill>
                  <w14:solidFill>
                    <w14:schemeClr w14:val="tx1"/>
                  </w14:solidFill>
                </w14:textFill>
              </w:rPr>
              <w:t>园区应制定环境风险应急预案，成立应急组织机构，定期开展应急演练，</w:t>
            </w:r>
            <w:r>
              <w:rPr>
                <w:rFonts w:hint="default" w:ascii="Times New Roman" w:hAnsi="Times New Roman" w:cs="Times New Roman"/>
                <w:color w:val="000000" w:themeColor="text1"/>
                <w:spacing w:val="-3"/>
                <w:sz w:val="21"/>
                <w:szCs w:val="21"/>
                <w:lang w:eastAsia="zh-CN"/>
                <w14:textFill>
                  <w14:solidFill>
                    <w14:schemeClr w14:val="tx1"/>
                  </w14:solidFill>
                </w14:textFill>
              </w:rPr>
              <w:t>提高区域环境风险</w:t>
            </w:r>
            <w:r>
              <w:rPr>
                <w:rFonts w:hint="default" w:ascii="Times New Roman" w:hAnsi="Times New Roman" w:cs="Times New Roman"/>
                <w:color w:val="000000" w:themeColor="text1"/>
                <w:spacing w:val="-9"/>
                <w:sz w:val="21"/>
                <w:szCs w:val="21"/>
                <w:lang w:eastAsia="zh-CN"/>
                <w14:textFill>
                  <w14:solidFill>
                    <w14:schemeClr w14:val="tx1"/>
                  </w14:solidFill>
                </w14:textFill>
              </w:rPr>
              <w:t>防范能</w:t>
            </w:r>
            <w:r>
              <w:rPr>
                <w:rFonts w:hint="default" w:ascii="Times New Roman" w:hAnsi="Times New Roman" w:cs="Times New Roman"/>
                <w:color w:val="000000" w:themeColor="text1"/>
                <w:spacing w:val="47"/>
                <w:sz w:val="21"/>
                <w:szCs w:val="21"/>
                <w:lang w:eastAsia="zh-CN"/>
                <w14:textFill>
                  <w14:solidFill>
                    <w14:schemeClr w14:val="tx1"/>
                  </w14:solidFill>
                </w14:textFill>
              </w:rPr>
              <w:t>力。</w:t>
            </w:r>
          </w:p>
        </w:tc>
        <w:tc>
          <w:tcPr>
            <w:tcW w:w="1023" w:type="pct"/>
            <w:tcBorders>
              <w:top w:val="single" w:color="auto" w:sz="4" w:space="0"/>
              <w:bottom w:val="single" w:color="auto" w:sz="4" w:space="0"/>
            </w:tcBorders>
            <w:shd w:val="clear" w:color="auto" w:fill="auto"/>
            <w:vAlign w:val="center"/>
          </w:tcPr>
          <w:p w14:paraId="4AB72415">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1、本项目严格落实规划环评及其批复文件制定的环境风险防范措施；</w:t>
            </w:r>
          </w:p>
          <w:p w14:paraId="1DFBCB88">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2、本项目不涉及；</w:t>
            </w:r>
          </w:p>
        </w:tc>
        <w:tc>
          <w:tcPr>
            <w:tcW w:w="241" w:type="pct"/>
            <w:tcBorders>
              <w:top w:val="single" w:color="auto" w:sz="4" w:space="0"/>
              <w:bottom w:val="single" w:color="auto" w:sz="4" w:space="0"/>
            </w:tcBorders>
            <w:shd w:val="clear" w:color="auto" w:fill="auto"/>
            <w:vAlign w:val="center"/>
          </w:tcPr>
          <w:p w14:paraId="6CE42F6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4B4937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tcPr>
          <w:p w14:paraId="1181BF4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tcPr>
          <w:p w14:paraId="39C68DE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tcPr>
          <w:p w14:paraId="48A8F7D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tcPr>
          <w:p w14:paraId="628EAB6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tcPr>
          <w:p w14:paraId="591042E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tcPr>
          <w:p w14:paraId="6BA7B9A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tcPr>
          <w:p w14:paraId="4B1955B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tcBorders>
              <w:top w:val="single" w:color="auto" w:sz="4" w:space="0"/>
              <w:bottom w:val="single" w:color="auto" w:sz="4" w:space="0"/>
            </w:tcBorders>
            <w:shd w:val="clear" w:color="auto" w:fill="auto"/>
            <w:vAlign w:val="center"/>
          </w:tcPr>
          <w:p w14:paraId="6CD2A357">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资源开发</w:t>
            </w:r>
            <w:r>
              <w:rPr>
                <w:rFonts w:hint="default" w:ascii="Times New Roman" w:hAnsi="Times New Roman" w:cs="Times New Roman"/>
                <w:color w:val="000000" w:themeColor="text1"/>
                <w:spacing w:val="-4"/>
                <w:sz w:val="21"/>
                <w:szCs w:val="21"/>
                <w14:textFill>
                  <w14:solidFill>
                    <w14:schemeClr w14:val="tx1"/>
                  </w14:solidFill>
                </w14:textFill>
              </w:rPr>
              <w:t>效率要求</w:t>
            </w:r>
          </w:p>
        </w:tc>
        <w:tc>
          <w:tcPr>
            <w:tcW w:w="1712" w:type="pct"/>
            <w:tcBorders>
              <w:top w:val="single" w:color="auto" w:sz="4" w:space="0"/>
              <w:bottom w:val="single" w:color="auto" w:sz="4" w:space="0"/>
            </w:tcBorders>
            <w:shd w:val="clear" w:color="auto" w:fill="auto"/>
            <w:vAlign w:val="center"/>
          </w:tcPr>
          <w:p w14:paraId="75AC040F">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3"/>
                <w:sz w:val="21"/>
                <w:szCs w:val="21"/>
                <w:lang w:eastAsia="zh-CN"/>
                <w14:textFill>
                  <w14:solidFill>
                    <w14:schemeClr w14:val="tx1"/>
                  </w14:solidFill>
                </w14:textFill>
              </w:rPr>
              <w:t>在禁燃区内，禁止销售、燃用高污染燃料；禁止新建、扩建燃用高污染燃</w:t>
            </w:r>
            <w:r>
              <w:rPr>
                <w:rFonts w:hint="default" w:ascii="Times New Roman" w:hAnsi="Times New Roman" w:cs="Times New Roman"/>
                <w:color w:val="000000" w:themeColor="text1"/>
                <w:spacing w:val="-4"/>
                <w:sz w:val="21"/>
                <w:szCs w:val="21"/>
                <w:lang w:eastAsia="zh-CN"/>
                <w14:textFill>
                  <w14:solidFill>
                    <w14:schemeClr w14:val="tx1"/>
                  </w14:solidFill>
                </w14:textFill>
              </w:rPr>
              <w:t>料的设</w:t>
            </w:r>
            <w:r>
              <w:rPr>
                <w:rFonts w:hint="default" w:ascii="Times New Roman" w:hAnsi="Times New Roman" w:cs="Times New Roman"/>
                <w:color w:val="000000" w:themeColor="text1"/>
                <w:spacing w:val="-3"/>
                <w:sz w:val="21"/>
                <w:szCs w:val="21"/>
                <w:lang w:eastAsia="zh-CN"/>
                <w14:textFill>
                  <w14:solidFill>
                    <w14:schemeClr w14:val="tx1"/>
                  </w14:solidFill>
                </w14:textFill>
              </w:rPr>
              <w:t>施，已建成的，应当在各省辖市、县（市）人民政府规定的期限内改用天然气、页岩气、液</w:t>
            </w:r>
            <w:r>
              <w:rPr>
                <w:rFonts w:hint="default" w:ascii="Times New Roman" w:hAnsi="Times New Roman" w:cs="Times New Roman"/>
                <w:color w:val="000000" w:themeColor="text1"/>
                <w:spacing w:val="-4"/>
                <w:sz w:val="21"/>
                <w:szCs w:val="21"/>
                <w:lang w:eastAsia="zh-CN"/>
                <w14:textFill>
                  <w14:solidFill>
                    <w14:schemeClr w14:val="tx1"/>
                  </w14:solidFill>
                </w14:textFill>
              </w:rPr>
              <w:t>化石油</w:t>
            </w:r>
            <w:r>
              <w:rPr>
                <w:rFonts w:hint="default" w:ascii="Times New Roman" w:hAnsi="Times New Roman" w:cs="Times New Roman"/>
                <w:color w:val="000000" w:themeColor="text1"/>
                <w:spacing w:val="-3"/>
                <w:sz w:val="21"/>
                <w:szCs w:val="21"/>
                <w:lang w:eastAsia="zh-CN"/>
                <w14:textFill>
                  <w14:solidFill>
                    <w14:schemeClr w14:val="tx1"/>
                  </w14:solidFill>
                </w14:textFill>
              </w:rPr>
              <w:t>气、电或者其他清洁能源；大力改善煤电机组供电煤耗</w:t>
            </w:r>
            <w:r>
              <w:rPr>
                <w:rFonts w:hint="default" w:ascii="Times New Roman" w:hAnsi="Times New Roman" w:cs="Times New Roman"/>
                <w:color w:val="000000" w:themeColor="text1"/>
                <w:spacing w:val="-5"/>
                <w:sz w:val="21"/>
                <w:szCs w:val="21"/>
                <w:lang w:eastAsia="zh-CN"/>
                <w14:textFill>
                  <w14:solidFill>
                    <w14:schemeClr w14:val="tx1"/>
                  </w14:solidFill>
                </w14:textFill>
              </w:rPr>
              <w:t>水平。</w:t>
            </w:r>
          </w:p>
        </w:tc>
        <w:tc>
          <w:tcPr>
            <w:tcW w:w="1023" w:type="pct"/>
            <w:tcBorders>
              <w:top w:val="single" w:color="auto" w:sz="4" w:space="0"/>
              <w:bottom w:val="single" w:color="auto" w:sz="4" w:space="0"/>
            </w:tcBorders>
            <w:shd w:val="clear" w:color="auto" w:fill="auto"/>
            <w:vAlign w:val="center"/>
          </w:tcPr>
          <w:p w14:paraId="353D1427">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本项目主要能源是电和天然气。</w:t>
            </w:r>
          </w:p>
        </w:tc>
        <w:tc>
          <w:tcPr>
            <w:tcW w:w="241" w:type="pct"/>
            <w:tcBorders>
              <w:top w:val="single" w:color="auto" w:sz="4" w:space="0"/>
              <w:bottom w:val="single" w:color="auto" w:sz="4" w:space="0"/>
            </w:tcBorders>
            <w:vAlign w:val="center"/>
          </w:tcPr>
          <w:p w14:paraId="67085BB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7AF27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restart"/>
            <w:shd w:val="clear" w:color="auto" w:fill="auto"/>
            <w:vAlign w:val="center"/>
          </w:tcPr>
          <w:p w14:paraId="5E881E42">
            <w:pPr>
              <w:pStyle w:val="35"/>
              <w:keepNext w:val="0"/>
              <w:keepLines w:val="0"/>
              <w:pageBreakBefore w:val="0"/>
              <w:widowControl w:val="0"/>
              <w:kinsoku/>
              <w:wordWrap/>
              <w:overflowPunct/>
              <w:topLinePunct w:val="0"/>
              <w:autoSpaceDE/>
              <w:autoSpaceDN/>
              <w:bidi w:val="0"/>
              <w:adjustRightInd/>
              <w:jc w:val="both"/>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YS4113242330001</w:t>
            </w:r>
          </w:p>
        </w:tc>
        <w:tc>
          <w:tcPr>
            <w:tcW w:w="259" w:type="pct"/>
            <w:vMerge w:val="restart"/>
            <w:shd w:val="clear" w:color="auto" w:fill="auto"/>
            <w:vAlign w:val="center"/>
          </w:tcPr>
          <w:p w14:paraId="091AA388">
            <w:pPr>
              <w:pStyle w:val="35"/>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pacing w:val="-7"/>
                <w:sz w:val="21"/>
                <w:szCs w:val="21"/>
                <w:lang w:eastAsia="zh-CN"/>
                <w14:textFill>
                  <w14:solidFill>
                    <w14:schemeClr w14:val="tx1"/>
                  </w14:solidFill>
                </w14:textFill>
              </w:rPr>
              <w:t>/</w:t>
            </w:r>
          </w:p>
        </w:tc>
        <w:tc>
          <w:tcPr>
            <w:tcW w:w="146" w:type="pct"/>
            <w:vMerge w:val="restart"/>
            <w:shd w:val="clear" w:color="auto" w:fill="auto"/>
            <w:vAlign w:val="center"/>
          </w:tcPr>
          <w:p w14:paraId="6A39F76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w:t>
            </w:r>
          </w:p>
        </w:tc>
        <w:tc>
          <w:tcPr>
            <w:tcW w:w="141" w:type="pct"/>
            <w:vMerge w:val="restart"/>
            <w:shd w:val="clear" w:color="auto" w:fill="auto"/>
            <w:vAlign w:val="center"/>
          </w:tcPr>
          <w:p w14:paraId="748E9EB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南阳市</w:t>
            </w:r>
          </w:p>
        </w:tc>
        <w:tc>
          <w:tcPr>
            <w:tcW w:w="164" w:type="pct"/>
            <w:vMerge w:val="restart"/>
            <w:shd w:val="clear" w:color="auto" w:fill="auto"/>
            <w:vAlign w:val="center"/>
          </w:tcPr>
          <w:p w14:paraId="74B8219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4"/>
                <w:sz w:val="21"/>
                <w:szCs w:val="21"/>
                <w14:textFill>
                  <w14:solidFill>
                    <w14:schemeClr w14:val="tx1"/>
                  </w14:solidFill>
                </w14:textFill>
              </w:rPr>
              <w:t>镇平县</w:t>
            </w:r>
          </w:p>
        </w:tc>
        <w:tc>
          <w:tcPr>
            <w:tcW w:w="147" w:type="pct"/>
            <w:vMerge w:val="restart"/>
            <w:shd w:val="clear" w:color="auto" w:fill="auto"/>
            <w:vAlign w:val="center"/>
          </w:tcPr>
          <w:p w14:paraId="386D5FA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c>
          <w:tcPr>
            <w:tcW w:w="264" w:type="pct"/>
            <w:vMerge w:val="restart"/>
            <w:shd w:val="clear" w:color="auto" w:fill="auto"/>
            <w:vAlign w:val="center"/>
          </w:tcPr>
          <w:p w14:paraId="303E79E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重点管控单元</w:t>
            </w:r>
          </w:p>
        </w:tc>
        <w:tc>
          <w:tcPr>
            <w:tcW w:w="241" w:type="pct"/>
            <w:tcBorders>
              <w:top w:val="single" w:color="auto" w:sz="4" w:space="0"/>
              <w:bottom w:val="single" w:color="auto" w:sz="4" w:space="0"/>
            </w:tcBorders>
            <w:shd w:val="clear" w:color="auto" w:fill="auto"/>
            <w:vAlign w:val="center"/>
          </w:tcPr>
          <w:p w14:paraId="59FFE70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空间布局约束</w:t>
            </w:r>
          </w:p>
        </w:tc>
        <w:tc>
          <w:tcPr>
            <w:tcW w:w="1712" w:type="pct"/>
            <w:tcBorders>
              <w:top w:val="single" w:color="auto" w:sz="4" w:space="0"/>
              <w:bottom w:val="single" w:color="auto" w:sz="4" w:space="0"/>
            </w:tcBorders>
            <w:shd w:val="clear" w:color="auto" w:fill="auto"/>
            <w:vAlign w:val="center"/>
          </w:tcPr>
          <w:p w14:paraId="20A97ECC">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val="en-US" w:eastAsia="zh-CN"/>
                <w14:textFill>
                  <w14:solidFill>
                    <w14:schemeClr w14:val="tx1"/>
                  </w14:solidFill>
                </w14:textFill>
              </w:rPr>
              <w:t xml:space="preserve">1、原则上不再办理使用登记和审批35蒸吨/时及以下燃煤锅炉，到2025年全面停止办理。严格控制露天矿业权审批和露天矿山新上建设项目核准或备案、环境影响评价报告审批，原则上禁止新建露天矿山建设项目，到2025年全面禁止。 </w:t>
            </w:r>
          </w:p>
          <w:p w14:paraId="33493A64">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cs="Times New Roman"/>
                <w:color w:val="000000" w:themeColor="text1"/>
                <w:spacing w:val="-4"/>
                <w:sz w:val="21"/>
                <w:szCs w:val="21"/>
                <w:lang w:val="en-US" w:eastAsia="zh-CN"/>
                <w14:textFill>
                  <w14:solidFill>
                    <w14:schemeClr w14:val="tx1"/>
                  </w14:solidFill>
                </w14:textFill>
              </w:rPr>
              <w:t xml:space="preserve">2、原则上禁止钢铁、电解铝、水泥、玻璃、传统煤化工（甲醇、合成氨）、焦化等行业新建、扩建单纯新增产能以及耐火材料、陶瓷等行业新建、扩建以煤炭为燃料的项目和企业，对钢铁、水泥、电解铝、玻璃等行业不再实施省内产能置换，到2025年全面禁止。 </w:t>
            </w:r>
          </w:p>
          <w:p w14:paraId="0D02CF2B">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val="en-US" w:eastAsia="zh-CN"/>
                <w14:textFill>
                  <w14:solidFill>
                    <w14:schemeClr w14:val="tx1"/>
                  </w14:solidFill>
                </w14:textFill>
              </w:rPr>
              <w:t>3、禁止建设生产和使用高VOCs含量的溶剂型涂料、油墨、胶粘剂等项目。京津冀2+26和汾渭平原城市群禁止城市建成区露天烧烤。加强夜市综合整治，有序推进夜市</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退路进店</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；到2025年，常态化动态更新施工工地管理清单，全面清理城乡结合部以及城中拆迁的渣土和建筑垃圾。</w:t>
            </w:r>
          </w:p>
        </w:tc>
        <w:tc>
          <w:tcPr>
            <w:tcW w:w="1023" w:type="pct"/>
            <w:tcBorders>
              <w:top w:val="single" w:color="auto" w:sz="4" w:space="0"/>
              <w:bottom w:val="single" w:color="auto" w:sz="4" w:space="0"/>
            </w:tcBorders>
            <w:shd w:val="clear" w:color="auto" w:fill="auto"/>
            <w:vAlign w:val="center"/>
          </w:tcPr>
          <w:p w14:paraId="49E6A95D">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1、本项目不涉及；</w:t>
            </w:r>
          </w:p>
          <w:p w14:paraId="1B83F207">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2、本项目属于新建项目，属于</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食品制造业</w:t>
            </w:r>
            <w:r>
              <w:rPr>
                <w:rFonts w:hint="default" w:ascii="Times New Roman" w:hAnsi="Times New Roman" w:cs="Times New Roman"/>
                <w:color w:val="000000" w:themeColor="text1"/>
                <w:sz w:val="21"/>
                <w:szCs w:val="21"/>
                <w:highlight w:val="none"/>
                <w14:textFill>
                  <w14:solidFill>
                    <w14:schemeClr w14:val="tx1"/>
                  </w14:solidFill>
                </w14:textFill>
              </w:rPr>
              <w:t>，项目</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不属于</w:t>
            </w:r>
            <w:r>
              <w:rPr>
                <w:rFonts w:hint="default" w:ascii="Times New Roman" w:hAnsi="Times New Roman" w:cs="Times New Roman"/>
                <w:color w:val="000000" w:themeColor="text1"/>
                <w:spacing w:val="11"/>
                <w:sz w:val="21"/>
                <w:szCs w:val="21"/>
                <w:highlight w:val="none"/>
                <w:lang w:eastAsia="zh-CN"/>
                <w14:textFill>
                  <w14:solidFill>
                    <w14:schemeClr w14:val="tx1"/>
                  </w14:solidFill>
                </w14:textFill>
              </w:rPr>
              <w:t>不</w:t>
            </w:r>
            <w:r>
              <w:rPr>
                <w:rFonts w:hint="default" w:ascii="Times New Roman" w:hAnsi="Times New Roman" w:cs="Times New Roman"/>
                <w:color w:val="000000" w:themeColor="text1"/>
                <w:spacing w:val="18"/>
                <w:sz w:val="21"/>
                <w:szCs w:val="21"/>
                <w:highlight w:val="none"/>
                <w:lang w:eastAsia="zh-CN"/>
                <w14:textFill>
                  <w14:solidFill>
                    <w14:schemeClr w14:val="tx1"/>
                  </w14:solidFill>
                </w14:textFill>
              </w:rPr>
              <w:t>得新建、</w:t>
            </w:r>
            <w:r>
              <w:rPr>
                <w:rFonts w:hint="default" w:ascii="Times New Roman" w:hAnsi="Times New Roman" w:cs="Times New Roman"/>
                <w:color w:val="000000" w:themeColor="text1"/>
                <w:spacing w:val="11"/>
                <w:sz w:val="21"/>
                <w:szCs w:val="21"/>
                <w:highlight w:val="none"/>
                <w:lang w:eastAsia="zh-CN"/>
                <w14:textFill>
                  <w14:solidFill>
                    <w14:schemeClr w14:val="tx1"/>
                  </w14:solidFill>
                </w14:textFill>
              </w:rPr>
              <w:t>改建和扩</w:t>
            </w:r>
            <w:r>
              <w:rPr>
                <w:rFonts w:hint="default" w:ascii="Times New Roman" w:hAnsi="Times New Roman" w:cs="Times New Roman"/>
                <w:color w:val="000000" w:themeColor="text1"/>
                <w:spacing w:val="18"/>
                <w:sz w:val="21"/>
                <w:szCs w:val="21"/>
                <w:highlight w:val="none"/>
                <w:lang w:eastAsia="zh-CN"/>
                <w14:textFill>
                  <w14:solidFill>
                    <w14:schemeClr w14:val="tx1"/>
                  </w14:solidFill>
                </w14:textFill>
              </w:rPr>
              <w:t>建石化、</w:t>
            </w:r>
            <w:r>
              <w:rPr>
                <w:rFonts w:hint="default" w:ascii="Times New Roman" w:hAnsi="Times New Roman" w:cs="Times New Roman"/>
                <w:color w:val="000000" w:themeColor="text1"/>
                <w:spacing w:val="14"/>
                <w:sz w:val="21"/>
                <w:szCs w:val="21"/>
                <w:highlight w:val="none"/>
                <w:lang w:eastAsia="zh-CN"/>
                <w14:textFill>
                  <w14:solidFill>
                    <w14:schemeClr w14:val="tx1"/>
                  </w14:solidFill>
                </w14:textFill>
              </w:rPr>
              <w:t>焦化、制</w:t>
            </w:r>
            <w:r>
              <w:rPr>
                <w:rFonts w:hint="default" w:ascii="Times New Roman" w:hAnsi="Times New Roman" w:cs="Times New Roman"/>
                <w:color w:val="000000" w:themeColor="text1"/>
                <w:sz w:val="21"/>
                <w:szCs w:val="21"/>
                <w:highlight w:val="none"/>
                <w:lang w:eastAsia="zh-CN"/>
                <w14:textFill>
                  <w14:solidFill>
                    <w14:schemeClr w14:val="tx1"/>
                  </w14:solidFill>
                </w14:textFill>
              </w:rPr>
              <w:t>药、油</w:t>
            </w:r>
            <w:r>
              <w:rPr>
                <w:rFonts w:hint="default" w:ascii="Times New Roman" w:hAnsi="Times New Roman" w:cs="Times New Roman"/>
                <w:color w:val="000000" w:themeColor="text1"/>
                <w:spacing w:val="1"/>
                <w:sz w:val="21"/>
                <w:szCs w:val="21"/>
                <w:highlight w:val="none"/>
                <w:lang w:eastAsia="zh-CN"/>
                <w14:textFill>
                  <w14:solidFill>
                    <w14:schemeClr w14:val="tx1"/>
                  </w14:solidFill>
                </w14:textFill>
              </w:rPr>
              <w:t>漆、塑</w:t>
            </w:r>
            <w:r>
              <w:rPr>
                <w:rFonts w:hint="default" w:ascii="Times New Roman" w:hAnsi="Times New Roman" w:cs="Times New Roman"/>
                <w:color w:val="000000" w:themeColor="text1"/>
                <w:spacing w:val="-1"/>
                <w:sz w:val="21"/>
                <w:szCs w:val="21"/>
                <w:highlight w:val="none"/>
                <w:lang w:eastAsia="zh-CN"/>
                <w14:textFill>
                  <w14:solidFill>
                    <w14:schemeClr w14:val="tx1"/>
                  </w14:solidFill>
                </w14:textFill>
              </w:rPr>
              <w:t>料、橡</w:t>
            </w:r>
            <w:r>
              <w:rPr>
                <w:rFonts w:hint="default" w:ascii="Times New Roman" w:hAnsi="Times New Roman" w:cs="Times New Roman"/>
                <w:color w:val="000000" w:themeColor="text1"/>
                <w:sz w:val="21"/>
                <w:szCs w:val="21"/>
                <w:highlight w:val="none"/>
                <w:lang w:eastAsia="zh-CN"/>
                <w14:textFill>
                  <w14:solidFill>
                    <w14:schemeClr w14:val="tx1"/>
                  </w14:solidFill>
                </w14:textFill>
              </w:rPr>
              <w:t>胶、造</w:t>
            </w: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纸、饲料等易产生恶臭气体</w:t>
            </w:r>
            <w:r>
              <w:rPr>
                <w:rFonts w:hint="default" w:ascii="Times New Roman" w:hAnsi="Times New Roman" w:cs="Times New Roman"/>
                <w:color w:val="000000" w:themeColor="text1"/>
                <w:spacing w:val="-8"/>
                <w:sz w:val="21"/>
                <w:szCs w:val="21"/>
                <w:highlight w:val="none"/>
                <w:lang w:eastAsia="zh-CN"/>
                <w14:textFill>
                  <w14:solidFill>
                    <w14:schemeClr w14:val="tx1"/>
                  </w14:solidFill>
                </w14:textFill>
              </w:rPr>
              <w:t>的生产项</w:t>
            </w:r>
            <w:r>
              <w:rPr>
                <w:rFonts w:hint="default" w:ascii="Times New Roman" w:hAnsi="Times New Roman" w:cs="Times New Roman"/>
                <w:color w:val="000000" w:themeColor="text1"/>
                <w:spacing w:val="-14"/>
                <w:sz w:val="21"/>
                <w:szCs w:val="21"/>
                <w:highlight w:val="none"/>
                <w:lang w:eastAsia="zh-CN"/>
                <w14:textFill>
                  <w14:solidFill>
                    <w14:schemeClr w14:val="tx1"/>
                  </w14:solidFill>
                </w14:textFill>
              </w:rPr>
              <w:t>目或者从</w:t>
            </w: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事其他产生恶臭气体的生产</w:t>
            </w:r>
            <w:r>
              <w:rPr>
                <w:rFonts w:hint="default" w:ascii="Times New Roman" w:hAnsi="Times New Roman" w:cs="Times New Roman"/>
                <w:color w:val="000000" w:themeColor="text1"/>
                <w:spacing w:val="-4"/>
                <w:sz w:val="21"/>
                <w:szCs w:val="21"/>
                <w:highlight w:val="none"/>
                <w:lang w:eastAsia="zh-CN"/>
                <w14:textFill>
                  <w14:solidFill>
                    <w14:schemeClr w14:val="tx1"/>
                  </w14:solidFill>
                </w14:textFill>
              </w:rPr>
              <w:t>经营活</w:t>
            </w: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动；</w:t>
            </w:r>
          </w:p>
          <w:p w14:paraId="7E22CFD2">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000000" w:themeColor="text1"/>
                <w:sz w:val="21"/>
                <w:szCs w:val="21"/>
                <w:highlight w:val="yellow"/>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3、本项目不涉及</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p>
        </w:tc>
        <w:tc>
          <w:tcPr>
            <w:tcW w:w="241" w:type="pct"/>
            <w:tcBorders>
              <w:top w:val="single" w:color="auto" w:sz="4" w:space="0"/>
              <w:bottom w:val="single" w:color="auto" w:sz="4" w:space="0"/>
            </w:tcBorders>
            <w:shd w:val="clear" w:color="auto" w:fill="auto"/>
            <w:vAlign w:val="center"/>
          </w:tcPr>
          <w:p w14:paraId="49433C5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相符</w:t>
            </w:r>
          </w:p>
        </w:tc>
      </w:tr>
      <w:tr w14:paraId="5875B0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tcPr>
          <w:p w14:paraId="4F971BE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tcPr>
          <w:p w14:paraId="45B52EC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tcPr>
          <w:p w14:paraId="593B9CC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tcPr>
          <w:p w14:paraId="52EC030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tcPr>
          <w:p w14:paraId="1A9888F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tcPr>
          <w:p w14:paraId="21B32B3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tcPr>
          <w:p w14:paraId="551E9FF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shd w:val="clear" w:color="auto" w:fill="auto"/>
            <w:vAlign w:val="center"/>
          </w:tcPr>
          <w:p w14:paraId="616B7A8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污染物排放管控</w:t>
            </w:r>
          </w:p>
        </w:tc>
        <w:tc>
          <w:tcPr>
            <w:tcW w:w="1712" w:type="pct"/>
            <w:shd w:val="clear" w:color="auto" w:fill="auto"/>
            <w:vAlign w:val="center"/>
          </w:tcPr>
          <w:p w14:paraId="182D2730">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cs="Times New Roman"/>
                <w:color w:val="000000" w:themeColor="text1"/>
                <w:spacing w:val="-4"/>
                <w:sz w:val="21"/>
                <w:szCs w:val="21"/>
                <w:lang w:val="en-US" w:eastAsia="zh-CN"/>
                <w14:textFill>
                  <w14:solidFill>
                    <w14:schemeClr w14:val="tx1"/>
                  </w14:solidFill>
                </w14:textFill>
              </w:rPr>
              <w:t>1、重点行业二氧化硫、氮氧化物、颗粒物、VOCs全面执行大气污染物特别排放限值。新建涉VOCs排放的工业企业要入园区，实行区域内VOCs排放等量或倍量削减替代。</w:t>
            </w:r>
          </w:p>
          <w:p w14:paraId="68525DE7">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cs="Times New Roman"/>
                <w:color w:val="000000" w:themeColor="text1"/>
                <w:spacing w:val="-4"/>
                <w:sz w:val="21"/>
                <w:szCs w:val="21"/>
                <w:lang w:val="en-US" w:eastAsia="zh-CN"/>
                <w14:textFill>
                  <w14:solidFill>
                    <w14:schemeClr w14:val="tx1"/>
                  </w14:solidFill>
                </w14:textFill>
              </w:rPr>
              <w:t>2、强化施工扬尘污染防治，做到工地周边围挡、物料堆放覆盖、土方开挖湿法作业、路面硬化、出入车辆清洗、渣土车辆密闭运输</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六个百分之百</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，禁止施工工地现场搅拌混凝土、现场配置砂浆。</w:t>
            </w:r>
          </w:p>
          <w:p w14:paraId="01C35AA9">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cs="Times New Roman"/>
                <w:color w:val="000000" w:themeColor="text1"/>
                <w:spacing w:val="-4"/>
                <w:sz w:val="21"/>
                <w:szCs w:val="21"/>
                <w:lang w:val="en-US" w:eastAsia="zh-CN"/>
                <w14:textFill>
                  <w14:solidFill>
                    <w14:schemeClr w14:val="tx1"/>
                  </w14:solidFill>
                </w14:textFill>
              </w:rPr>
              <w:t>3、京津冀2+26城市群完成应急减排清单编制工作，并动态更新，落实</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一厂一策</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等各项应急减排措施；严格落实施工工地</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六个百分之百</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要求；建成区5000平米及以上建筑工地全部安装在线监测和视频监控，并与当地行业主管部门联网。 汾渭平原城市群完成应急减排清单编制工作，并动态更新，落实</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一厂一策</w:t>
            </w:r>
            <w:r>
              <w:rPr>
                <w:rFonts w:hint="eastAsia" w:ascii="Times New Roman" w:hAnsi="Times New Roman" w:cs="Times New Roman"/>
                <w:color w:val="000000" w:themeColor="text1"/>
                <w:spacing w:val="-4"/>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 xml:space="preserve">等各项应急减排措施。 </w:t>
            </w:r>
          </w:p>
          <w:p w14:paraId="4978B976">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val="en-US" w:eastAsia="zh-CN"/>
                <w14:textFill>
                  <w14:solidFill>
                    <w14:schemeClr w14:val="tx1"/>
                  </w14:solidFill>
                </w14:textFill>
              </w:rPr>
              <w:t>4、关停退出热效率低下、敞开未封闭，装备简易落后、自动化水平低，布局分散、规模小、无组织排放突出，以及无治理设施或治理设施工艺落后的工业炉窑。基本淘汰35蒸吨/时及以下燃煤锅炉，确需保留的35蒸吨/时及以下燃煤锅炉，必须实现超低排放。</w:t>
            </w:r>
          </w:p>
        </w:tc>
        <w:tc>
          <w:tcPr>
            <w:tcW w:w="1023" w:type="pct"/>
            <w:shd w:val="clear" w:color="auto" w:fill="auto"/>
            <w:vAlign w:val="center"/>
          </w:tcPr>
          <w:p w14:paraId="38918207">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1、本项目不属于钢铁、焦化等重点行业；</w:t>
            </w:r>
          </w:p>
          <w:p w14:paraId="7EA5970F">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2、本项目不使用国三及以下排放标准汽车；</w:t>
            </w:r>
          </w:p>
          <w:p w14:paraId="251EAA5D">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000000" w:themeColor="text1"/>
                <w:sz w:val="21"/>
                <w:szCs w:val="21"/>
                <w:highlight w:val="yellow"/>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3、本项目不涉及</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p>
        </w:tc>
        <w:tc>
          <w:tcPr>
            <w:tcW w:w="241" w:type="pct"/>
            <w:shd w:val="clear" w:color="auto" w:fill="auto"/>
            <w:vAlign w:val="center"/>
          </w:tcPr>
          <w:p w14:paraId="0FD05C0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r w14:paraId="3B5A5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tcPr>
          <w:p w14:paraId="6750FE1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tcPr>
          <w:p w14:paraId="33CBEC3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tcPr>
          <w:p w14:paraId="381A0E6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tcPr>
          <w:p w14:paraId="7B86BB6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tcPr>
          <w:p w14:paraId="232FDB7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tcPr>
          <w:p w14:paraId="3A1B538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tcPr>
          <w:p w14:paraId="1D3E59B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shd w:val="clear" w:color="auto" w:fill="auto"/>
            <w:vAlign w:val="center"/>
          </w:tcPr>
          <w:p w14:paraId="191417A6">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环境风险防控</w:t>
            </w:r>
          </w:p>
        </w:tc>
        <w:tc>
          <w:tcPr>
            <w:tcW w:w="1712" w:type="pct"/>
            <w:shd w:val="clear" w:color="auto" w:fill="auto"/>
            <w:vAlign w:val="center"/>
          </w:tcPr>
          <w:p w14:paraId="72047CF3">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6"/>
                <w:sz w:val="21"/>
                <w:szCs w:val="21"/>
                <w:highlight w:val="none"/>
                <w:lang w:eastAsia="zh-CN"/>
                <w14:textFill>
                  <w14:solidFill>
                    <w14:schemeClr w14:val="tx1"/>
                  </w14:solidFill>
                </w14:textFill>
              </w:rPr>
              <w:t>/</w:t>
            </w:r>
          </w:p>
        </w:tc>
        <w:tc>
          <w:tcPr>
            <w:tcW w:w="1023" w:type="pct"/>
            <w:shd w:val="clear" w:color="auto" w:fill="auto"/>
            <w:vAlign w:val="center"/>
          </w:tcPr>
          <w:p w14:paraId="48B0B481">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241" w:type="pct"/>
            <w:shd w:val="clear" w:color="auto" w:fill="auto"/>
            <w:vAlign w:val="center"/>
          </w:tcPr>
          <w:p w14:paraId="3144867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36D68E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57" w:type="pct"/>
            <w:vMerge w:val="continue"/>
          </w:tcPr>
          <w:p w14:paraId="2588964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59" w:type="pct"/>
            <w:vMerge w:val="continue"/>
          </w:tcPr>
          <w:p w14:paraId="5D2E3DED">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6" w:type="pct"/>
            <w:vMerge w:val="continue"/>
          </w:tcPr>
          <w:p w14:paraId="60DBEF7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1" w:type="pct"/>
            <w:vMerge w:val="continue"/>
          </w:tcPr>
          <w:p w14:paraId="6565339D">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64" w:type="pct"/>
            <w:vMerge w:val="continue"/>
          </w:tcPr>
          <w:p w14:paraId="1A1389BB">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47" w:type="pct"/>
            <w:vMerge w:val="continue"/>
          </w:tcPr>
          <w:p w14:paraId="4B51179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64" w:type="pct"/>
            <w:vMerge w:val="continue"/>
          </w:tcPr>
          <w:p w14:paraId="42C69894">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241" w:type="pct"/>
            <w:shd w:val="clear" w:color="auto" w:fill="auto"/>
            <w:vAlign w:val="center"/>
          </w:tcPr>
          <w:p w14:paraId="39FE1EB6">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000000" w:themeColor="text1"/>
                <w:spacing w:val="-5"/>
                <w:sz w:val="21"/>
                <w:szCs w:val="21"/>
                <w14:textFill>
                  <w14:solidFill>
                    <w14:schemeClr w14:val="tx1"/>
                  </w14:solidFill>
                </w14:textFill>
              </w:rPr>
            </w:pPr>
            <w:r>
              <w:rPr>
                <w:rFonts w:hint="default" w:ascii="Times New Roman" w:hAnsi="Times New Roman" w:cs="Times New Roman"/>
                <w:color w:val="000000" w:themeColor="text1"/>
                <w:spacing w:val="-5"/>
                <w:sz w:val="21"/>
                <w:szCs w:val="21"/>
                <w14:textFill>
                  <w14:solidFill>
                    <w14:schemeClr w14:val="tx1"/>
                  </w14:solidFill>
                </w14:textFill>
              </w:rPr>
              <w:t>资源开发</w:t>
            </w:r>
            <w:r>
              <w:rPr>
                <w:rFonts w:hint="default" w:ascii="Times New Roman" w:hAnsi="Times New Roman" w:cs="Times New Roman"/>
                <w:color w:val="000000" w:themeColor="text1"/>
                <w:spacing w:val="-4"/>
                <w:sz w:val="21"/>
                <w:szCs w:val="21"/>
                <w14:textFill>
                  <w14:solidFill>
                    <w14:schemeClr w14:val="tx1"/>
                  </w14:solidFill>
                </w14:textFill>
              </w:rPr>
              <w:t>效率要求</w:t>
            </w:r>
          </w:p>
        </w:tc>
        <w:tc>
          <w:tcPr>
            <w:tcW w:w="1712" w:type="pct"/>
            <w:shd w:val="clear" w:color="auto" w:fill="auto"/>
            <w:vAlign w:val="center"/>
          </w:tcPr>
          <w:p w14:paraId="363C4498">
            <w:pPr>
              <w:pStyle w:val="35"/>
              <w:keepNext w:val="0"/>
              <w:keepLines w:val="0"/>
              <w:pageBreakBefore w:val="0"/>
              <w:widowControl w:val="0"/>
              <w:kinsoku/>
              <w:wordWrap/>
              <w:overflowPunct/>
              <w:topLinePunct w:val="0"/>
              <w:autoSpaceDE/>
              <w:autoSpaceDN/>
              <w:bidi w:val="0"/>
              <w:adjustRightInd/>
              <w:textAlignment w:val="auto"/>
              <w:rPr>
                <w:rFonts w:hint="default" w:ascii="Times New Roman" w:hAnsi="Times New Roman" w:cs="Times New Roman"/>
                <w:color w:val="000000" w:themeColor="text1"/>
                <w:spacing w:val="-4"/>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6"/>
                <w:sz w:val="21"/>
                <w:szCs w:val="21"/>
                <w:highlight w:val="none"/>
                <w:lang w:eastAsia="zh-CN"/>
                <w14:textFill>
                  <w14:solidFill>
                    <w14:schemeClr w14:val="tx1"/>
                  </w14:solidFill>
                </w14:textFill>
              </w:rPr>
              <w:t>/</w:t>
            </w:r>
          </w:p>
        </w:tc>
        <w:tc>
          <w:tcPr>
            <w:tcW w:w="1023" w:type="pct"/>
            <w:shd w:val="clear" w:color="auto" w:fill="auto"/>
            <w:vAlign w:val="center"/>
          </w:tcPr>
          <w:p w14:paraId="75CA66EC">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241" w:type="pct"/>
            <w:shd w:val="clear" w:color="auto" w:fill="auto"/>
            <w:vAlign w:val="center"/>
          </w:tcPr>
          <w:p w14:paraId="0FA457D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bl>
    <w:p w14:paraId="5F156A30">
      <w:pPr>
        <w:spacing w:line="360" w:lineRule="auto"/>
        <w:ind w:firstLine="480" w:firstLineChars="200"/>
      </w:pPr>
      <w:r>
        <w:rPr>
          <w:sz w:val="24"/>
        </w:rPr>
        <w:t>综上所述，项目建设符合</w:t>
      </w:r>
      <w:r>
        <w:rPr>
          <w:rFonts w:hint="eastAsia"/>
          <w:sz w:val="24"/>
          <w:lang w:eastAsia="zh-CN"/>
        </w:rPr>
        <w:t>“</w:t>
      </w:r>
      <w:r>
        <w:rPr>
          <w:sz w:val="24"/>
        </w:rPr>
        <w:t>三线一单</w:t>
      </w:r>
      <w:r>
        <w:rPr>
          <w:rFonts w:hint="eastAsia"/>
          <w:sz w:val="24"/>
          <w:lang w:eastAsia="zh-CN"/>
        </w:rPr>
        <w:t>”</w:t>
      </w:r>
      <w:r>
        <w:rPr>
          <w:sz w:val="24"/>
        </w:rPr>
        <w:t>分区管控要求</w:t>
      </w:r>
      <w:commentRangeStart w:id="37"/>
      <w:r>
        <w:rPr>
          <w:sz w:val="24"/>
        </w:rPr>
        <w:t>。</w:t>
      </w:r>
      <w:commentRangeEnd w:id="37"/>
      <w:r>
        <w:commentReference w:id="37"/>
      </w:r>
    </w:p>
    <w:p w14:paraId="07308779">
      <w:pPr>
        <w:sectPr>
          <w:pgSz w:w="16838" w:h="11906" w:orient="landscape"/>
          <w:pgMar w:top="1083" w:right="1440" w:bottom="1083" w:left="1440" w:header="851" w:footer="992" w:gutter="0"/>
          <w:pgNumType w:fmt="decimal"/>
          <w:cols w:space="0" w:num="1"/>
          <w:docGrid w:type="lines" w:linePitch="312" w:charSpace="0"/>
        </w:sectPr>
      </w:pPr>
    </w:p>
    <w:p w14:paraId="2C0FC99E">
      <w:pPr>
        <w:pStyle w:val="3"/>
        <w:numPr>
          <w:ilvl w:val="0"/>
          <w:numId w:val="0"/>
        </w:numPr>
        <w:spacing w:before="156"/>
        <w:ind w:firstLine="0" w:firstLineChars="0"/>
        <w:jc w:val="center"/>
        <w:rPr>
          <w:rFonts w:hint="eastAsia"/>
        </w:rPr>
      </w:pPr>
      <w:r>
        <w:rPr>
          <w:rFonts w:hint="eastAsia" w:ascii="Times New Roman" w:hAnsi="Times New Roman" w:eastAsia="宋体" w:cs="Times New Roman"/>
          <w:b/>
          <w:kern w:val="2"/>
          <w:sz w:val="30"/>
          <w:szCs w:val="24"/>
          <w:lang w:val="en-US" w:eastAsia="zh-CN" w:bidi="ar-SA"/>
        </w:rPr>
        <w:t>二、</w:t>
      </w:r>
      <w:r>
        <w:rPr>
          <w:rFonts w:hint="eastAsia"/>
        </w:rPr>
        <w:t>建设项目工程分析</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9505"/>
      </w:tblGrid>
      <w:tr w14:paraId="11585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9" w:type="pct"/>
            <w:vAlign w:val="center"/>
          </w:tcPr>
          <w:p w14:paraId="752A336C">
            <w:pPr>
              <w:numPr>
                <w:ilvl w:val="0"/>
                <w:numId w:val="0"/>
              </w:numPr>
              <w:jc w:val="both"/>
              <w:rPr>
                <w:sz w:val="24"/>
                <w:szCs w:val="24"/>
                <w:vertAlign w:val="baseline"/>
              </w:rPr>
            </w:pPr>
            <w:r>
              <w:rPr>
                <w:sz w:val="24"/>
                <w:szCs w:val="24"/>
                <w:vertAlign w:val="baseline"/>
              </w:rPr>
              <w:t>建设内容</w:t>
            </w:r>
          </w:p>
        </w:tc>
        <w:tc>
          <w:tcPr>
            <w:tcW w:w="4770" w:type="pct"/>
            <w:vAlign w:val="top"/>
          </w:tcPr>
          <w:p w14:paraId="1883420F">
            <w:pPr>
              <w:adjustRightInd w:val="0"/>
              <w:snapToGrid w:val="0"/>
              <w:spacing w:line="360" w:lineRule="auto"/>
              <w:ind w:firstLine="482" w:firstLineChars="200"/>
              <w:jc w:val="both"/>
              <w:rPr>
                <w:b/>
                <w:color w:val="auto"/>
                <w:sz w:val="24"/>
              </w:rPr>
            </w:pPr>
            <w:r>
              <w:rPr>
                <w:rFonts w:hint="eastAsia"/>
                <w:b/>
                <w:color w:val="auto"/>
                <w:sz w:val="24"/>
                <w:lang w:val="en-US" w:eastAsia="zh-CN"/>
              </w:rPr>
              <w:t>1、</w:t>
            </w:r>
            <w:r>
              <w:rPr>
                <w:b/>
                <w:color w:val="auto"/>
                <w:sz w:val="24"/>
              </w:rPr>
              <w:t>项目概况</w:t>
            </w:r>
          </w:p>
          <w:p w14:paraId="661AAB2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vertAlign w:val="baseline"/>
              </w:rPr>
            </w:pPr>
            <w:r>
              <w:rPr>
                <w:rFonts w:hint="eastAsia"/>
                <w:sz w:val="24"/>
                <w:szCs w:val="24"/>
                <w:vertAlign w:val="baseline"/>
              </w:rPr>
              <w:t>河南省上口香实</w:t>
            </w:r>
            <w:commentRangeStart w:id="38"/>
            <w:r>
              <w:rPr>
                <w:rFonts w:hint="eastAsia"/>
                <w:sz w:val="24"/>
                <w:szCs w:val="24"/>
                <w:vertAlign w:val="baseline"/>
              </w:rPr>
              <w:t>业有限公司</w:t>
            </w:r>
            <w:commentRangeEnd w:id="38"/>
            <w:r>
              <w:commentReference w:id="38"/>
            </w:r>
            <w:r>
              <w:rPr>
                <w:rFonts w:hint="eastAsia"/>
                <w:sz w:val="24"/>
                <w:szCs w:val="24"/>
                <w:vertAlign w:val="baseline"/>
              </w:rPr>
              <w:t>镇平分公司成立于20</w:t>
            </w:r>
            <w:r>
              <w:rPr>
                <w:rFonts w:hint="eastAsia"/>
                <w:sz w:val="24"/>
                <w:szCs w:val="24"/>
                <w:vertAlign w:val="baseline"/>
                <w:lang w:val="en-US" w:eastAsia="zh-CN"/>
              </w:rPr>
              <w:t>18</w:t>
            </w:r>
            <w:r>
              <w:rPr>
                <w:rFonts w:hint="eastAsia"/>
                <w:sz w:val="24"/>
                <w:szCs w:val="24"/>
                <w:vertAlign w:val="baseline"/>
              </w:rPr>
              <w:t>年</w:t>
            </w:r>
            <w:r>
              <w:rPr>
                <w:rFonts w:hint="eastAsia"/>
                <w:sz w:val="24"/>
                <w:szCs w:val="24"/>
                <w:vertAlign w:val="baseline"/>
                <w:lang w:val="en-US" w:eastAsia="zh-CN"/>
              </w:rPr>
              <w:t>03</w:t>
            </w:r>
            <w:r>
              <w:rPr>
                <w:rFonts w:hint="eastAsia"/>
                <w:sz w:val="24"/>
                <w:szCs w:val="24"/>
                <w:vertAlign w:val="baseline"/>
              </w:rPr>
              <w:t>月</w:t>
            </w:r>
            <w:r>
              <w:rPr>
                <w:rFonts w:hint="eastAsia"/>
                <w:sz w:val="24"/>
                <w:szCs w:val="24"/>
                <w:vertAlign w:val="baseline"/>
                <w:lang w:val="en-US" w:eastAsia="zh-CN"/>
              </w:rPr>
              <w:t>13</w:t>
            </w:r>
            <w:r>
              <w:rPr>
                <w:rFonts w:hint="eastAsia"/>
                <w:sz w:val="24"/>
                <w:szCs w:val="24"/>
                <w:vertAlign w:val="baseline"/>
              </w:rPr>
              <w:t>日，</w:t>
            </w:r>
            <w:r>
              <w:rPr>
                <w:rFonts w:hint="default" w:ascii="Times New Roman" w:hAnsi="Times New Roman" w:eastAsia="宋体" w:cs="Times New Roman"/>
                <w:color w:val="000000"/>
                <w:sz w:val="24"/>
                <w:szCs w:val="24"/>
              </w:rPr>
              <w:t>为考虑市场需求及企业发展前景，</w:t>
            </w:r>
            <w:r>
              <w:rPr>
                <w:rFonts w:hint="eastAsia"/>
                <w:sz w:val="24"/>
                <w:szCs w:val="24"/>
                <w:vertAlign w:val="baseline"/>
              </w:rPr>
              <w:t>公司拟投资</w:t>
            </w:r>
            <w:r>
              <w:rPr>
                <w:rFonts w:hint="eastAsia"/>
                <w:sz w:val="24"/>
                <w:szCs w:val="24"/>
                <w:vertAlign w:val="baseline"/>
                <w:lang w:val="en-US" w:eastAsia="zh-CN"/>
              </w:rPr>
              <w:t>300</w:t>
            </w:r>
            <w:r>
              <w:rPr>
                <w:rFonts w:hint="eastAsia"/>
                <w:sz w:val="24"/>
                <w:szCs w:val="24"/>
                <w:vertAlign w:val="baseline"/>
              </w:rPr>
              <w:t>0万元建设上口香智能化中央厨房项目，项目租赁标准化生产车间共计建筑面积3672.2平方米，购置清洗机、切菜机、</w:t>
            </w:r>
            <w:r>
              <w:rPr>
                <w:rFonts w:hint="eastAsia"/>
                <w:sz w:val="24"/>
                <w:szCs w:val="24"/>
                <w:vertAlign w:val="baseline"/>
                <w:lang w:val="en-US" w:eastAsia="zh-CN"/>
              </w:rPr>
              <w:t>电炒锅</w:t>
            </w:r>
            <w:r>
              <w:rPr>
                <w:rFonts w:hint="eastAsia"/>
                <w:sz w:val="24"/>
                <w:szCs w:val="24"/>
                <w:vertAlign w:val="baseline"/>
              </w:rPr>
              <w:t>、燃气炒锅以及燃气汤锅等主要设备，</w:t>
            </w:r>
            <w:r>
              <w:rPr>
                <w:rFonts w:hint="eastAsia"/>
                <w:sz w:val="24"/>
                <w:szCs w:val="24"/>
                <w:vertAlign w:val="baseline"/>
                <w:lang w:val="en-US" w:eastAsia="zh-CN"/>
              </w:rPr>
              <w:t>项目建成投产后可达</w:t>
            </w:r>
            <w:r>
              <w:rPr>
                <w:rFonts w:hint="eastAsia"/>
                <w:sz w:val="24"/>
                <w:szCs w:val="24"/>
                <w:vertAlign w:val="baseline"/>
              </w:rPr>
              <w:t>年产200万份热链餐食的生产能力。</w:t>
            </w:r>
          </w:p>
          <w:p w14:paraId="2571523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color w:val="000000" w:themeColor="text1"/>
                <w:sz w:val="24"/>
                <w:u w:val="none"/>
                <w:lang w:eastAsia="zh-CN"/>
                <w14:textFill>
                  <w14:solidFill>
                    <w14:schemeClr w14:val="tx1"/>
                  </w14:solidFill>
                </w14:textFill>
              </w:rPr>
            </w:pPr>
            <w:r>
              <w:rPr>
                <w:rFonts w:hint="default" w:ascii="Times New Roman" w:hAnsi="Times New Roman" w:eastAsia="宋体" w:cs="Times New Roman"/>
                <w:color w:val="000000"/>
                <w:sz w:val="24"/>
                <w:szCs w:val="24"/>
              </w:rPr>
              <w:t>根据《中华人民共和国环境保护法》、《中华人民共和国环境影响评价法》</w:t>
            </w:r>
            <w:del w:id="6" w:author="Administrator" w:date="2025-10-03T21:33:58Z">
              <w:r>
                <w:rPr>
                  <w:rFonts w:hint="default" w:ascii="Times New Roman" w:hAnsi="Times New Roman" w:eastAsia="宋体" w:cs="Times New Roman"/>
                  <w:color w:val="000000"/>
                  <w:sz w:val="24"/>
                  <w:szCs w:val="24"/>
                </w:rPr>
                <w:delText>，</w:delText>
              </w:r>
            </w:del>
            <w:ins w:id="7" w:author="Administrator" w:date="2025-10-03T21:33:58Z">
              <w:r>
                <w:rPr>
                  <w:rFonts w:hint="eastAsia" w:cs="Times New Roman"/>
                  <w:color w:val="000000"/>
                  <w:sz w:val="24"/>
                  <w:szCs w:val="24"/>
                  <w:lang w:eastAsia="zh-CN"/>
                </w:rPr>
                <w:t>、</w:t>
              </w:r>
            </w:ins>
            <w:r>
              <w:rPr>
                <w:rFonts w:hint="default" w:ascii="Times New Roman" w:hAnsi="Times New Roman" w:eastAsia="宋体" w:cs="Times New Roman"/>
                <w:color w:val="000000"/>
                <w:sz w:val="24"/>
                <w:szCs w:val="24"/>
              </w:rPr>
              <w:t>国务院令第682号《建设项目环境保护管理条例》有关规定，需对该项目进行环境影响评价。受河南省上口香实业有限公司镇平分公司的委托，我公司承担了该项目的环境影响评价工作。</w:t>
            </w:r>
            <w:r>
              <w:rPr>
                <w:rFonts w:hint="eastAsia"/>
                <w:color w:val="000000"/>
                <w:sz w:val="24"/>
                <w:lang w:val="en-US" w:eastAsia="zh-CN"/>
              </w:rPr>
              <w:t>本项目进行热链餐食的生产，</w:t>
            </w:r>
            <w:r>
              <w:rPr>
                <w:color w:val="000000" w:themeColor="text1"/>
                <w:sz w:val="24"/>
                <w:u w:val="none"/>
                <w14:textFill>
                  <w14:solidFill>
                    <w14:schemeClr w14:val="tx1"/>
                  </w14:solidFill>
                </w14:textFill>
              </w:rPr>
              <w:t>经比对《建设项目环境影响评价分类管理名录</w:t>
            </w:r>
            <w:r>
              <w:rPr>
                <w:rFonts w:hint="eastAsia"/>
                <w:color w:val="000000" w:themeColor="text1"/>
                <w:sz w:val="24"/>
                <w:u w:val="none"/>
                <w14:textFill>
                  <w14:solidFill>
                    <w14:schemeClr w14:val="tx1"/>
                  </w14:solidFill>
                </w14:textFill>
              </w:rPr>
              <w:t>（2021年版）</w:t>
            </w:r>
            <w:r>
              <w:rPr>
                <w:color w:val="000000" w:themeColor="text1"/>
                <w:sz w:val="24"/>
                <w:u w:val="none"/>
                <w14:textFill>
                  <w14:solidFill>
                    <w14:schemeClr w14:val="tx1"/>
                  </w14:solidFill>
                </w14:textFill>
              </w:rPr>
              <w:t>》（</w:t>
            </w:r>
            <w:r>
              <w:rPr>
                <w:rFonts w:hint="eastAsia"/>
                <w:color w:val="000000" w:themeColor="text1"/>
                <w:sz w:val="24"/>
                <w:u w:val="none"/>
                <w14:textFill>
                  <w14:solidFill>
                    <w14:schemeClr w14:val="tx1"/>
                  </w14:solidFill>
                </w14:textFill>
              </w:rPr>
              <w:t>生态环境部 部令第16号</w:t>
            </w:r>
            <w:r>
              <w:rPr>
                <w:color w:val="000000" w:themeColor="text1"/>
                <w:sz w:val="24"/>
                <w:u w:val="none"/>
                <w14:textFill>
                  <w14:solidFill>
                    <w14:schemeClr w14:val="tx1"/>
                  </w14:solidFill>
                </w14:textFill>
              </w:rPr>
              <w:t>）</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项目属于</w:t>
            </w:r>
            <w:r>
              <w:rPr>
                <w:rFonts w:hint="default" w:eastAsia="宋体"/>
                <w:color w:val="000000"/>
                <w:sz w:val="24"/>
                <w:lang w:val="en-US" w:eastAsia="zh-CN"/>
              </w:rPr>
              <w:t>十一、食品制造业14</w:t>
            </w:r>
            <w:r>
              <w:rPr>
                <w:rFonts w:hint="eastAsia"/>
                <w:color w:val="000000" w:themeColor="text1"/>
                <w:sz w:val="24"/>
                <w:u w:val="none"/>
                <w14:textFill>
                  <w14:solidFill>
                    <w14:schemeClr w14:val="tx1"/>
                  </w14:solidFill>
                </w14:textFill>
              </w:rPr>
              <w:t>”中“</w:t>
            </w:r>
            <w:r>
              <w:rPr>
                <w:rFonts w:hint="eastAsia"/>
                <w:color w:val="000000" w:themeColor="text1"/>
                <w:sz w:val="24"/>
                <w:u w:val="none"/>
                <w:lang w:val="en-US" w:eastAsia="zh-CN"/>
                <w14:textFill>
                  <w14:solidFill>
                    <w14:schemeClr w14:val="tx1"/>
                  </w14:solidFill>
                </w14:textFill>
              </w:rPr>
              <w:t>21糖果、巧克力及</w:t>
            </w:r>
            <w:commentRangeStart w:id="39"/>
            <w:r>
              <w:rPr>
                <w:rFonts w:hint="eastAsia"/>
                <w:color w:val="000000" w:themeColor="text1"/>
                <w:sz w:val="24"/>
                <w:u w:val="none"/>
                <w:lang w:val="en-US" w:eastAsia="zh-CN"/>
                <w14:textFill>
                  <w14:solidFill>
                    <w14:schemeClr w14:val="tx1"/>
                  </w14:solidFill>
                </w14:textFill>
              </w:rPr>
              <w:t>蜜饯制造 142*；方便食品制造 143*；罐头食品制造145*—除单</w:t>
            </w:r>
            <w:commentRangeEnd w:id="39"/>
            <w:r>
              <w:commentReference w:id="39"/>
            </w:r>
            <w:r>
              <w:rPr>
                <w:rFonts w:hint="eastAsia"/>
                <w:color w:val="000000" w:themeColor="text1"/>
                <w:sz w:val="24"/>
                <w:u w:val="none"/>
                <w:lang w:val="en-US" w:eastAsia="zh-CN"/>
                <w14:textFill>
                  <w14:solidFill>
                    <w14:schemeClr w14:val="tx1"/>
                  </w14:solidFill>
                </w14:textFill>
              </w:rPr>
              <w:t>纯分装外的”；</w:t>
            </w:r>
            <w:r>
              <w:rPr>
                <w:rFonts w:hint="eastAsia"/>
                <w:color w:val="000000" w:themeColor="text1"/>
                <w:sz w:val="24"/>
                <w:u w:val="none"/>
                <w14:textFill>
                  <w14:solidFill>
                    <w14:schemeClr w14:val="tx1"/>
                  </w14:solidFill>
                </w14:textFill>
              </w:rPr>
              <w:t>应编制环境影响报告表</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因此最终确定本项目应编制</w:t>
            </w:r>
            <w:r>
              <w:rPr>
                <w:rFonts w:hint="eastAsia"/>
                <w:color w:val="000000" w:themeColor="text1"/>
                <w:sz w:val="24"/>
                <w:u w:val="none"/>
                <w14:textFill>
                  <w14:solidFill>
                    <w14:schemeClr w14:val="tx1"/>
                  </w14:solidFill>
                </w14:textFill>
              </w:rPr>
              <w:t>编制环境影响报告表</w:t>
            </w:r>
            <w:r>
              <w:rPr>
                <w:rFonts w:hint="eastAsia"/>
                <w:color w:val="000000" w:themeColor="text1"/>
                <w:sz w:val="24"/>
                <w:u w:val="none"/>
                <w:lang w:eastAsia="zh-CN"/>
                <w14:textFill>
                  <w14:solidFill>
                    <w14:schemeClr w14:val="tx1"/>
                  </w14:solidFill>
                </w14:textFill>
              </w:rPr>
              <w:t>。</w:t>
            </w:r>
          </w:p>
          <w:p w14:paraId="554B8E8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评价单位在现场踏勘、资料收集、充分类比分析等工作的基础上，按照《建设项目环境影响报告表编制技术指南（污染影响类）（试行）》中相关要求，编制完成了本项目的环境影响报告表。</w:t>
            </w:r>
          </w:p>
          <w:p w14:paraId="4CAA23E9">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2、建设规模</w:t>
            </w:r>
          </w:p>
          <w:p w14:paraId="7E3452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u w:val="none" w:color="auto"/>
              </w:rPr>
              <w:t>本项目主要</w:t>
            </w:r>
            <w:r>
              <w:rPr>
                <w:rFonts w:hint="default" w:ascii="Times New Roman" w:hAnsi="Times New Roman" w:eastAsia="宋体" w:cs="Times New Roman"/>
                <w:color w:val="auto"/>
                <w:sz w:val="24"/>
                <w:szCs w:val="24"/>
                <w:u w:val="none" w:color="auto"/>
                <w:lang w:val="en-US" w:eastAsia="zh-CN"/>
              </w:rPr>
              <w:t>从事热链餐食的生产</w:t>
            </w:r>
            <w:r>
              <w:rPr>
                <w:rFonts w:hint="default" w:ascii="Times New Roman" w:hAnsi="Times New Roman" w:eastAsia="宋体" w:cs="Times New Roman"/>
                <w:color w:val="auto"/>
                <w:sz w:val="24"/>
                <w:szCs w:val="24"/>
                <w:u w:val="none" w:color="auto"/>
              </w:rPr>
              <w:t>。根据市场需求及企业发展规划，预计本项目</w:t>
            </w:r>
            <w:r>
              <w:rPr>
                <w:rFonts w:hint="default" w:ascii="Times New Roman" w:hAnsi="Times New Roman" w:eastAsia="宋体" w:cs="Times New Roman"/>
                <w:color w:val="000000"/>
                <w:sz w:val="24"/>
                <w:szCs w:val="24"/>
              </w:rPr>
              <w:t>建成投产后可达</w:t>
            </w:r>
            <w:r>
              <w:rPr>
                <w:rFonts w:hint="eastAsia"/>
                <w:sz w:val="24"/>
                <w:szCs w:val="24"/>
                <w:vertAlign w:val="baseline"/>
              </w:rPr>
              <w:t>年产200万份热链餐食的</w:t>
            </w:r>
            <w:r>
              <w:rPr>
                <w:rFonts w:hint="default" w:ascii="Times New Roman" w:hAnsi="Times New Roman" w:eastAsia="宋体" w:cs="Times New Roman"/>
                <w:color w:val="000000"/>
                <w:sz w:val="24"/>
                <w:szCs w:val="24"/>
              </w:rPr>
              <w:t>生产规模。</w:t>
            </w:r>
          </w:p>
          <w:p w14:paraId="68F285D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2" w:firstLineChars="200"/>
              <w:jc w:val="both"/>
              <w:textAlignment w:val="auto"/>
              <w:rPr>
                <w:rFonts w:hint="default" w:ascii="Times New Roman" w:hAnsi="Times New Roman" w:eastAsia="宋体" w:cs="Times New Roman"/>
                <w:b/>
                <w:bCs/>
                <w:color w:val="auto"/>
                <w:sz w:val="24"/>
                <w:szCs w:val="24"/>
                <w:u w:val="none" w:color="auto"/>
              </w:rPr>
            </w:pPr>
            <w:r>
              <w:rPr>
                <w:rFonts w:hint="default" w:ascii="Times New Roman" w:hAnsi="Times New Roman" w:eastAsia="宋体" w:cs="Times New Roman"/>
                <w:b/>
                <w:bCs/>
                <w:color w:val="auto"/>
                <w:sz w:val="24"/>
                <w:szCs w:val="24"/>
                <w:u w:val="none" w:color="auto"/>
              </w:rPr>
              <w:t>3、建设内容</w:t>
            </w:r>
          </w:p>
          <w:p w14:paraId="3441B73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eastAsia="宋体" w:cs="Times New Roman"/>
                <w:color w:val="auto"/>
                <w:sz w:val="24"/>
                <w:szCs w:val="24"/>
                <w:highlight w:val="none"/>
                <w:u w:val="none" w:color="auto"/>
              </w:rPr>
              <w:t>本次项目总投资</w:t>
            </w:r>
            <w:r>
              <w:rPr>
                <w:rFonts w:hint="eastAsia" w:cs="Times New Roman"/>
                <w:color w:val="auto"/>
                <w:sz w:val="24"/>
                <w:szCs w:val="24"/>
                <w:highlight w:val="none"/>
                <w:u w:val="none" w:color="auto"/>
                <w:lang w:val="en-US" w:eastAsia="zh-CN"/>
              </w:rPr>
              <w:t>30</w:t>
            </w:r>
            <w:r>
              <w:rPr>
                <w:rFonts w:hint="default" w:ascii="Times New Roman" w:hAnsi="Times New Roman" w:eastAsia="宋体" w:cs="Times New Roman"/>
                <w:color w:val="auto"/>
                <w:sz w:val="24"/>
                <w:szCs w:val="24"/>
                <w:highlight w:val="none"/>
                <w:u w:val="none" w:color="auto"/>
                <w:lang w:val="en-US" w:eastAsia="zh-CN"/>
              </w:rPr>
              <w:t>00万元</w:t>
            </w:r>
            <w:r>
              <w:rPr>
                <w:rFonts w:hint="default" w:ascii="Times New Roman" w:hAnsi="Times New Roman" w:eastAsia="宋体" w:cs="Times New Roman"/>
                <w:color w:val="auto"/>
                <w:sz w:val="24"/>
                <w:szCs w:val="24"/>
                <w:highlight w:val="none"/>
                <w:u w:val="none" w:color="auto"/>
              </w:rPr>
              <w:t>，</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占地面积</w:t>
            </w:r>
            <w:r>
              <w:rPr>
                <w:rFonts w:hint="eastAsia"/>
                <w:sz w:val="24"/>
                <w:szCs w:val="24"/>
                <w:vertAlign w:val="baseline"/>
              </w:rPr>
              <w:t>3672.2</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strike w:val="0"/>
                <w:dstrike w:val="0"/>
                <w:color w:val="000000" w:themeColor="text1"/>
                <w:sz w:val="24"/>
                <w:szCs w:val="24"/>
                <w:highlight w:val="none"/>
                <w:u w:val="none" w:color="auto"/>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建筑面积</w:t>
            </w:r>
            <w:r>
              <w:rPr>
                <w:rFonts w:hint="eastAsia"/>
                <w:sz w:val="24"/>
                <w:szCs w:val="24"/>
                <w:vertAlign w:val="baseline"/>
              </w:rPr>
              <w:t>3672.2</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strike w:val="0"/>
                <w:dstrike w:val="0"/>
                <w:color w:val="000000" w:themeColor="text1"/>
                <w:sz w:val="24"/>
                <w:szCs w:val="24"/>
                <w:highlight w:val="none"/>
                <w:u w:val="none" w:color="auto"/>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w:t>
            </w:r>
            <w:commentRangeStart w:id="40"/>
            <w:r>
              <w:rPr>
                <w:rFonts w:hint="default" w:ascii="Times New Roman" w:hAnsi="Times New Roman" w:eastAsia="宋体" w:cs="Times New Roman"/>
                <w:color w:val="auto"/>
                <w:sz w:val="24"/>
                <w:szCs w:val="24"/>
                <w:highlight w:val="none"/>
                <w:u w:val="none" w:color="auto"/>
              </w:rPr>
              <w:t>本项目主要主体工程：</w:t>
            </w:r>
            <w:r>
              <w:rPr>
                <w:rFonts w:hint="default" w:ascii="Times New Roman" w:hAnsi="Times New Roman" w:eastAsia="宋体" w:cs="Times New Roman"/>
                <w:color w:val="auto"/>
                <w:sz w:val="24"/>
                <w:szCs w:val="24"/>
                <w:highlight w:val="none"/>
                <w:u w:val="none" w:color="auto"/>
                <w:lang w:val="en-US" w:eastAsia="zh-CN"/>
              </w:rPr>
              <w:t>生产车间及其他配套辅助设施：办公区等；</w:t>
            </w:r>
            <w:r>
              <w:rPr>
                <w:rFonts w:hint="default" w:ascii="Times New Roman" w:hAnsi="Times New Roman" w:eastAsia="宋体" w:cs="Times New Roman"/>
                <w:color w:val="auto"/>
                <w:sz w:val="24"/>
                <w:szCs w:val="24"/>
                <w:highlight w:val="none"/>
                <w:u w:val="none" w:color="auto"/>
              </w:rPr>
              <w:t>公用工程：</w:t>
            </w:r>
            <w:commentRangeEnd w:id="40"/>
            <w:r>
              <w:commentReference w:id="40"/>
            </w:r>
            <w:r>
              <w:rPr>
                <w:rFonts w:hint="default" w:ascii="Times New Roman" w:hAnsi="Times New Roman" w:eastAsia="宋体" w:cs="Times New Roman"/>
                <w:color w:val="auto"/>
                <w:sz w:val="24"/>
                <w:szCs w:val="24"/>
                <w:highlight w:val="none"/>
                <w:u w:val="none" w:color="auto"/>
              </w:rPr>
              <w:t>供电、供水等</w:t>
            </w:r>
            <w:r>
              <w:rPr>
                <w:rFonts w:hint="default" w:ascii="Times New Roman" w:hAnsi="Times New Roman" w:eastAsia="宋体" w:cs="Times New Roman"/>
                <w:color w:val="auto"/>
                <w:sz w:val="24"/>
                <w:szCs w:val="24"/>
                <w:highlight w:val="none"/>
                <w:u w:val="none" w:color="auto"/>
                <w:lang w:eastAsia="zh-CN"/>
              </w:rPr>
              <w:t>，项目</w:t>
            </w:r>
            <w:r>
              <w:rPr>
                <w:rFonts w:hint="default" w:ascii="Times New Roman" w:hAnsi="Times New Roman" w:eastAsia="宋体" w:cs="Times New Roman"/>
                <w:color w:val="auto"/>
                <w:sz w:val="24"/>
                <w:szCs w:val="24"/>
                <w:u w:val="none" w:color="auto"/>
                <w:lang w:val="en-US" w:eastAsia="zh-CN"/>
              </w:rPr>
              <w:t>建设与备案内容相符性分析见下表：</w:t>
            </w:r>
          </w:p>
          <w:p w14:paraId="536625B9">
            <w:pPr>
              <w:keepNext w:val="0"/>
              <w:keepLines w:val="0"/>
              <w:pageBreakBefore w:val="0"/>
              <w:widowControl w:val="0"/>
              <w:suppressLineNumbers w:val="0"/>
              <w:kinsoku/>
              <w:wordWrap/>
              <w:overflowPunct/>
              <w:topLinePunct w:val="0"/>
              <w:autoSpaceDE/>
              <w:autoSpaceDN/>
              <w:bidi w:val="0"/>
              <w:spacing w:beforeAutospacing="0" w:afterAutospacing="0" w:line="360" w:lineRule="auto"/>
              <w:ind w:left="0" w:right="0" w:firstLine="482" w:firstLineChars="200"/>
              <w:jc w:val="center"/>
              <w:textAlignment w:val="auto"/>
              <w:rPr>
                <w:rFonts w:hint="default" w:ascii="Times New Roman" w:hAnsi="Times New Roman" w:eastAsia="宋体" w:cs="Times New Roman"/>
                <w:b/>
                <w:bCs/>
                <w:color w:val="auto"/>
                <w:sz w:val="24"/>
                <w:szCs w:val="24"/>
                <w:u w:val="none" w:color="auto"/>
                <w:lang w:val="en-US" w:eastAsia="zh-CN"/>
              </w:rPr>
            </w:pPr>
            <w:r>
              <w:rPr>
                <w:rFonts w:hint="default" w:ascii="Times New Roman" w:hAnsi="Times New Roman" w:eastAsia="宋体" w:cs="Times New Roman"/>
                <w:b/>
                <w:bCs/>
                <w:color w:val="auto"/>
                <w:sz w:val="24"/>
                <w:szCs w:val="24"/>
                <w:u w:val="none" w:color="auto"/>
              </w:rPr>
              <w:t>表2-</w:t>
            </w:r>
            <w:r>
              <w:rPr>
                <w:rFonts w:hint="eastAsia" w:cs="Times New Roman"/>
                <w:b/>
                <w:bCs/>
                <w:color w:val="auto"/>
                <w:sz w:val="24"/>
                <w:szCs w:val="24"/>
                <w:u w:val="none" w:color="auto"/>
                <w:lang w:val="en-US" w:eastAsia="zh-CN"/>
              </w:rPr>
              <w:t xml:space="preserve">1  </w:t>
            </w:r>
            <w:r>
              <w:rPr>
                <w:rFonts w:hint="default" w:ascii="Times New Roman" w:hAnsi="Times New Roman" w:eastAsia="宋体" w:cs="Times New Roman"/>
                <w:b/>
                <w:bCs/>
                <w:color w:val="auto"/>
                <w:sz w:val="24"/>
                <w:szCs w:val="24"/>
                <w:u w:val="none" w:color="auto"/>
                <w:lang w:eastAsia="zh-CN"/>
              </w:rPr>
              <w:t>项目</w:t>
            </w:r>
            <w:r>
              <w:rPr>
                <w:rFonts w:hint="default" w:ascii="Times New Roman" w:hAnsi="Times New Roman" w:eastAsia="宋体" w:cs="Times New Roman"/>
                <w:b/>
                <w:bCs/>
                <w:color w:val="auto"/>
                <w:sz w:val="24"/>
                <w:szCs w:val="24"/>
                <w:u w:val="none" w:color="auto"/>
                <w:lang w:val="en-US" w:eastAsia="zh-CN"/>
              </w:rPr>
              <w:t>建设与备案内容相符性分析</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4"/>
              <w:gridCol w:w="1245"/>
              <w:gridCol w:w="3068"/>
              <w:gridCol w:w="3094"/>
              <w:gridCol w:w="952"/>
            </w:tblGrid>
            <w:tr w14:paraId="534EF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493" w:type="pct"/>
                  <w:noWrap w:val="0"/>
                  <w:vAlign w:val="center"/>
                </w:tcPr>
                <w:p w14:paraId="4DD898D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序号</w:t>
                  </w:r>
                </w:p>
              </w:tc>
              <w:tc>
                <w:tcPr>
                  <w:tcW w:w="671" w:type="pct"/>
                  <w:noWrap w:val="0"/>
                  <w:vAlign w:val="center"/>
                </w:tcPr>
                <w:p w14:paraId="598A122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项目</w:t>
                  </w:r>
                </w:p>
              </w:tc>
              <w:tc>
                <w:tcPr>
                  <w:tcW w:w="1654" w:type="pct"/>
                  <w:noWrap w:val="0"/>
                  <w:vAlign w:val="center"/>
                </w:tcPr>
                <w:p w14:paraId="2C86443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备案情况</w:t>
                  </w:r>
                </w:p>
              </w:tc>
              <w:tc>
                <w:tcPr>
                  <w:tcW w:w="1668" w:type="pct"/>
                  <w:noWrap w:val="0"/>
                  <w:vAlign w:val="center"/>
                </w:tcPr>
                <w:p w14:paraId="61EBA24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环评情况</w:t>
                  </w:r>
                </w:p>
              </w:tc>
              <w:tc>
                <w:tcPr>
                  <w:tcW w:w="513" w:type="pct"/>
                  <w:noWrap w:val="0"/>
                  <w:vAlign w:val="center"/>
                </w:tcPr>
                <w:p w14:paraId="693E6B4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相符性</w:t>
                  </w:r>
                </w:p>
              </w:tc>
            </w:tr>
            <w:tr w14:paraId="1BA2B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760BEF0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highlight w:val="none"/>
                      <w:u w:val="none" w:color="auto"/>
                      <w:vertAlign w:val="baseline"/>
                      <w:lang w:val="en-US" w:eastAsia="zh-CN"/>
                    </w:rPr>
                    <w:t>1</w:t>
                  </w:r>
                </w:p>
              </w:tc>
              <w:tc>
                <w:tcPr>
                  <w:tcW w:w="671" w:type="pct"/>
                  <w:noWrap w:val="0"/>
                  <w:vAlign w:val="center"/>
                </w:tcPr>
                <w:p w14:paraId="70C6286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建设单位</w:t>
                  </w:r>
                </w:p>
              </w:tc>
              <w:tc>
                <w:tcPr>
                  <w:tcW w:w="1654" w:type="pct"/>
                  <w:noWrap w:val="0"/>
                  <w:vAlign w:val="center"/>
                </w:tcPr>
                <w:p w14:paraId="5651B05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val="en-US" w:eastAsia="zh-CN"/>
                    </w:rPr>
                    <w:t>河南省上口香实业有限公司镇平分公司</w:t>
                  </w:r>
                </w:p>
              </w:tc>
              <w:tc>
                <w:tcPr>
                  <w:tcW w:w="1668" w:type="pct"/>
                  <w:noWrap w:val="0"/>
                  <w:vAlign w:val="center"/>
                </w:tcPr>
                <w:p w14:paraId="7998C88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rPr>
                  </w:pPr>
                  <w:r>
                    <w:rPr>
                      <w:rFonts w:hint="default" w:ascii="Times New Roman" w:hAnsi="Times New Roman" w:eastAsia="宋体" w:cs="Times New Roman"/>
                      <w:color w:val="auto"/>
                      <w:sz w:val="21"/>
                      <w:szCs w:val="21"/>
                      <w:highlight w:val="none"/>
                      <w:u w:val="none" w:color="auto"/>
                      <w:vertAlign w:val="baseline"/>
                      <w:lang w:val="en-US" w:eastAsia="zh-CN"/>
                    </w:rPr>
                    <w:t>河南省上口香实业有限公司镇平分公司</w:t>
                  </w:r>
                </w:p>
              </w:tc>
              <w:tc>
                <w:tcPr>
                  <w:tcW w:w="513" w:type="pct"/>
                  <w:noWrap w:val="0"/>
                  <w:vAlign w:val="center"/>
                </w:tcPr>
                <w:p w14:paraId="4F12B14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相符</w:t>
                  </w:r>
                </w:p>
              </w:tc>
            </w:tr>
            <w:tr w14:paraId="660EC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503C128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highlight w:val="none"/>
                      <w:u w:val="none" w:color="auto"/>
                      <w:vertAlign w:val="baseline"/>
                      <w:lang w:val="en-US" w:eastAsia="zh-CN"/>
                    </w:rPr>
                    <w:t>2</w:t>
                  </w:r>
                </w:p>
              </w:tc>
              <w:tc>
                <w:tcPr>
                  <w:tcW w:w="671" w:type="pct"/>
                  <w:noWrap w:val="0"/>
                  <w:vAlign w:val="center"/>
                </w:tcPr>
                <w:p w14:paraId="750CA2B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建设地点</w:t>
                  </w:r>
                </w:p>
              </w:tc>
              <w:tc>
                <w:tcPr>
                  <w:tcW w:w="1654" w:type="pct"/>
                  <w:noWrap w:val="0"/>
                  <w:vAlign w:val="center"/>
                </w:tcPr>
                <w:p w14:paraId="6BE5D86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eastAsia" w:ascii="Times New Roman" w:hAnsi="Times New Roman" w:cs="Times New Roman"/>
                      <w:color w:val="auto"/>
                      <w:sz w:val="21"/>
                      <w:szCs w:val="21"/>
                      <w:highlight w:val="none"/>
                      <w:u w:val="none" w:color="auto"/>
                      <w:vertAlign w:val="baseline"/>
                      <w:lang w:val="en-US" w:eastAsia="zh-CN"/>
                    </w:rPr>
                    <w:t>南阳市镇平县乡村振兴创业园4号楼1楼南</w:t>
                  </w:r>
                </w:p>
              </w:tc>
              <w:tc>
                <w:tcPr>
                  <w:tcW w:w="1668" w:type="pct"/>
                  <w:noWrap w:val="0"/>
                  <w:vAlign w:val="center"/>
                </w:tcPr>
                <w:p w14:paraId="70A040E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rPr>
                  </w:pPr>
                  <w:r>
                    <w:rPr>
                      <w:rFonts w:hint="eastAsia" w:ascii="Times New Roman" w:hAnsi="Times New Roman" w:cs="Times New Roman"/>
                      <w:color w:val="auto"/>
                      <w:sz w:val="21"/>
                      <w:szCs w:val="21"/>
                      <w:highlight w:val="none"/>
                      <w:u w:val="none" w:color="auto"/>
                      <w:vertAlign w:val="baseline"/>
                      <w:lang w:val="en-US" w:eastAsia="zh-CN"/>
                    </w:rPr>
                    <w:t>南阳市镇平县乡村振兴创业园4号楼1楼南</w:t>
                  </w:r>
                </w:p>
              </w:tc>
              <w:tc>
                <w:tcPr>
                  <w:tcW w:w="513" w:type="pct"/>
                  <w:noWrap w:val="0"/>
                  <w:vAlign w:val="center"/>
                </w:tcPr>
                <w:p w14:paraId="1B7748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rPr>
                  </w:pPr>
                  <w:r>
                    <w:rPr>
                      <w:rFonts w:hint="default" w:ascii="Times New Roman" w:hAnsi="Times New Roman" w:eastAsia="宋体" w:cs="Times New Roman"/>
                      <w:color w:val="auto"/>
                      <w:sz w:val="21"/>
                      <w:szCs w:val="21"/>
                      <w:highlight w:val="none"/>
                      <w:u w:val="none" w:color="auto"/>
                      <w:vertAlign w:val="baseline"/>
                      <w:lang w:eastAsia="zh-CN"/>
                    </w:rPr>
                    <w:t>相符</w:t>
                  </w:r>
                </w:p>
              </w:tc>
            </w:tr>
            <w:tr w14:paraId="3039E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4C3ED4F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highlight w:val="none"/>
                      <w:u w:val="none" w:color="auto"/>
                      <w:vertAlign w:val="baseline"/>
                      <w:lang w:val="en-US" w:eastAsia="zh-CN"/>
                    </w:rPr>
                    <w:t>3</w:t>
                  </w:r>
                </w:p>
              </w:tc>
              <w:tc>
                <w:tcPr>
                  <w:tcW w:w="671" w:type="pct"/>
                  <w:noWrap w:val="0"/>
                  <w:vAlign w:val="center"/>
                </w:tcPr>
                <w:p w14:paraId="6B913A9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投资</w:t>
                  </w:r>
                </w:p>
              </w:tc>
              <w:tc>
                <w:tcPr>
                  <w:tcW w:w="1654" w:type="pct"/>
                  <w:noWrap w:val="0"/>
                  <w:vAlign w:val="center"/>
                </w:tcPr>
                <w:p w14:paraId="25E03DF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3000</w:t>
                  </w:r>
                  <w:r>
                    <w:rPr>
                      <w:rFonts w:hint="default" w:ascii="Times New Roman" w:hAnsi="Times New Roman" w:eastAsia="宋体" w:cs="Times New Roman"/>
                      <w:color w:val="auto"/>
                      <w:sz w:val="21"/>
                      <w:szCs w:val="21"/>
                      <w:highlight w:val="none"/>
                      <w:u w:val="none" w:color="auto"/>
                      <w:vertAlign w:val="baseline"/>
                      <w:lang w:val="en-US" w:eastAsia="zh-CN"/>
                    </w:rPr>
                    <w:t>万元</w:t>
                  </w:r>
                </w:p>
              </w:tc>
              <w:tc>
                <w:tcPr>
                  <w:tcW w:w="1668" w:type="pct"/>
                  <w:noWrap w:val="0"/>
                  <w:vAlign w:val="center"/>
                </w:tcPr>
                <w:p w14:paraId="49D54D7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eastAsia" w:ascii="Times New Roman" w:hAnsi="Times New Roman" w:cs="Times New Roman"/>
                      <w:color w:val="auto"/>
                      <w:sz w:val="21"/>
                      <w:szCs w:val="21"/>
                      <w:highlight w:val="none"/>
                      <w:u w:val="none" w:color="auto"/>
                      <w:vertAlign w:val="baseline"/>
                      <w:lang w:val="en-US" w:eastAsia="zh-CN"/>
                    </w:rPr>
                    <w:t>3000</w:t>
                  </w:r>
                  <w:r>
                    <w:rPr>
                      <w:rFonts w:hint="default" w:ascii="Times New Roman" w:hAnsi="Times New Roman" w:eastAsia="宋体" w:cs="Times New Roman"/>
                      <w:color w:val="auto"/>
                      <w:sz w:val="21"/>
                      <w:szCs w:val="21"/>
                      <w:highlight w:val="none"/>
                      <w:u w:val="none" w:color="auto"/>
                      <w:vertAlign w:val="baseline"/>
                      <w:lang w:val="en-US" w:eastAsia="zh-CN"/>
                    </w:rPr>
                    <w:t>万元</w:t>
                  </w:r>
                </w:p>
              </w:tc>
              <w:tc>
                <w:tcPr>
                  <w:tcW w:w="513" w:type="pct"/>
                  <w:noWrap w:val="0"/>
                  <w:vAlign w:val="center"/>
                </w:tcPr>
                <w:p w14:paraId="404DEE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rPr>
                  </w:pPr>
                  <w:r>
                    <w:rPr>
                      <w:rFonts w:hint="default" w:ascii="Times New Roman" w:hAnsi="Times New Roman" w:eastAsia="宋体" w:cs="Times New Roman"/>
                      <w:color w:val="auto"/>
                      <w:sz w:val="21"/>
                      <w:szCs w:val="21"/>
                      <w:highlight w:val="none"/>
                      <w:u w:val="none" w:color="auto"/>
                      <w:vertAlign w:val="baseline"/>
                      <w:lang w:eastAsia="zh-CN"/>
                    </w:rPr>
                    <w:t>相符</w:t>
                  </w:r>
                </w:p>
              </w:tc>
            </w:tr>
            <w:tr w14:paraId="05C17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1ABF54B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highlight w:val="none"/>
                      <w:u w:val="none" w:color="auto"/>
                      <w:vertAlign w:val="baseline"/>
                      <w:lang w:val="en-US" w:eastAsia="zh-CN"/>
                    </w:rPr>
                    <w:t>4</w:t>
                  </w:r>
                </w:p>
              </w:tc>
              <w:tc>
                <w:tcPr>
                  <w:tcW w:w="671" w:type="pct"/>
                  <w:noWrap w:val="0"/>
                  <w:vAlign w:val="center"/>
                </w:tcPr>
                <w:p w14:paraId="6F8EAB3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建设内容</w:t>
                  </w:r>
                </w:p>
              </w:tc>
              <w:tc>
                <w:tcPr>
                  <w:tcW w:w="1654" w:type="pct"/>
                  <w:noWrap w:val="0"/>
                  <w:vAlign w:val="center"/>
                </w:tcPr>
                <w:p w14:paraId="51B8E39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auto"/>
                      <w:sz w:val="21"/>
                      <w:szCs w:val="21"/>
                      <w:highlight w:val="none"/>
                      <w:u w:val="none" w:color="auto"/>
                      <w:vertAlign w:val="baseline"/>
                    </w:rPr>
                  </w:pPr>
                  <w:r>
                    <w:rPr>
                      <w:rFonts w:hint="eastAsia" w:ascii="Times New Roman" w:hAnsi="Times New Roman" w:cs="Times New Roman"/>
                      <w:color w:val="auto"/>
                      <w:sz w:val="21"/>
                      <w:szCs w:val="21"/>
                      <w:highlight w:val="none"/>
                      <w:u w:val="none" w:color="auto"/>
                      <w:vertAlign w:val="baseline"/>
                      <w:lang w:val="en-US" w:eastAsia="zh-CN"/>
                    </w:rPr>
                    <w:t>项</w:t>
                  </w:r>
                  <w:r>
                    <w:rPr>
                      <w:rFonts w:hint="default" w:ascii="Times New Roman" w:hAnsi="Times New Roman" w:eastAsia="宋体" w:cs="Times New Roman"/>
                      <w:color w:val="auto"/>
                      <w:sz w:val="21"/>
                      <w:szCs w:val="21"/>
                      <w:highlight w:val="none"/>
                      <w:u w:val="none" w:color="auto"/>
                      <w:vertAlign w:val="baseline"/>
                      <w:lang w:val="en-US" w:eastAsia="zh-CN"/>
                    </w:rPr>
                    <w:t>目租赁标准化生产车间共计建筑面积3672.2平方米，购置清洗机、切菜机、电炒锅、燃气炒锅以及燃气汤锅等主要设备，以外购的面粉、大米、猪肉、蔬菜及相关辅助材料等为主要原材料，主要生产规模及工艺为：原料预处理—菜品烹饪—分装及装箱保温—餐盒回收—餐具及设备清洗。本项目建成投产后可达年产200万份热链餐食的生产能力。</w:t>
                  </w:r>
                </w:p>
              </w:tc>
              <w:tc>
                <w:tcPr>
                  <w:tcW w:w="1668" w:type="pct"/>
                  <w:noWrap w:val="0"/>
                  <w:vAlign w:val="center"/>
                </w:tcPr>
                <w:p w14:paraId="591BF87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auto"/>
                      <w:sz w:val="21"/>
                      <w:szCs w:val="21"/>
                      <w:highlight w:val="none"/>
                      <w:u w:val="none" w:color="auto"/>
                      <w:vertAlign w:val="baseline"/>
                    </w:rPr>
                  </w:pPr>
                  <w:r>
                    <w:rPr>
                      <w:rFonts w:hint="eastAsia" w:ascii="Times New Roman" w:hAnsi="Times New Roman" w:cs="Times New Roman"/>
                      <w:color w:val="auto"/>
                      <w:sz w:val="21"/>
                      <w:szCs w:val="21"/>
                      <w:highlight w:val="none"/>
                      <w:u w:val="none" w:color="auto"/>
                      <w:vertAlign w:val="baseline"/>
                      <w:lang w:val="en-US" w:eastAsia="zh-CN"/>
                    </w:rPr>
                    <w:t>项</w:t>
                  </w:r>
                  <w:r>
                    <w:rPr>
                      <w:rFonts w:hint="default" w:ascii="Times New Roman" w:hAnsi="Times New Roman" w:eastAsia="宋体" w:cs="Times New Roman"/>
                      <w:color w:val="auto"/>
                      <w:sz w:val="21"/>
                      <w:szCs w:val="21"/>
                      <w:highlight w:val="none"/>
                      <w:u w:val="none" w:color="auto"/>
                      <w:vertAlign w:val="baseline"/>
                      <w:lang w:val="en-US" w:eastAsia="zh-CN"/>
                    </w:rPr>
                    <w:t>目租赁标准化生产车间共计建筑面积3672.2平方米，购置清洗机、切菜机、电炒锅、燃气炒锅以及燃气汤锅等主要设备，以外购的面粉、大米、猪肉、蔬菜及相关辅助材料等为主要原材料，主要生产规模及工艺为：原料预处理—菜品烹饪—分装及装箱保温—餐盒回收—餐具及设备清洗。本项目建成投产后可达年产200万份热链餐食的生产能力。</w:t>
                  </w:r>
                </w:p>
              </w:tc>
              <w:tc>
                <w:tcPr>
                  <w:tcW w:w="513" w:type="pct"/>
                  <w:noWrap w:val="0"/>
                  <w:vAlign w:val="center"/>
                </w:tcPr>
                <w:p w14:paraId="7F27E9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rPr>
                  </w:pPr>
                  <w:r>
                    <w:rPr>
                      <w:rFonts w:hint="default" w:ascii="Times New Roman" w:hAnsi="Times New Roman" w:eastAsia="宋体" w:cs="Times New Roman"/>
                      <w:color w:val="auto"/>
                      <w:sz w:val="21"/>
                      <w:szCs w:val="21"/>
                      <w:highlight w:val="none"/>
                      <w:u w:val="none" w:color="auto"/>
                      <w:vertAlign w:val="baseline"/>
                      <w:lang w:eastAsia="zh-CN"/>
                    </w:rPr>
                    <w:t>相符</w:t>
                  </w:r>
                </w:p>
              </w:tc>
            </w:tr>
            <w:tr w14:paraId="2A6F4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noWrap w:val="0"/>
                  <w:vAlign w:val="center"/>
                </w:tcPr>
                <w:p w14:paraId="0F53DE9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eastAsia="zh-CN"/>
                    </w:rPr>
                  </w:pPr>
                  <w:r>
                    <w:rPr>
                      <w:rFonts w:hint="default" w:ascii="Times New Roman" w:hAnsi="Times New Roman" w:eastAsia="宋体" w:cs="Times New Roman"/>
                      <w:color w:val="auto"/>
                      <w:sz w:val="21"/>
                      <w:szCs w:val="21"/>
                      <w:highlight w:val="none"/>
                      <w:u w:val="none" w:color="auto"/>
                      <w:vertAlign w:val="baseline"/>
                      <w:lang w:val="en-US" w:eastAsia="zh-CN"/>
                    </w:rPr>
                    <w:t>5</w:t>
                  </w:r>
                </w:p>
              </w:tc>
              <w:tc>
                <w:tcPr>
                  <w:tcW w:w="671" w:type="pct"/>
                  <w:noWrap w:val="0"/>
                  <w:vAlign w:val="center"/>
                </w:tcPr>
                <w:p w14:paraId="47502E5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eastAsia="zh-CN"/>
                    </w:rPr>
                  </w:pPr>
                  <w:r>
                    <w:rPr>
                      <w:rFonts w:hint="default" w:ascii="Times New Roman" w:hAnsi="Times New Roman" w:eastAsia="宋体" w:cs="Times New Roman"/>
                      <w:color w:val="auto"/>
                      <w:sz w:val="21"/>
                      <w:szCs w:val="21"/>
                      <w:highlight w:val="none"/>
                      <w:u w:val="none" w:color="auto"/>
                      <w:vertAlign w:val="baseline"/>
                      <w:lang w:eastAsia="zh-CN"/>
                    </w:rPr>
                    <w:t>生产能力</w:t>
                  </w:r>
                </w:p>
              </w:tc>
              <w:tc>
                <w:tcPr>
                  <w:tcW w:w="1654" w:type="pct"/>
                  <w:noWrap w:val="0"/>
                  <w:vAlign w:val="center"/>
                </w:tcPr>
                <w:p w14:paraId="230F424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lang w:val="en-US"/>
                    </w:rPr>
                  </w:pPr>
                  <w:r>
                    <w:rPr>
                      <w:rFonts w:hint="default" w:ascii="Times New Roman" w:hAnsi="Times New Roman" w:eastAsia="宋体" w:cs="Times New Roman"/>
                      <w:color w:val="auto"/>
                      <w:sz w:val="21"/>
                      <w:szCs w:val="21"/>
                      <w:highlight w:val="none"/>
                      <w:u w:val="none" w:color="auto"/>
                      <w:vertAlign w:val="baseline"/>
                      <w:lang w:val="en-US" w:eastAsia="zh-CN"/>
                    </w:rPr>
                    <w:t>年产200万份热链餐食</w:t>
                  </w:r>
                </w:p>
              </w:tc>
              <w:tc>
                <w:tcPr>
                  <w:tcW w:w="1668" w:type="pct"/>
                  <w:noWrap w:val="0"/>
                  <w:vAlign w:val="center"/>
                </w:tcPr>
                <w:p w14:paraId="0EA0B11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rPr>
                  </w:pPr>
                  <w:r>
                    <w:rPr>
                      <w:rFonts w:hint="default" w:ascii="Times New Roman" w:hAnsi="Times New Roman" w:eastAsia="宋体" w:cs="Times New Roman"/>
                      <w:color w:val="auto"/>
                      <w:sz w:val="21"/>
                      <w:szCs w:val="21"/>
                      <w:highlight w:val="none"/>
                      <w:u w:val="none" w:color="auto"/>
                      <w:vertAlign w:val="baseline"/>
                      <w:lang w:val="en-US" w:eastAsia="zh-CN"/>
                    </w:rPr>
                    <w:t>年产200万份热链餐食</w:t>
                  </w:r>
                </w:p>
              </w:tc>
              <w:tc>
                <w:tcPr>
                  <w:tcW w:w="513" w:type="pct"/>
                  <w:noWrap w:val="0"/>
                  <w:vAlign w:val="center"/>
                </w:tcPr>
                <w:p w14:paraId="7D125F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u w:val="none" w:color="auto"/>
                      <w:vertAlign w:val="baseline"/>
                    </w:rPr>
                  </w:pPr>
                  <w:r>
                    <w:rPr>
                      <w:rFonts w:hint="default" w:ascii="Times New Roman" w:hAnsi="Times New Roman" w:eastAsia="宋体" w:cs="Times New Roman"/>
                      <w:color w:val="auto"/>
                      <w:sz w:val="21"/>
                      <w:szCs w:val="21"/>
                      <w:highlight w:val="none"/>
                      <w:u w:val="none" w:color="auto"/>
                      <w:vertAlign w:val="baseline"/>
                      <w:lang w:eastAsia="zh-CN"/>
                    </w:rPr>
                    <w:t>相符</w:t>
                  </w:r>
                </w:p>
              </w:tc>
            </w:tr>
          </w:tbl>
          <w:p w14:paraId="2E8A27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z w:val="24"/>
                <w:szCs w:val="24"/>
                <w:u w:val="none" w:color="auto"/>
              </w:rPr>
              <w:t>本次项目工程组成见下表。</w:t>
            </w:r>
          </w:p>
          <w:p w14:paraId="1B9165AB">
            <w:pPr>
              <w:pStyle w:val="19"/>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表2-</w:t>
            </w:r>
            <w:r>
              <w:rPr>
                <w:rFonts w:hint="default" w:ascii="Times New Roman" w:hAnsi="Times New Roman" w:eastAsia="宋体" w:cs="Times New Roman"/>
                <w:b/>
                <w:color w:val="000000"/>
                <w:sz w:val="24"/>
                <w:szCs w:val="24"/>
                <w:lang w:val="en-US" w:eastAsia="zh-CN"/>
              </w:rPr>
              <w:t>2</w:t>
            </w:r>
            <w:r>
              <w:rPr>
                <w:rFonts w:hint="eastAsia" w:ascii="Times New Roman" w:hAnsi="Times New Roman" w:cs="Times New Roman"/>
                <w:b/>
                <w:color w:val="000000"/>
                <w:sz w:val="24"/>
                <w:szCs w:val="24"/>
                <w:lang w:val="en-US" w:eastAsia="zh-CN"/>
              </w:rPr>
              <w:t xml:space="preserve">  </w:t>
            </w:r>
            <w:r>
              <w:rPr>
                <w:rFonts w:hint="default" w:ascii="Times New Roman" w:hAnsi="Times New Roman" w:eastAsia="宋体" w:cs="Times New Roman"/>
                <w:b/>
                <w:color w:val="000000"/>
                <w:sz w:val="24"/>
                <w:szCs w:val="24"/>
              </w:rPr>
              <w:t>项目主要建设内容一览表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1946"/>
              <w:gridCol w:w="612"/>
              <w:gridCol w:w="1271"/>
              <w:gridCol w:w="1623"/>
              <w:gridCol w:w="3126"/>
            </w:tblGrid>
            <w:tr w14:paraId="7761E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noWrap w:val="0"/>
                  <w:vAlign w:val="center"/>
                </w:tcPr>
                <w:p w14:paraId="222E88B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类型</w:t>
                  </w:r>
                </w:p>
              </w:tc>
              <w:tc>
                <w:tcPr>
                  <w:tcW w:w="1049" w:type="pct"/>
                  <w:noWrap w:val="0"/>
                  <w:vAlign w:val="center"/>
                </w:tcPr>
                <w:p w14:paraId="5D9D4E62">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构筑物名称</w:t>
                  </w:r>
                </w:p>
              </w:tc>
              <w:tc>
                <w:tcPr>
                  <w:tcW w:w="1015" w:type="pct"/>
                  <w:gridSpan w:val="2"/>
                  <w:tcBorders>
                    <w:right w:val="single" w:color="auto" w:sz="6" w:space="0"/>
                  </w:tcBorders>
                  <w:noWrap w:val="0"/>
                  <w:vAlign w:val="center"/>
                </w:tcPr>
                <w:p w14:paraId="59741FA9">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建筑面积</w:t>
                  </w:r>
                </w:p>
              </w:tc>
              <w:tc>
                <w:tcPr>
                  <w:tcW w:w="2560" w:type="pct"/>
                  <w:gridSpan w:val="2"/>
                  <w:tcBorders>
                    <w:left w:val="single" w:color="auto" w:sz="6" w:space="0"/>
                  </w:tcBorders>
                  <w:noWrap w:val="0"/>
                  <w:vAlign w:val="center"/>
                </w:tcPr>
                <w:p w14:paraId="5147EA8F">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备注</w:t>
                  </w:r>
                </w:p>
              </w:tc>
            </w:tr>
            <w:tr w14:paraId="13875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noWrap w:val="0"/>
                  <w:vAlign w:val="center"/>
                </w:tcPr>
                <w:p w14:paraId="5F7CFA0C">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主体工程</w:t>
                  </w:r>
                </w:p>
              </w:tc>
              <w:tc>
                <w:tcPr>
                  <w:tcW w:w="1049" w:type="pct"/>
                  <w:noWrap w:val="0"/>
                  <w:vAlign w:val="center"/>
                </w:tcPr>
                <w:p w14:paraId="4ACB0938">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commentRangeStart w:id="41"/>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生产车间</w:t>
                  </w:r>
                  <w:commentRangeEnd w:id="41"/>
                  <w:r>
                    <w:commentReference w:id="41"/>
                  </w:r>
                </w:p>
              </w:tc>
              <w:tc>
                <w:tcPr>
                  <w:tcW w:w="1015" w:type="pct"/>
                  <w:gridSpan w:val="2"/>
                  <w:tcBorders>
                    <w:right w:val="single" w:color="auto" w:sz="6" w:space="0"/>
                  </w:tcBorders>
                  <w:noWrap w:val="0"/>
                  <w:vAlign w:val="center"/>
                </w:tcPr>
                <w:p w14:paraId="0B9C6CD1">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bCs/>
                      <w:color w:val="000000" w:themeColor="text1"/>
                      <w:sz w:val="21"/>
                      <w:szCs w:val="21"/>
                      <w:u w:val="single"/>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3672.2m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p>
              </w:tc>
              <w:tc>
                <w:tcPr>
                  <w:tcW w:w="2560" w:type="pct"/>
                  <w:gridSpan w:val="2"/>
                  <w:tcBorders>
                    <w:left w:val="single" w:color="auto" w:sz="6" w:space="0"/>
                  </w:tcBorders>
                  <w:noWrap w:val="0"/>
                  <w:vAlign w:val="center"/>
                </w:tcPr>
                <w:p w14:paraId="5FA847F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主要布设有</w:t>
                  </w:r>
                  <w:r>
                    <w:rPr>
                      <w:rFonts w:hint="eastAsia" w:cs="Times New Roman"/>
                      <w:bCs/>
                      <w:color w:val="000000" w:themeColor="text1"/>
                      <w:sz w:val="21"/>
                      <w:szCs w:val="21"/>
                      <w:highlight w:val="none"/>
                      <w:lang w:val="en-US" w:eastAsia="zh-CN"/>
                      <w14:textFill>
                        <w14:solidFill>
                          <w14:schemeClr w14:val="tx1"/>
                        </w14:solidFill>
                      </w14:textFill>
                    </w:rPr>
                    <w:t>净菜粗加工间、净菜精加工间、解冻间、净肉加工间、净菜二级库、净肉二级库、主食副食库、和面间、面食加工间、热调熟化间、分餐间、发货缓冲间、餐具清洗间、消毒库等</w:t>
                  </w:r>
                </w:p>
              </w:tc>
            </w:tr>
            <w:tr w14:paraId="7E112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restart"/>
                  <w:noWrap w:val="0"/>
                  <w:vAlign w:val="center"/>
                </w:tcPr>
                <w:p w14:paraId="18E81A3A">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公用工程</w:t>
                  </w:r>
                </w:p>
              </w:tc>
              <w:tc>
                <w:tcPr>
                  <w:tcW w:w="1049" w:type="pct"/>
                  <w:noWrap w:val="0"/>
                  <w:vAlign w:val="center"/>
                </w:tcPr>
                <w:p w14:paraId="1CD94BD6">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供水</w:t>
                  </w:r>
                </w:p>
              </w:tc>
              <w:tc>
                <w:tcPr>
                  <w:tcW w:w="3575" w:type="pct"/>
                  <w:gridSpan w:val="4"/>
                  <w:tcBorders>
                    <w:top w:val="single" w:color="auto" w:sz="6" w:space="0"/>
                  </w:tcBorders>
                  <w:noWrap w:val="0"/>
                  <w:vAlign w:val="center"/>
                </w:tcPr>
                <w:p w14:paraId="666CDFF4">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由镇平县先进制造业开发区市政供水管网供给</w:t>
                  </w:r>
                </w:p>
              </w:tc>
            </w:tr>
            <w:tr w14:paraId="198F0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68446964">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67EE2D1F">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排水</w:t>
                  </w:r>
                </w:p>
              </w:tc>
              <w:tc>
                <w:tcPr>
                  <w:tcW w:w="3575" w:type="pct"/>
                  <w:gridSpan w:val="4"/>
                  <w:tcBorders>
                    <w:top w:val="single" w:color="auto" w:sz="6" w:space="0"/>
                  </w:tcBorders>
                  <w:noWrap w:val="0"/>
                  <w:vAlign w:val="center"/>
                </w:tcPr>
                <w:p w14:paraId="60BC891A">
                  <w:pPr>
                    <w:keepNext w:val="0"/>
                    <w:keepLines w:val="0"/>
                    <w:pageBreakBefore w:val="0"/>
                    <w:tabs>
                      <w:tab w:val="left" w:pos="5250"/>
                    </w:tabs>
                    <w:kinsoku/>
                    <w:wordWrap/>
                    <w:overflowPunct/>
                    <w:topLinePunct w:val="0"/>
                    <w:autoSpaceDE/>
                    <w:autoSpaceDN/>
                    <w:bidi w:val="0"/>
                    <w:adjustRightInd w:val="0"/>
                    <w:snapToGrid w:val="0"/>
                    <w:jc w:val="both"/>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采用雨污分流排水系统，雨水排放：项目区雨水经厂区雨水排放口</w:t>
                  </w:r>
                  <w:r>
                    <w:rPr>
                      <w:rFonts w:hint="eastAsia"/>
                      <w:color w:val="000000" w:themeColor="text1"/>
                      <w:sz w:val="21"/>
                      <w:szCs w:val="21"/>
                      <w:lang w:val="en-US" w:eastAsia="zh-CN"/>
                      <w14:textFill>
                        <w14:solidFill>
                          <w14:schemeClr w14:val="tx1"/>
                        </w14:solidFill>
                      </w14:textFill>
                    </w:rPr>
                    <w:t>进入厂区北侧雨水官网，沿雨水官网向西</w:t>
                  </w:r>
                  <w:r>
                    <w:rPr>
                      <w:color w:val="000000" w:themeColor="text1"/>
                      <w:sz w:val="21"/>
                      <w:szCs w:val="21"/>
                      <w14:textFill>
                        <w14:solidFill>
                          <w14:schemeClr w14:val="tx1"/>
                        </w14:solidFill>
                      </w14:textFill>
                    </w:rPr>
                    <w:t>排入</w:t>
                  </w:r>
                  <w:r>
                    <w:rPr>
                      <w:rFonts w:hint="eastAsia"/>
                      <w:color w:val="000000" w:themeColor="text1"/>
                      <w:sz w:val="21"/>
                      <w:szCs w:val="21"/>
                      <w:lang w:val="en-US" w:eastAsia="zh-CN"/>
                      <w14:textFill>
                        <w14:solidFill>
                          <w14:schemeClr w14:val="tx1"/>
                        </w14:solidFill>
                      </w14:textFill>
                    </w:rPr>
                    <w:t>项目</w:t>
                  </w:r>
                  <w:r>
                    <w:rPr>
                      <w:rFonts w:hint="eastAsia"/>
                      <w:color w:val="000000" w:themeColor="text1"/>
                      <w:sz w:val="21"/>
                      <w:szCs w:val="21"/>
                      <w14:textFill>
                        <w14:solidFill>
                          <w14:schemeClr w14:val="tx1"/>
                        </w14:solidFill>
                      </w14:textFill>
                    </w:rPr>
                    <w:t>西</w:t>
                  </w:r>
                  <w:r>
                    <w:rPr>
                      <w:rFonts w:hint="eastAsia"/>
                      <w:color w:val="000000" w:themeColor="text1"/>
                      <w:sz w:val="21"/>
                      <w:szCs w:val="21"/>
                      <w:lang w:val="en-US" w:eastAsia="zh-CN"/>
                      <w14:textFill>
                        <w14:solidFill>
                          <w14:schemeClr w14:val="tx1"/>
                        </w14:solidFill>
                      </w14:textFill>
                    </w:rPr>
                    <w:t>北</w:t>
                  </w:r>
                  <w:r>
                    <w:rPr>
                      <w:rFonts w:hint="eastAsia"/>
                      <w:color w:val="000000" w:themeColor="text1"/>
                      <w:sz w:val="21"/>
                      <w:szCs w:val="21"/>
                      <w14:textFill>
                        <w14:solidFill>
                          <w14:schemeClr w14:val="tx1"/>
                        </w14:solidFill>
                      </w14:textFill>
                    </w:rPr>
                    <w:t>侧</w:t>
                  </w:r>
                  <w:r>
                    <w:rPr>
                      <w:rFonts w:hint="eastAsia"/>
                      <w:color w:val="000000" w:themeColor="text1"/>
                      <w:sz w:val="21"/>
                      <w:szCs w:val="21"/>
                      <w:lang w:val="en-US" w:eastAsia="zh-CN"/>
                      <w14:textFill>
                        <w14:solidFill>
                          <w14:schemeClr w14:val="tx1"/>
                        </w14:solidFill>
                      </w14:textFill>
                    </w:rPr>
                    <w:t>1.15km</w:t>
                  </w:r>
                  <w:r>
                    <w:rPr>
                      <w:rFonts w:hint="eastAsia"/>
                      <w:color w:val="000000" w:themeColor="text1"/>
                      <w:sz w:val="21"/>
                      <w:szCs w:val="21"/>
                      <w14:textFill>
                        <w14:solidFill>
                          <w14:schemeClr w14:val="tx1"/>
                        </w14:solidFill>
                      </w14:textFill>
                    </w:rPr>
                    <w:t>的</w:t>
                  </w:r>
                  <w:r>
                    <w:rPr>
                      <w:rFonts w:hint="eastAsia"/>
                      <w:color w:val="000000" w:themeColor="text1"/>
                      <w:sz w:val="21"/>
                      <w:szCs w:val="21"/>
                      <w:lang w:val="en-US" w:eastAsia="zh-CN"/>
                      <w14:textFill>
                        <w14:solidFill>
                          <w14:schemeClr w14:val="tx1"/>
                        </w14:solidFill>
                      </w14:textFill>
                    </w:rPr>
                    <w:t>赵河</w:t>
                  </w:r>
                  <w:r>
                    <w:rPr>
                      <w:color w:val="000000" w:themeColor="text1"/>
                      <w:sz w:val="21"/>
                      <w:szCs w:val="21"/>
                      <w14:textFill>
                        <w14:solidFill>
                          <w14:schemeClr w14:val="tx1"/>
                        </w14:solidFill>
                      </w14:textFill>
                    </w:rPr>
                    <w:t>；污水排放：</w:t>
                  </w:r>
                  <w:r>
                    <w:rPr>
                      <w:color w:val="000000" w:themeColor="text1"/>
                      <w:sz w:val="21"/>
                      <w:szCs w:val="21"/>
                      <w:highlight w:val="none"/>
                      <w14:textFill>
                        <w14:solidFill>
                          <w14:schemeClr w14:val="tx1"/>
                        </w14:solidFill>
                      </w14:textFill>
                    </w:rPr>
                    <w:t>本项目</w:t>
                  </w:r>
                  <w:r>
                    <w:rPr>
                      <w:rFonts w:hint="default"/>
                      <w:color w:val="000000" w:themeColor="text1"/>
                      <w:sz w:val="21"/>
                      <w:szCs w:val="21"/>
                      <w:highlight w:val="none"/>
                      <w:lang w:val="en-US" w:eastAsia="zh-CN"/>
                      <w14:textFill>
                        <w14:solidFill>
                          <w14:schemeClr w14:val="tx1"/>
                        </w14:solidFill>
                      </w14:textFill>
                    </w:rPr>
                    <w:t>营运期职工生活污水经化粪池处理后与生产废水混合后经厂区污水处理站处理后，出水水质能够满足《污水综合排放标准》（GB8978-1996）及镇平县第二污水处理厂进水水质指标后经市政污水管网进入镇平县第二污水处理厂进一步处理达到《城镇污水处理厂污染物排放标准》（GB18918-2002）一级A标准后排入赵河</w:t>
                  </w:r>
                </w:p>
              </w:tc>
            </w:tr>
            <w:tr w14:paraId="70BE3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3F2EA288">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13552922">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供电</w:t>
                  </w:r>
                </w:p>
              </w:tc>
              <w:tc>
                <w:tcPr>
                  <w:tcW w:w="3575" w:type="pct"/>
                  <w:gridSpan w:val="4"/>
                  <w:tcBorders>
                    <w:top w:val="single" w:color="auto" w:sz="6" w:space="0"/>
                  </w:tcBorders>
                  <w:noWrap w:val="0"/>
                  <w:vAlign w:val="center"/>
                </w:tcPr>
                <w:p w14:paraId="2F6B0957">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由</w:t>
                  </w:r>
                  <w:r>
                    <w:rPr>
                      <w:rFonts w:hint="eastAsia"/>
                      <w:color w:val="000000" w:themeColor="text1"/>
                      <w:sz w:val="21"/>
                      <w:szCs w:val="21"/>
                      <w14:textFill>
                        <w14:solidFill>
                          <w14:schemeClr w14:val="tx1"/>
                        </w14:solidFill>
                      </w14:textFill>
                    </w:rPr>
                    <w:t>镇平县</w:t>
                  </w:r>
                  <w:r>
                    <w:rPr>
                      <w:color w:val="000000" w:themeColor="text1"/>
                      <w:sz w:val="21"/>
                      <w:szCs w:val="21"/>
                      <w14:textFill>
                        <w14:solidFill>
                          <w14:schemeClr w14:val="tx1"/>
                        </w14:solidFill>
                      </w14:textFill>
                    </w:rPr>
                    <w:t>先进制造业开发区市政供电系统提供</w:t>
                  </w:r>
                </w:p>
              </w:tc>
            </w:tr>
            <w:tr w14:paraId="28EE6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3DEB1385">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7644681B">
                  <w:pPr>
                    <w:pStyle w:val="27"/>
                    <w:ind w:firstLine="0" w:firstLineChars="0"/>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eastAsia"/>
                      <w:b w:val="0"/>
                      <w:bCs/>
                      <w:color w:val="000000" w:themeColor="text1"/>
                      <w:sz w:val="21"/>
                      <w:szCs w:val="21"/>
                      <w14:textFill>
                        <w14:solidFill>
                          <w14:schemeClr w14:val="tx1"/>
                        </w14:solidFill>
                      </w14:textFill>
                    </w:rPr>
                    <w:t>供气</w:t>
                  </w:r>
                </w:p>
              </w:tc>
              <w:tc>
                <w:tcPr>
                  <w:tcW w:w="3575" w:type="pct"/>
                  <w:gridSpan w:val="4"/>
                  <w:tcBorders>
                    <w:top w:val="single" w:color="auto" w:sz="6" w:space="0"/>
                  </w:tcBorders>
                  <w:noWrap w:val="0"/>
                  <w:vAlign w:val="center"/>
                </w:tcPr>
                <w:p w14:paraId="62386302">
                  <w:pPr>
                    <w:pStyle w:val="27"/>
                    <w:ind w:firstLine="0" w:firstLineChars="0"/>
                    <w:rPr>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由</w:t>
                  </w:r>
                  <w:r>
                    <w:rPr>
                      <w:rFonts w:hint="eastAsia"/>
                      <w:b w:val="0"/>
                      <w:bCs/>
                      <w:color w:val="000000" w:themeColor="text1"/>
                      <w:sz w:val="21"/>
                      <w:szCs w:val="21"/>
                      <w14:textFill>
                        <w14:solidFill>
                          <w14:schemeClr w14:val="tx1"/>
                        </w14:solidFill>
                      </w14:textFill>
                    </w:rPr>
                    <w:t>镇平县</w:t>
                  </w:r>
                  <w:r>
                    <w:rPr>
                      <w:b w:val="0"/>
                      <w:bCs/>
                      <w:color w:val="000000" w:themeColor="text1"/>
                      <w:sz w:val="21"/>
                      <w:szCs w:val="21"/>
                      <w14:textFill>
                        <w14:solidFill>
                          <w14:schemeClr w14:val="tx1"/>
                        </w14:solidFill>
                      </w14:textFill>
                    </w:rPr>
                    <w:t>先进制造业开发区</w:t>
                  </w:r>
                  <w:r>
                    <w:rPr>
                      <w:rFonts w:hint="default" w:ascii="Times New Roman" w:hAnsi="Times New Roman" w:cs="Times New Roman"/>
                      <w:b w:val="0"/>
                      <w:bCs/>
                      <w:color w:val="000000" w:themeColor="text1"/>
                      <w:sz w:val="21"/>
                      <w:szCs w:val="21"/>
                      <w14:textFill>
                        <w14:solidFill>
                          <w14:schemeClr w14:val="tx1"/>
                        </w14:solidFill>
                      </w14:textFill>
                    </w:rPr>
                    <w:t>市政天然气管网提供</w:t>
                  </w:r>
                </w:p>
              </w:tc>
            </w:tr>
            <w:tr w14:paraId="651DD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0F741D7A">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946" w:type="dxa"/>
                  <w:noWrap w:val="0"/>
                  <w:vAlign w:val="center"/>
                </w:tcPr>
                <w:p w14:paraId="53F547F9">
                  <w:pPr>
                    <w:pStyle w:val="27"/>
                    <w:ind w:left="0" w:leftChars="0" w:firstLine="0" w:firstLineChars="0"/>
                    <w:rPr>
                      <w:rFonts w:hint="eastAsia"/>
                      <w:color w:val="000000" w:themeColor="text1"/>
                      <w:sz w:val="21"/>
                      <w:szCs w:val="21"/>
                      <w14:textFill>
                        <w14:solidFill>
                          <w14:schemeClr w14:val="tx1"/>
                        </w14:solidFill>
                      </w14:textFill>
                    </w:rPr>
                  </w:pPr>
                  <w:r>
                    <w:rPr>
                      <w:rFonts w:hint="eastAsia"/>
                      <w:b w:val="0"/>
                      <w:bCs/>
                      <w:color w:val="000000" w:themeColor="text1"/>
                      <w14:textFill>
                        <w14:solidFill>
                          <w14:schemeClr w14:val="tx1"/>
                        </w14:solidFill>
                      </w14:textFill>
                    </w:rPr>
                    <w:t>制冷</w:t>
                  </w:r>
                </w:p>
              </w:tc>
              <w:tc>
                <w:tcPr>
                  <w:tcW w:w="6632" w:type="dxa"/>
                  <w:gridSpan w:val="4"/>
                  <w:tcBorders>
                    <w:top w:val="single" w:color="auto" w:sz="6" w:space="0"/>
                  </w:tcBorders>
                  <w:noWrap w:val="0"/>
                  <w:vAlign w:val="center"/>
                </w:tcPr>
                <w:p w14:paraId="43CA8F44">
                  <w:pPr>
                    <w:widowControl/>
                    <w:jc w:val="center"/>
                    <w:rPr>
                      <w:rFonts w:hint="default" w:ascii="Times New Roman" w:hAnsi="Times New Roman" w:cs="Times New Roman"/>
                      <w:b w:val="0"/>
                      <w:bCs/>
                      <w:color w:val="000000" w:themeColor="text1"/>
                      <w:sz w:val="21"/>
                      <w:szCs w:val="21"/>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冷库</w:t>
                  </w:r>
                  <w:r>
                    <w:rPr>
                      <w:color w:val="000000" w:themeColor="text1"/>
                      <w:kern w:val="0"/>
                      <w:szCs w:val="21"/>
                      <w14:textFill>
                        <w14:solidFill>
                          <w14:schemeClr w14:val="tx1"/>
                        </w14:solidFill>
                      </w14:textFill>
                    </w:rPr>
                    <w:t>采用</w:t>
                  </w:r>
                  <w:r>
                    <w:rPr>
                      <w:rFonts w:hint="eastAsia" w:eastAsiaTheme="minorEastAsia"/>
                      <w:color w:val="000000" w:themeColor="text1"/>
                      <w:kern w:val="0"/>
                      <w:szCs w:val="21"/>
                      <w14:textFill>
                        <w14:solidFill>
                          <w14:schemeClr w14:val="tx1"/>
                        </w14:solidFill>
                      </w14:textFill>
                    </w:rPr>
                    <w:t>R</w:t>
                  </w:r>
                  <w:r>
                    <w:rPr>
                      <w:rFonts w:eastAsiaTheme="minorEastAsia"/>
                      <w:color w:val="000000" w:themeColor="text1"/>
                      <w:kern w:val="0"/>
                      <w:szCs w:val="21"/>
                      <w14:textFill>
                        <w14:solidFill>
                          <w14:schemeClr w14:val="tx1"/>
                        </w14:solidFill>
                      </w14:textFill>
                    </w:rPr>
                    <w:t>507环保型制冷剂</w:t>
                  </w:r>
                </w:p>
              </w:tc>
            </w:tr>
            <w:tr w14:paraId="65FF0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restart"/>
                  <w:noWrap w:val="0"/>
                  <w:vAlign w:val="center"/>
                </w:tcPr>
                <w:p w14:paraId="15E8E8BC">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环保工程</w:t>
                  </w:r>
                </w:p>
              </w:tc>
              <w:tc>
                <w:tcPr>
                  <w:tcW w:w="1049" w:type="pct"/>
                  <w:vMerge w:val="restart"/>
                  <w:noWrap w:val="0"/>
                  <w:vAlign w:val="center"/>
                </w:tcPr>
                <w:p w14:paraId="64C178B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废气治理措施</w:t>
                  </w:r>
                </w:p>
              </w:tc>
              <w:tc>
                <w:tcPr>
                  <w:tcW w:w="330" w:type="pct"/>
                  <w:vMerge w:val="restart"/>
                  <w:shd w:val="clear" w:color="auto" w:fill="auto"/>
                  <w:noWrap w:val="0"/>
                  <w:vAlign w:val="center"/>
                </w:tcPr>
                <w:p w14:paraId="70111148">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有组织</w:t>
                  </w:r>
                </w:p>
              </w:tc>
              <w:tc>
                <w:tcPr>
                  <w:tcW w:w="685" w:type="pct"/>
                  <w:shd w:val="clear" w:color="auto" w:fill="auto"/>
                  <w:noWrap w:val="0"/>
                  <w:vAlign w:val="center"/>
                </w:tcPr>
                <w:p w14:paraId="6E51C075">
                  <w:pPr>
                    <w:jc w:val="center"/>
                    <w:outlineLvl w:val="0"/>
                    <w:rPr>
                      <w:rFonts w:hint="eastAsia"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default"/>
                      <w:color w:val="000000" w:themeColor="text1"/>
                      <w:sz w:val="21"/>
                      <w:szCs w:val="21"/>
                      <w:u w:val="none"/>
                      <w:lang w:val="en-US" w:eastAsia="zh-CN"/>
                      <w14:textFill>
                        <w14:solidFill>
                          <w14:schemeClr w14:val="tx1"/>
                        </w14:solidFill>
                      </w14:textFill>
                    </w:rPr>
                    <w:t>熟化废气</w:t>
                  </w:r>
                </w:p>
              </w:tc>
              <w:tc>
                <w:tcPr>
                  <w:tcW w:w="875" w:type="pct"/>
                  <w:shd w:val="clear" w:color="auto" w:fill="auto"/>
                  <w:noWrap w:val="0"/>
                  <w:vAlign w:val="center"/>
                </w:tcPr>
                <w:p w14:paraId="7C8F9BE5">
                  <w:pPr>
                    <w:jc w:val="center"/>
                    <w:outlineLvl w:val="0"/>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油烟、非甲烷总烃</w:t>
                  </w:r>
                </w:p>
              </w:tc>
              <w:tc>
                <w:tcPr>
                  <w:tcW w:w="1685" w:type="pct"/>
                  <w:shd w:val="clear" w:color="auto" w:fill="auto"/>
                  <w:noWrap w:val="0"/>
                  <w:vAlign w:val="center"/>
                </w:tcPr>
                <w:p w14:paraId="51D18344">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经集气罩</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收集后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通过静电油烟净化器</w:t>
                  </w:r>
                  <w:r>
                    <w:rPr>
                      <w:rFonts w:hint="eastAsia" w:cs="Times New Roman"/>
                      <w:color w:val="000000" w:themeColor="text1"/>
                      <w:sz w:val="21"/>
                      <w:szCs w:val="21"/>
                      <w:u w:val="none"/>
                      <w:lang w:val="en-US" w:eastAsia="zh-CN"/>
                      <w14:textFill>
                        <w14:solidFill>
                          <w14:schemeClr w14:val="tx1"/>
                        </w14:solidFill>
                      </w14:textFill>
                    </w:rPr>
                    <w:t>（TA001-TA004）</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处理后经</w:t>
                  </w:r>
                  <w:commentRangeStart w:id="42"/>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1根</w:t>
                  </w:r>
                  <w:commentRangeEnd w:id="42"/>
                  <w:r>
                    <w:commentReference w:id="42"/>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15m排气筒（DA001</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-DA003</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）排放</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（其中TA001、TA002静电油烟净化器共用1根15m排气筒（DA001）排放；TA003、TA004静电油烟净化器分别通过1根15m排气筒（DA002-DA003）排放）</w:t>
                  </w:r>
                </w:p>
              </w:tc>
            </w:tr>
            <w:tr w14:paraId="3BE1D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7E38B4D6">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78B1D898">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330" w:type="pct"/>
                  <w:vMerge w:val="continue"/>
                  <w:shd w:val="clear" w:color="auto" w:fill="auto"/>
                  <w:noWrap w:val="0"/>
                  <w:vAlign w:val="center"/>
                </w:tcPr>
                <w:p w14:paraId="2AD272B5">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p>
              </w:tc>
              <w:tc>
                <w:tcPr>
                  <w:tcW w:w="685" w:type="pct"/>
                  <w:shd w:val="clear" w:color="auto" w:fill="auto"/>
                  <w:noWrap w:val="0"/>
                  <w:vAlign w:val="center"/>
                </w:tcPr>
                <w:p w14:paraId="4394A14F">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蒸汽发生器废气</w:t>
                  </w:r>
                </w:p>
              </w:tc>
              <w:tc>
                <w:tcPr>
                  <w:tcW w:w="875" w:type="pct"/>
                  <w:shd w:val="clear" w:color="auto" w:fill="auto"/>
                  <w:noWrap w:val="0"/>
                  <w:vAlign w:val="center"/>
                </w:tcPr>
                <w:p w14:paraId="193C9473">
                  <w:pPr>
                    <w:keepNext w:val="0"/>
                    <w:keepLines w:val="0"/>
                    <w:pageBreakBefore w:val="0"/>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eastAsia"/>
                      <w:color w:val="000000" w:themeColor="text1"/>
                      <w:sz w:val="21"/>
                      <w:szCs w:val="21"/>
                      <w:u w:val="none"/>
                      <w14:textFill>
                        <w14:solidFill>
                          <w14:schemeClr w14:val="tx1"/>
                        </w14:solidFill>
                      </w14:textFill>
                    </w:rPr>
                    <w:t>颗粒物、SO</w:t>
                  </w:r>
                  <w:r>
                    <w:rPr>
                      <w:rFonts w:hint="eastAsia"/>
                      <w:color w:val="000000" w:themeColor="text1"/>
                      <w:sz w:val="21"/>
                      <w:szCs w:val="21"/>
                      <w:u w:val="none"/>
                      <w:vertAlign w:val="subscript"/>
                      <w14:textFill>
                        <w14:solidFill>
                          <w14:schemeClr w14:val="tx1"/>
                        </w14:solidFill>
                      </w14:textFill>
                    </w:rPr>
                    <w:t>2</w:t>
                  </w:r>
                  <w:r>
                    <w:rPr>
                      <w:rFonts w:hint="eastAsia"/>
                      <w:color w:val="000000" w:themeColor="text1"/>
                      <w:sz w:val="21"/>
                      <w:szCs w:val="21"/>
                      <w:u w:val="none"/>
                      <w14:textFill>
                        <w14:solidFill>
                          <w14:schemeClr w14:val="tx1"/>
                        </w14:solidFill>
                      </w14:textFill>
                    </w:rPr>
                    <w:t>、NOx</w:t>
                  </w:r>
                </w:p>
              </w:tc>
              <w:tc>
                <w:tcPr>
                  <w:tcW w:w="1685" w:type="pct"/>
                  <w:shd w:val="clear" w:color="auto" w:fill="auto"/>
                  <w:noWrap w:val="0"/>
                  <w:vAlign w:val="center"/>
                </w:tcPr>
                <w:p w14:paraId="5623B660">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分别经1套低氮燃烧+烟气循环系统</w:t>
                  </w:r>
                  <w:commentRangeStart w:id="43"/>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（TA005-TA019）处</w:t>
                  </w:r>
                  <w:commentRangeEnd w:id="43"/>
                  <w:r>
                    <w:commentReference w:id="43"/>
                  </w: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理后通过1根15m高排气筒（DA004）排放</w:t>
                  </w:r>
                </w:p>
              </w:tc>
            </w:tr>
            <w:tr w14:paraId="6310C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4B349506">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2C102D8D">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330" w:type="pct"/>
                  <w:vMerge w:val="restart"/>
                  <w:shd w:val="clear" w:color="auto" w:fill="auto"/>
                  <w:noWrap w:val="0"/>
                  <w:vAlign w:val="center"/>
                </w:tcPr>
                <w:p w14:paraId="6B1B4EC1">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无组织</w:t>
                  </w:r>
                </w:p>
              </w:tc>
              <w:tc>
                <w:tcPr>
                  <w:tcW w:w="685" w:type="pct"/>
                  <w:shd w:val="clear" w:color="auto" w:fill="auto"/>
                  <w:noWrap w:val="0"/>
                  <w:vAlign w:val="center"/>
                </w:tcPr>
                <w:p w14:paraId="012D8DC3">
                  <w:pPr>
                    <w:jc w:val="center"/>
                    <w:outlineLvl w:val="0"/>
                    <w:rPr>
                      <w:rFonts w:hint="eastAsia"/>
                      <w:color w:val="000000" w:themeColor="text1"/>
                      <w:sz w:val="21"/>
                      <w:szCs w:val="21"/>
                      <w:highlight w:val="yellow"/>
                      <w:u w:val="none"/>
                      <w:lang w:val="en-US" w:eastAsia="zh-CN"/>
                      <w14:textFill>
                        <w14:solidFill>
                          <w14:schemeClr w14:val="tx1"/>
                        </w14:solidFill>
                      </w14:textFill>
                    </w:rPr>
                  </w:pPr>
                  <w:commentRangeStart w:id="44"/>
                  <w:r>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t>和面废气</w:t>
                  </w:r>
                  <w:commentRangeEnd w:id="44"/>
                  <w:r>
                    <w:commentReference w:id="44"/>
                  </w:r>
                </w:p>
              </w:tc>
              <w:tc>
                <w:tcPr>
                  <w:tcW w:w="875" w:type="pct"/>
                  <w:shd w:val="clear" w:color="auto" w:fill="auto"/>
                  <w:noWrap w:val="0"/>
                  <w:vAlign w:val="center"/>
                </w:tcPr>
                <w:p w14:paraId="7ECA4097">
                  <w:pPr>
                    <w:jc w:val="center"/>
                    <w:outlineLvl w:val="0"/>
                    <w:rPr>
                      <w:rFonts w:hint="eastAsia" w:cs="Times New Roman"/>
                      <w:color w:val="000000" w:themeColor="text1"/>
                      <w:sz w:val="21"/>
                      <w:szCs w:val="21"/>
                      <w:highlight w:val="yellow"/>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1685" w:type="pct"/>
                  <w:vMerge w:val="restart"/>
                  <w:shd w:val="clear" w:color="auto" w:fill="auto"/>
                  <w:noWrap w:val="0"/>
                  <w:vAlign w:val="center"/>
                </w:tcPr>
                <w:p w14:paraId="7DECFB4D">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yellow"/>
                      <w:u w:val="none"/>
                      <w:lang w:eastAsia="zh-CN"/>
                    </w:rPr>
                  </w:pPr>
                  <w:r>
                    <w:rPr>
                      <w:rFonts w:hint="default" w:ascii="Times New Roman" w:hAnsi="Times New Roman" w:eastAsia="宋体" w:cs="Times New Roman"/>
                      <w:color w:val="auto"/>
                      <w:sz w:val="21"/>
                      <w:szCs w:val="21"/>
                      <w:u w:val="none"/>
                      <w:lang w:eastAsia="zh-CN"/>
                    </w:rPr>
                    <w:t>车间密闭，定期对废气环保设备维护，保证废气收集效率</w:t>
                  </w:r>
                </w:p>
              </w:tc>
            </w:tr>
            <w:tr w14:paraId="29498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55DB098D">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3AA9764A">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330" w:type="pct"/>
                  <w:vMerge w:val="continue"/>
                  <w:shd w:val="clear" w:color="auto" w:fill="auto"/>
                  <w:noWrap w:val="0"/>
                  <w:vAlign w:val="center"/>
                </w:tcPr>
                <w:p w14:paraId="78945F15">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p>
              </w:tc>
              <w:tc>
                <w:tcPr>
                  <w:tcW w:w="685" w:type="pct"/>
                  <w:shd w:val="clear" w:color="auto" w:fill="auto"/>
                  <w:noWrap w:val="0"/>
                  <w:vAlign w:val="center"/>
                </w:tcPr>
                <w:p w14:paraId="0F66C269">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 w:val="21"/>
                      <w:szCs w:val="21"/>
                      <w:highlight w:val="yellow"/>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t>熟化过程</w:t>
                  </w:r>
                  <w:r>
                    <w:rPr>
                      <w:rFonts w:hint="eastAsia" w:cs="Times New Roman"/>
                      <w:color w:val="000000" w:themeColor="text1"/>
                      <w:sz w:val="21"/>
                      <w:szCs w:val="21"/>
                      <w:u w:val="none"/>
                      <w:lang w:val="en-US" w:eastAsia="zh-CN" w:bidi="ar"/>
                      <w14:textFill>
                        <w14:solidFill>
                          <w14:schemeClr w14:val="tx1"/>
                        </w14:solidFill>
                      </w14:textFill>
                    </w:rPr>
                    <w:t>未收集废气</w:t>
                  </w:r>
                </w:p>
              </w:tc>
              <w:tc>
                <w:tcPr>
                  <w:tcW w:w="875" w:type="pct"/>
                  <w:shd w:val="clear" w:color="auto" w:fill="auto"/>
                  <w:noWrap w:val="0"/>
                  <w:vAlign w:val="center"/>
                </w:tcPr>
                <w:p w14:paraId="336B3D6C">
                  <w:pPr>
                    <w:keepNext w:val="0"/>
                    <w:keepLines w:val="0"/>
                    <w:pageBreakBefore w:val="0"/>
                    <w:kinsoku/>
                    <w:wordWrap/>
                    <w:overflowPunct/>
                    <w:topLinePunct w:val="0"/>
                    <w:autoSpaceDE/>
                    <w:autoSpaceDN/>
                    <w:bidi w:val="0"/>
                    <w:spacing w:line="240" w:lineRule="auto"/>
                    <w:jc w:val="center"/>
                    <w:textAlignment w:val="auto"/>
                    <w:outlineLvl w:val="0"/>
                    <w:rPr>
                      <w:rFonts w:hint="eastAsia" w:cs="Times New Roman"/>
                      <w:color w:val="000000" w:themeColor="text1"/>
                      <w:sz w:val="21"/>
                      <w:szCs w:val="21"/>
                      <w:highlight w:val="yellow"/>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油烟、非甲烷总烃</w:t>
                  </w:r>
                </w:p>
              </w:tc>
              <w:tc>
                <w:tcPr>
                  <w:tcW w:w="1685" w:type="pct"/>
                  <w:vMerge w:val="continue"/>
                  <w:shd w:val="clear" w:color="auto" w:fill="auto"/>
                  <w:noWrap w:val="0"/>
                  <w:vAlign w:val="center"/>
                </w:tcPr>
                <w:p w14:paraId="760EBEA8">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yellow"/>
                      <w:u w:val="none"/>
                      <w:lang w:eastAsia="zh-CN"/>
                    </w:rPr>
                  </w:pPr>
                </w:p>
              </w:tc>
            </w:tr>
            <w:tr w14:paraId="31AE8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15D5CE7A">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154FEA9B">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330" w:type="pct"/>
                  <w:vMerge w:val="continue"/>
                  <w:shd w:val="clear" w:color="auto" w:fill="auto"/>
                  <w:noWrap w:val="0"/>
                  <w:vAlign w:val="center"/>
                </w:tcPr>
                <w:p w14:paraId="2E8C1B88">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p>
              </w:tc>
              <w:tc>
                <w:tcPr>
                  <w:tcW w:w="685" w:type="pct"/>
                  <w:shd w:val="clear" w:color="auto" w:fill="auto"/>
                  <w:noWrap w:val="0"/>
                  <w:vAlign w:val="center"/>
                </w:tcPr>
                <w:p w14:paraId="3A722146">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 w:val="21"/>
                      <w:szCs w:val="21"/>
                      <w:highlight w:val="yellow"/>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熟化过程天然气燃烧废气</w:t>
                  </w:r>
                </w:p>
              </w:tc>
              <w:tc>
                <w:tcPr>
                  <w:tcW w:w="875" w:type="pct"/>
                  <w:shd w:val="clear" w:color="auto" w:fill="auto"/>
                  <w:noWrap w:val="0"/>
                  <w:vAlign w:val="center"/>
                </w:tcPr>
                <w:p w14:paraId="73DDD0BA">
                  <w:pPr>
                    <w:keepNext w:val="0"/>
                    <w:keepLines w:val="0"/>
                    <w:pageBreakBefore w:val="0"/>
                    <w:kinsoku/>
                    <w:wordWrap/>
                    <w:overflowPunct/>
                    <w:topLinePunct w:val="0"/>
                    <w:autoSpaceDE/>
                    <w:autoSpaceDN/>
                    <w:bidi w:val="0"/>
                    <w:spacing w:line="240" w:lineRule="auto"/>
                    <w:jc w:val="center"/>
                    <w:textAlignment w:val="auto"/>
                    <w:outlineLvl w:val="0"/>
                    <w:rPr>
                      <w:rFonts w:hint="eastAsia" w:cs="Times New Roman"/>
                      <w:color w:val="000000" w:themeColor="text1"/>
                      <w:sz w:val="21"/>
                      <w:szCs w:val="21"/>
                      <w:highlight w:val="yellow"/>
                      <w:u w:val="none"/>
                      <w:lang w:val="en-US" w:eastAsia="zh-CN"/>
                      <w14:textFill>
                        <w14:solidFill>
                          <w14:schemeClr w14:val="tx1"/>
                        </w14:solidFill>
                      </w14:textFill>
                    </w:rPr>
                  </w:pPr>
                  <w:r>
                    <w:rPr>
                      <w:rFonts w:hint="eastAsia"/>
                      <w:color w:val="000000" w:themeColor="text1"/>
                      <w:sz w:val="21"/>
                      <w:szCs w:val="21"/>
                      <w:u w:val="none"/>
                      <w14:textFill>
                        <w14:solidFill>
                          <w14:schemeClr w14:val="tx1"/>
                        </w14:solidFill>
                      </w14:textFill>
                    </w:rPr>
                    <w:t>颗粒物、SO</w:t>
                  </w:r>
                  <w:r>
                    <w:rPr>
                      <w:rFonts w:hint="eastAsia"/>
                      <w:color w:val="000000" w:themeColor="text1"/>
                      <w:sz w:val="21"/>
                      <w:szCs w:val="21"/>
                      <w:u w:val="none"/>
                      <w:vertAlign w:val="subscript"/>
                      <w14:textFill>
                        <w14:solidFill>
                          <w14:schemeClr w14:val="tx1"/>
                        </w14:solidFill>
                      </w14:textFill>
                    </w:rPr>
                    <w:t>2</w:t>
                  </w:r>
                  <w:r>
                    <w:rPr>
                      <w:rFonts w:hint="eastAsia"/>
                      <w:color w:val="000000" w:themeColor="text1"/>
                      <w:sz w:val="21"/>
                      <w:szCs w:val="21"/>
                      <w:u w:val="none"/>
                      <w14:textFill>
                        <w14:solidFill>
                          <w14:schemeClr w14:val="tx1"/>
                        </w14:solidFill>
                      </w14:textFill>
                    </w:rPr>
                    <w:t>、NOx</w:t>
                  </w:r>
                </w:p>
              </w:tc>
              <w:tc>
                <w:tcPr>
                  <w:tcW w:w="1685" w:type="pct"/>
                  <w:vMerge w:val="continue"/>
                  <w:shd w:val="clear" w:color="auto" w:fill="auto"/>
                  <w:noWrap w:val="0"/>
                  <w:vAlign w:val="center"/>
                </w:tcPr>
                <w:p w14:paraId="318FEFD9">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highlight w:val="yellow"/>
                      <w:u w:val="none"/>
                      <w:lang w:eastAsia="zh-CN"/>
                    </w:rPr>
                  </w:pPr>
                </w:p>
              </w:tc>
            </w:tr>
            <w:tr w14:paraId="0A324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58F15FAC">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3FF5D31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330" w:type="pct"/>
                  <w:vMerge w:val="continue"/>
                  <w:shd w:val="clear" w:color="auto" w:fill="auto"/>
                  <w:noWrap w:val="0"/>
                  <w:vAlign w:val="center"/>
                </w:tcPr>
                <w:p w14:paraId="12024E04">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p>
              </w:tc>
              <w:tc>
                <w:tcPr>
                  <w:tcW w:w="685" w:type="pct"/>
                  <w:shd w:val="clear" w:color="auto" w:fill="auto"/>
                  <w:noWrap w:val="0"/>
                  <w:vAlign w:val="center"/>
                </w:tcPr>
                <w:p w14:paraId="7C57C950">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污水处理站产生恶臭</w:t>
                  </w:r>
                </w:p>
              </w:tc>
              <w:tc>
                <w:tcPr>
                  <w:tcW w:w="875" w:type="pct"/>
                  <w:shd w:val="clear" w:color="auto" w:fill="auto"/>
                  <w:noWrap w:val="0"/>
                  <w:vAlign w:val="center"/>
                </w:tcPr>
                <w:p w14:paraId="37205E4B">
                  <w:pPr>
                    <w:keepNext w:val="0"/>
                    <w:keepLines w:val="0"/>
                    <w:pageBreakBefore w:val="0"/>
                    <w:kinsoku/>
                    <w:wordWrap/>
                    <w:overflowPunct/>
                    <w:topLinePunct w:val="0"/>
                    <w:autoSpaceDE/>
                    <w:autoSpaceDN/>
                    <w:bidi w:val="0"/>
                    <w:spacing w:line="240" w:lineRule="auto"/>
                    <w:jc w:val="center"/>
                    <w:textAlignment w:val="auto"/>
                    <w:outlineLvl w:val="0"/>
                    <w:rPr>
                      <w:rFonts w:hint="eastAsia"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NH</w:t>
                  </w:r>
                  <w:r>
                    <w:rPr>
                      <w:rFonts w:hint="eastAsia"/>
                      <w:color w:val="000000" w:themeColor="text1"/>
                      <w:sz w:val="21"/>
                      <w:szCs w:val="21"/>
                      <w:vertAlign w:val="subscript"/>
                      <w14:textFill>
                        <w14:solidFill>
                          <w14:schemeClr w14:val="tx1"/>
                        </w14:solidFill>
                      </w14:textFill>
                    </w:rPr>
                    <w:t>3</w:t>
                  </w:r>
                  <w:r>
                    <w:rPr>
                      <w:rFonts w:hint="eastAsia"/>
                      <w:color w:val="000000" w:themeColor="text1"/>
                      <w:sz w:val="21"/>
                      <w:szCs w:val="21"/>
                      <w14:textFill>
                        <w14:solidFill>
                          <w14:schemeClr w14:val="tx1"/>
                        </w14:solidFill>
                      </w14:textFill>
                    </w:rPr>
                    <w:t>、H</w:t>
                  </w:r>
                  <w:r>
                    <w:rPr>
                      <w:rFonts w:hint="eastAsia"/>
                      <w:color w:val="000000" w:themeColor="text1"/>
                      <w:sz w:val="21"/>
                      <w:szCs w:val="21"/>
                      <w:vertAlign w:val="subscript"/>
                      <w14:textFill>
                        <w14:solidFill>
                          <w14:schemeClr w14:val="tx1"/>
                        </w14:solidFill>
                      </w14:textFill>
                    </w:rPr>
                    <w:t>2</w:t>
                  </w:r>
                  <w:r>
                    <w:rPr>
                      <w:rFonts w:hint="eastAsia"/>
                      <w:color w:val="000000" w:themeColor="text1"/>
                      <w:sz w:val="21"/>
                      <w:szCs w:val="21"/>
                      <w14:textFill>
                        <w14:solidFill>
                          <w14:schemeClr w14:val="tx1"/>
                        </w14:solidFill>
                      </w14:textFill>
                    </w:rPr>
                    <w:t>S</w:t>
                  </w:r>
                </w:p>
              </w:tc>
              <w:tc>
                <w:tcPr>
                  <w:tcW w:w="1685" w:type="pct"/>
                  <w:shd w:val="clear" w:color="auto" w:fill="auto"/>
                  <w:noWrap w:val="0"/>
                  <w:vAlign w:val="center"/>
                </w:tcPr>
                <w:p w14:paraId="4BC720B6">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污水处理站加盖密闭，定期喷洒除臭剂等</w:t>
                  </w:r>
                </w:p>
              </w:tc>
            </w:tr>
            <w:tr w14:paraId="6F83D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7584236E">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restart"/>
                  <w:noWrap w:val="0"/>
                  <w:vAlign w:val="center"/>
                </w:tcPr>
                <w:p w14:paraId="77480D1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highlight w:val="yellow"/>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废水治理措施</w:t>
                  </w:r>
                </w:p>
              </w:tc>
              <w:tc>
                <w:tcPr>
                  <w:tcW w:w="1015" w:type="pct"/>
                  <w:gridSpan w:val="2"/>
                  <w:shd w:val="clear" w:color="auto" w:fill="auto"/>
                  <w:noWrap w:val="0"/>
                  <w:vAlign w:val="center"/>
                </w:tcPr>
                <w:p w14:paraId="2DC5EA5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color w:val="000000" w:themeColor="text1"/>
                      <w:sz w:val="21"/>
                      <w:szCs w:val="21"/>
                      <w:u w:val="none"/>
                      <w14:textFill>
                        <w14:solidFill>
                          <w14:schemeClr w14:val="tx1"/>
                        </w14:solidFill>
                      </w14:textFill>
                    </w:rPr>
                    <w:t>职工生活污水</w:t>
                  </w:r>
                </w:p>
              </w:tc>
              <w:tc>
                <w:tcPr>
                  <w:tcW w:w="875" w:type="pct"/>
                  <w:shd w:val="clear" w:color="auto" w:fill="auto"/>
                  <w:noWrap w:val="0"/>
                  <w:vAlign w:val="center"/>
                </w:tcPr>
                <w:p w14:paraId="6E453D12">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color w:val="000000" w:themeColor="text1"/>
                      <w:sz w:val="21"/>
                      <w:szCs w:val="21"/>
                      <w:u w:val="none"/>
                      <w14:textFill>
                        <w14:solidFill>
                          <w14:schemeClr w14:val="tx1"/>
                        </w14:solidFill>
                      </w14:textFill>
                    </w:rPr>
                    <w:t>COD、BOD</w:t>
                  </w:r>
                  <w:r>
                    <w:rPr>
                      <w:color w:val="000000" w:themeColor="text1"/>
                      <w:sz w:val="21"/>
                      <w:szCs w:val="21"/>
                      <w:u w:val="none"/>
                      <w:vertAlign w:val="subscript"/>
                      <w14:textFill>
                        <w14:solidFill>
                          <w14:schemeClr w14:val="tx1"/>
                        </w14:solidFill>
                      </w14:textFill>
                    </w:rPr>
                    <w:t>5</w:t>
                  </w:r>
                  <w:r>
                    <w:rPr>
                      <w:color w:val="000000" w:themeColor="text1"/>
                      <w:sz w:val="21"/>
                      <w:szCs w:val="21"/>
                      <w:u w:val="none"/>
                      <w14:textFill>
                        <w14:solidFill>
                          <w14:schemeClr w14:val="tx1"/>
                        </w14:solidFill>
                      </w14:textFill>
                    </w:rPr>
                    <w:t>、NH</w:t>
                  </w:r>
                  <w:r>
                    <w:rPr>
                      <w:color w:val="000000" w:themeColor="text1"/>
                      <w:sz w:val="21"/>
                      <w:szCs w:val="21"/>
                      <w:u w:val="none"/>
                      <w:vertAlign w:val="subscript"/>
                      <w14:textFill>
                        <w14:solidFill>
                          <w14:schemeClr w14:val="tx1"/>
                        </w14:solidFill>
                      </w14:textFill>
                    </w:rPr>
                    <w:t>3</w:t>
                  </w:r>
                  <w:r>
                    <w:rPr>
                      <w:color w:val="000000" w:themeColor="text1"/>
                      <w:sz w:val="21"/>
                      <w:szCs w:val="21"/>
                      <w:u w:val="none"/>
                      <w14:textFill>
                        <w14:solidFill>
                          <w14:schemeClr w14:val="tx1"/>
                        </w14:solidFill>
                      </w14:textFill>
                    </w:rPr>
                    <w:t>-N、SS</w:t>
                  </w:r>
                </w:p>
              </w:tc>
              <w:tc>
                <w:tcPr>
                  <w:tcW w:w="1685" w:type="pct"/>
                  <w:vMerge w:val="restart"/>
                  <w:noWrap w:val="0"/>
                  <w:vAlign w:val="center"/>
                </w:tcPr>
                <w:p w14:paraId="56FF1600">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bCs/>
                      <w:color w:val="000000" w:themeColor="text1"/>
                      <w:sz w:val="21"/>
                      <w:szCs w:val="21"/>
                      <w:highlight w:val="yellow"/>
                      <w:u w:val="none"/>
                      <w14:textFill>
                        <w14:solidFill>
                          <w14:schemeClr w14:val="tx1"/>
                        </w14:solidFill>
                      </w14:textFill>
                    </w:rPr>
                  </w:pPr>
                  <w:r>
                    <w:rPr>
                      <w:rFonts w:hint="eastAsia"/>
                      <w:color w:val="000000"/>
                      <w:sz w:val="21"/>
                      <w:szCs w:val="21"/>
                    </w:rPr>
                    <w:t>生活污水经化粪池（容积</w:t>
                  </w:r>
                  <w:r>
                    <w:rPr>
                      <w:rFonts w:hint="eastAsia"/>
                      <w:color w:val="000000"/>
                      <w:sz w:val="21"/>
                      <w:szCs w:val="21"/>
                      <w:lang w:val="en-US" w:eastAsia="zh-CN"/>
                    </w:rPr>
                    <w:t>15</w:t>
                  </w:r>
                  <w:r>
                    <w:rPr>
                      <w:rFonts w:hint="eastAsia"/>
                      <w:color w:val="000000"/>
                      <w:sz w:val="21"/>
                      <w:szCs w:val="21"/>
                    </w:rPr>
                    <w:t>m</w:t>
                  </w:r>
                  <w:r>
                    <w:rPr>
                      <w:rFonts w:hint="eastAsia"/>
                      <w:color w:val="000000"/>
                      <w:sz w:val="21"/>
                      <w:szCs w:val="21"/>
                      <w:vertAlign w:val="superscript"/>
                    </w:rPr>
                    <w:t>3</w:t>
                  </w:r>
                  <w:r>
                    <w:rPr>
                      <w:rFonts w:hint="eastAsia"/>
                      <w:color w:val="000000"/>
                      <w:sz w:val="21"/>
                      <w:szCs w:val="21"/>
                    </w:rPr>
                    <w:t>）处理后</w:t>
                  </w:r>
                  <w:r>
                    <w:rPr>
                      <w:rFonts w:hint="eastAsia"/>
                      <w:color w:val="000000"/>
                      <w:sz w:val="21"/>
                      <w:szCs w:val="21"/>
                      <w:lang w:val="en-US" w:eastAsia="zh-CN"/>
                    </w:rPr>
                    <w:t>与</w:t>
                  </w:r>
                  <w:r>
                    <w:rPr>
                      <w:rFonts w:hint="eastAsia" w:ascii="Times New Roman" w:eastAsia="宋体"/>
                      <w:color w:val="000000" w:themeColor="text1"/>
                      <w:sz w:val="21"/>
                      <w:szCs w:val="21"/>
                      <w:u w:val="none"/>
                      <w:lang w:val="en-US" w:eastAsia="zh-CN"/>
                      <w14:textFill>
                        <w14:solidFill>
                          <w14:schemeClr w14:val="tx1"/>
                        </w14:solidFill>
                      </w14:textFill>
                    </w:rPr>
                    <w:t>生产</w:t>
                  </w:r>
                  <w:r>
                    <w:rPr>
                      <w:rFonts w:hint="eastAsia"/>
                      <w:color w:val="000000" w:themeColor="text1"/>
                      <w:sz w:val="21"/>
                      <w:szCs w:val="21"/>
                      <w:u w:val="none"/>
                      <w14:textFill>
                        <w14:solidFill>
                          <w14:schemeClr w14:val="tx1"/>
                        </w14:solidFill>
                      </w14:textFill>
                    </w:rPr>
                    <w:t>废水</w:t>
                  </w:r>
                  <w:r>
                    <w:rPr>
                      <w:rFonts w:hint="eastAsia"/>
                      <w:color w:val="000000"/>
                      <w:sz w:val="21"/>
                      <w:szCs w:val="21"/>
                    </w:rPr>
                    <w:t>混合后</w:t>
                  </w:r>
                  <w:r>
                    <w:rPr>
                      <w:rFonts w:hint="eastAsia"/>
                      <w:color w:val="000000"/>
                      <w:sz w:val="21"/>
                      <w:szCs w:val="21"/>
                      <w:lang w:val="en-US" w:eastAsia="zh-CN"/>
                    </w:rPr>
                    <w:t>一起经厂区污水处理站</w:t>
                  </w:r>
                  <w:r>
                    <w:rPr>
                      <w:rFonts w:hint="eastAsia"/>
                      <w:color w:val="000000"/>
                      <w:sz w:val="21"/>
                      <w:szCs w:val="21"/>
                    </w:rPr>
                    <w:t>（</w:t>
                  </w:r>
                  <w:r>
                    <w:rPr>
                      <w:rFonts w:hint="default" w:ascii="Times New Roman" w:hAnsi="Times New Roman" w:eastAsia="宋体" w:cs="Times New Roman"/>
                      <w:color w:val="auto"/>
                      <w:sz w:val="21"/>
                      <w:szCs w:val="21"/>
                      <w:u w:val="none"/>
                    </w:rPr>
                    <w:t>处理规模为</w:t>
                  </w:r>
                  <w:r>
                    <w:rPr>
                      <w:rFonts w:hint="eastAsia" w:cs="Times New Roman"/>
                      <w:color w:val="auto"/>
                      <w:sz w:val="21"/>
                      <w:szCs w:val="21"/>
                      <w:u w:val="none"/>
                      <w:lang w:val="en-US" w:eastAsia="zh-CN"/>
                    </w:rPr>
                    <w:t>5</w:t>
                  </w:r>
                  <w:r>
                    <w:rPr>
                      <w:rFonts w:hint="eastAsia" w:ascii="Times New Roman" w:hAnsi="Times New Roman" w:eastAsia="宋体" w:cs="Times New Roman"/>
                      <w:color w:val="auto"/>
                      <w:sz w:val="21"/>
                      <w:szCs w:val="21"/>
                      <w:u w:val="none"/>
                      <w:lang w:val="en-US" w:eastAsia="zh-CN"/>
                    </w:rPr>
                    <w:t>0</w:t>
                  </w:r>
                  <w:r>
                    <w:rPr>
                      <w:rFonts w:hint="default" w:ascii="Times New Roman" w:hAnsi="Times New Roman" w:eastAsia="宋体" w:cs="Times New Roman"/>
                      <w:color w:val="auto"/>
                      <w:sz w:val="21"/>
                      <w:szCs w:val="21"/>
                      <w:u w:val="none"/>
                    </w:rPr>
                    <w:t>m</w:t>
                  </w:r>
                  <w:r>
                    <w:rPr>
                      <w:rFonts w:hint="default" w:ascii="Times New Roman" w:hAnsi="Times New Roman" w:eastAsia="宋体"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/d</w:t>
                  </w:r>
                  <w:r>
                    <w:rPr>
                      <w:rFonts w:hint="eastAsia"/>
                      <w:color w:val="000000"/>
                      <w:sz w:val="21"/>
                      <w:szCs w:val="21"/>
                    </w:rPr>
                    <w:t>）</w:t>
                  </w:r>
                  <w:r>
                    <w:rPr>
                      <w:rFonts w:hint="eastAsia"/>
                      <w:color w:val="000000"/>
                      <w:sz w:val="21"/>
                      <w:szCs w:val="21"/>
                      <w:lang w:val="en-US" w:eastAsia="zh-CN"/>
                    </w:rPr>
                    <w:t>处理后</w:t>
                  </w:r>
                  <w:r>
                    <w:rPr>
                      <w:rFonts w:hint="eastAsia"/>
                      <w:color w:val="000000"/>
                      <w:sz w:val="21"/>
                      <w:szCs w:val="21"/>
                    </w:rPr>
                    <w:t>经污水总排口排入市政污水管网进入镇平县第二污水处理厂进一步处理达标后排放</w:t>
                  </w:r>
                </w:p>
              </w:tc>
            </w:tr>
            <w:tr w14:paraId="69D46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307D58C9">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09BC9AB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35E1BD7C">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生产</w:t>
                  </w:r>
                  <w:r>
                    <w:rPr>
                      <w:rFonts w:hint="eastAsia"/>
                      <w:color w:val="000000" w:themeColor="text1"/>
                      <w:sz w:val="21"/>
                      <w:szCs w:val="21"/>
                      <w:u w:val="none"/>
                      <w14:textFill>
                        <w14:solidFill>
                          <w14:schemeClr w14:val="tx1"/>
                        </w14:solidFill>
                      </w14:textFill>
                    </w:rPr>
                    <w:t>废水</w:t>
                  </w:r>
                </w:p>
              </w:tc>
              <w:tc>
                <w:tcPr>
                  <w:tcW w:w="875" w:type="pct"/>
                  <w:shd w:val="clear" w:color="auto" w:fill="auto"/>
                  <w:noWrap w:val="0"/>
                  <w:vAlign w:val="center"/>
                </w:tcPr>
                <w:p w14:paraId="5945C341">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highlight w:val="yellow"/>
                      <w:u w:val="none"/>
                      <w:lang w:val="en-US" w:eastAsia="zh-CN" w:bidi="ar-SA"/>
                      <w14:textFill>
                        <w14:solidFill>
                          <w14:schemeClr w14:val="tx1"/>
                        </w14:solidFill>
                      </w14:textFill>
                    </w:rPr>
                  </w:pPr>
                  <w:r>
                    <w:rPr>
                      <w:color w:val="000000" w:themeColor="text1"/>
                      <w:sz w:val="21"/>
                      <w:szCs w:val="21"/>
                      <w14:textFill>
                        <w14:solidFill>
                          <w14:schemeClr w14:val="tx1"/>
                        </w14:solidFill>
                      </w14:textFill>
                    </w:rPr>
                    <w:t>COD、BOD</w:t>
                  </w:r>
                  <w:r>
                    <w:rPr>
                      <w:color w:val="000000" w:themeColor="text1"/>
                      <w:sz w:val="21"/>
                      <w:szCs w:val="21"/>
                      <w:vertAlign w:val="subscript"/>
                      <w14:textFill>
                        <w14:solidFill>
                          <w14:schemeClr w14:val="tx1"/>
                        </w14:solidFill>
                      </w14:textFill>
                    </w:rPr>
                    <w:t>5</w:t>
                  </w:r>
                  <w:r>
                    <w:rPr>
                      <w:color w:val="000000" w:themeColor="text1"/>
                      <w:sz w:val="21"/>
                      <w:szCs w:val="21"/>
                      <w14:textFill>
                        <w14:solidFill>
                          <w14:schemeClr w14:val="tx1"/>
                        </w14:solidFill>
                      </w14:textFill>
                    </w:rPr>
                    <w:t>、SS、NH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r>
                    <w:rPr>
                      <w:rFonts w:hint="eastAsia"/>
                      <w:bCs/>
                      <w:color w:val="000000" w:themeColor="text1"/>
                      <w:sz w:val="21"/>
                      <w:szCs w:val="21"/>
                      <w14:textFill>
                        <w14:solidFill>
                          <w14:schemeClr w14:val="tx1"/>
                        </w14:solidFill>
                      </w14:textFill>
                    </w:rPr>
                    <w:t>TP、</w:t>
                  </w:r>
                  <w:r>
                    <w:rPr>
                      <w:rFonts w:hint="eastAsia"/>
                      <w:bCs/>
                      <w:color w:val="000000" w:themeColor="text1"/>
                      <w:sz w:val="21"/>
                      <w:szCs w:val="21"/>
                      <w:lang w:val="en-US" w:eastAsia="zh-CN"/>
                      <w14:textFill>
                        <w14:solidFill>
                          <w14:schemeClr w14:val="tx1"/>
                        </w14:solidFill>
                      </w14:textFill>
                    </w:rPr>
                    <w:t>动植物油、LAS</w:t>
                  </w:r>
                </w:p>
              </w:tc>
              <w:tc>
                <w:tcPr>
                  <w:tcW w:w="1685" w:type="pct"/>
                  <w:vMerge w:val="continue"/>
                  <w:noWrap w:val="0"/>
                  <w:vAlign w:val="center"/>
                </w:tcPr>
                <w:p w14:paraId="72074C13">
                  <w:pPr>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000000" w:themeColor="text1"/>
                      <w:sz w:val="21"/>
                      <w:szCs w:val="21"/>
                      <w:highlight w:val="yellow"/>
                      <w:u w:val="none"/>
                      <w14:textFill>
                        <w14:solidFill>
                          <w14:schemeClr w14:val="tx1"/>
                        </w14:solidFill>
                      </w14:textFill>
                    </w:rPr>
                  </w:pPr>
                </w:p>
              </w:tc>
            </w:tr>
            <w:tr w14:paraId="4354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03CCAE82">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06D2D26D">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噪声治理措施</w:t>
                  </w:r>
                </w:p>
              </w:tc>
              <w:tc>
                <w:tcPr>
                  <w:tcW w:w="1015" w:type="pct"/>
                  <w:gridSpan w:val="2"/>
                  <w:noWrap w:val="0"/>
                  <w:vAlign w:val="center"/>
                </w:tcPr>
                <w:p w14:paraId="23101C07">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yellow"/>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切菜机</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w:t>
                  </w:r>
                  <w:r>
                    <w:rPr>
                      <w:rFonts w:hint="eastAsia" w:cs="Times New Roman"/>
                      <w:bCs/>
                      <w:color w:val="000000" w:themeColor="text1"/>
                      <w:sz w:val="21"/>
                      <w:szCs w:val="21"/>
                      <w:u w:val="none"/>
                      <w:lang w:val="en-US" w:eastAsia="zh-CN"/>
                      <w14:textFill>
                        <w14:solidFill>
                          <w14:schemeClr w14:val="tx1"/>
                        </w14:solidFill>
                      </w14:textFill>
                    </w:rPr>
                    <w:t>和</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面机、</w:t>
                  </w:r>
                  <w:r>
                    <w:rPr>
                      <w:rFonts w:hint="default" w:eastAsia="宋体"/>
                      <w:color w:val="000000" w:themeColor="text1"/>
                      <w:sz w:val="21"/>
                      <w:szCs w:val="21"/>
                      <w:vertAlign w:val="baseline"/>
                      <w:lang w:val="en-US" w:eastAsia="zh-CN"/>
                      <w14:textFill>
                        <w14:solidFill>
                          <w14:schemeClr w14:val="tx1"/>
                        </w14:solidFill>
                      </w14:textFill>
                    </w:rPr>
                    <w:t>鲜肉开条机</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以及风机</w:t>
                  </w:r>
                  <w:r>
                    <w:rPr>
                      <w:rFonts w:hint="default" w:ascii="Times New Roman" w:hAnsi="Times New Roman" w:eastAsia="宋体" w:cs="Times New Roman"/>
                      <w:bCs/>
                      <w:color w:val="000000" w:themeColor="text1"/>
                      <w:sz w:val="21"/>
                      <w:szCs w:val="21"/>
                      <w:u w:val="none"/>
                      <w14:textFill>
                        <w14:solidFill>
                          <w14:schemeClr w14:val="tx1"/>
                        </w14:solidFill>
                      </w14:textFill>
                    </w:rPr>
                    <w:t>等设备</w:t>
                  </w:r>
                </w:p>
              </w:tc>
              <w:tc>
                <w:tcPr>
                  <w:tcW w:w="875" w:type="pct"/>
                  <w:noWrap w:val="0"/>
                  <w:vAlign w:val="center"/>
                </w:tcPr>
                <w:p w14:paraId="01FFB49F">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yellow"/>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机械噪声</w:t>
                  </w:r>
                </w:p>
              </w:tc>
              <w:tc>
                <w:tcPr>
                  <w:tcW w:w="1685" w:type="pct"/>
                  <w:noWrap w:val="0"/>
                  <w:vAlign w:val="center"/>
                </w:tcPr>
                <w:p w14:paraId="3E704C2B">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sz w:val="21"/>
                      <w:szCs w:val="21"/>
                      <w:highlight w:val="yellow"/>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产噪设备采取基础减振、厂房隔声等降噪措施；设备定期维护保养</w:t>
                  </w:r>
                </w:p>
              </w:tc>
            </w:tr>
            <w:tr w14:paraId="10A11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23AA94A3">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restart"/>
                  <w:noWrap w:val="0"/>
                  <w:vAlign w:val="center"/>
                </w:tcPr>
                <w:p w14:paraId="7B5EC2D5">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固废治理措施</w:t>
                  </w:r>
                </w:p>
              </w:tc>
              <w:tc>
                <w:tcPr>
                  <w:tcW w:w="1015" w:type="pct"/>
                  <w:gridSpan w:val="2"/>
                  <w:shd w:val="clear" w:color="auto" w:fill="auto"/>
                  <w:noWrap w:val="0"/>
                  <w:vAlign w:val="center"/>
                </w:tcPr>
                <w:p w14:paraId="0D976A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w:t>
                  </w:r>
                </w:p>
              </w:tc>
              <w:tc>
                <w:tcPr>
                  <w:tcW w:w="875" w:type="pct"/>
                  <w:shd w:val="clear" w:color="auto" w:fill="auto"/>
                  <w:noWrap w:val="0"/>
                  <w:vAlign w:val="center"/>
                </w:tcPr>
                <w:p w14:paraId="232AB39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生活垃圾</w:t>
                  </w:r>
                </w:p>
              </w:tc>
              <w:tc>
                <w:tcPr>
                  <w:tcW w:w="1685" w:type="pct"/>
                  <w:shd w:val="clear" w:color="auto" w:fill="auto"/>
                  <w:noWrap w:val="0"/>
                  <w:vAlign w:val="center"/>
                </w:tcPr>
                <w:p w14:paraId="0B7BC75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分类收集后交由环卫部门运至垃圾中转站处理</w:t>
                  </w:r>
                </w:p>
              </w:tc>
            </w:tr>
            <w:tr w14:paraId="1DC95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3E3227A8">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397DE47D">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5BCABF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w:t>
                  </w:r>
                </w:p>
              </w:tc>
              <w:tc>
                <w:tcPr>
                  <w:tcW w:w="875" w:type="pct"/>
                  <w:shd w:val="clear" w:color="auto" w:fill="auto"/>
                  <w:noWrap w:val="0"/>
                  <w:vAlign w:val="center"/>
                </w:tcPr>
                <w:p w14:paraId="4D656B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污泥</w:t>
                  </w:r>
                </w:p>
              </w:tc>
              <w:tc>
                <w:tcPr>
                  <w:tcW w:w="1685" w:type="pct"/>
                  <w:shd w:val="clear" w:color="auto" w:fill="auto"/>
                  <w:noWrap w:val="0"/>
                  <w:vAlign w:val="center"/>
                </w:tcPr>
                <w:p w14:paraId="2F5CA0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定期清掏后交由环卫部门处理</w:t>
                  </w:r>
                </w:p>
              </w:tc>
            </w:tr>
            <w:tr w14:paraId="058B2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57AF7CA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4689173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25921B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肉类清洗</w:t>
                  </w:r>
                </w:p>
              </w:tc>
              <w:tc>
                <w:tcPr>
                  <w:tcW w:w="875" w:type="pct"/>
                  <w:shd w:val="clear" w:color="auto" w:fill="auto"/>
                  <w:noWrap w:val="0"/>
                  <w:vAlign w:val="center"/>
                </w:tcPr>
                <w:p w14:paraId="28B592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肉末残渣</w:t>
                  </w:r>
                </w:p>
              </w:tc>
              <w:tc>
                <w:tcPr>
                  <w:tcW w:w="1685" w:type="pct"/>
                  <w:shd w:val="clear" w:color="auto" w:fill="auto"/>
                  <w:noWrap w:val="0"/>
                  <w:vAlign w:val="center"/>
                </w:tcPr>
                <w:p w14:paraId="2CD463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r>
            <w:tr w14:paraId="68BDD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78FBF69E">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56DB4E52">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493550A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蔬菜清洗</w:t>
                  </w:r>
                </w:p>
              </w:tc>
              <w:tc>
                <w:tcPr>
                  <w:tcW w:w="875" w:type="pct"/>
                  <w:shd w:val="clear" w:color="auto" w:fill="auto"/>
                  <w:noWrap w:val="0"/>
                  <w:vAlign w:val="center"/>
                </w:tcPr>
                <w:p w14:paraId="3F5B72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c>
                <w:tcPr>
                  <w:tcW w:w="1685" w:type="pct"/>
                  <w:shd w:val="clear" w:color="auto" w:fill="auto"/>
                  <w:noWrap w:val="0"/>
                  <w:vAlign w:val="center"/>
                </w:tcPr>
                <w:p w14:paraId="55484F1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w:t>
                  </w:r>
                  <w:commentRangeStart w:id="45"/>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期外售综合利用</w:t>
                  </w:r>
                  <w:commentRangeEnd w:id="45"/>
                  <w:r>
                    <w:commentReference w:id="45"/>
                  </w:r>
                </w:p>
              </w:tc>
            </w:tr>
            <w:tr w14:paraId="0B101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02A5FBD4">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436D249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618E1F07">
                  <w:pPr>
                    <w:jc w:val="center"/>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隔油池、</w:t>
                  </w: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静电</w:t>
                  </w:r>
                  <w:r>
                    <w:rPr>
                      <w:rFonts w:hint="default" w:ascii="Times New Roman" w:hAnsi="Times New Roman" w:eastAsia="宋体" w:cs="Times New Roman"/>
                      <w:bCs/>
                      <w:color w:val="000000" w:themeColor="text1"/>
                      <w:kern w:val="0"/>
                      <w:sz w:val="21"/>
                      <w:szCs w:val="21"/>
                      <w:u w:val="none"/>
                      <w14:textFill>
                        <w14:solidFill>
                          <w14:schemeClr w14:val="tx1"/>
                        </w14:solidFill>
                      </w14:textFill>
                    </w:rPr>
                    <w:t>油烟净化器</w:t>
                  </w:r>
                </w:p>
              </w:tc>
              <w:tc>
                <w:tcPr>
                  <w:tcW w:w="875" w:type="pct"/>
                  <w:shd w:val="clear" w:color="auto" w:fill="auto"/>
                  <w:noWrap w:val="0"/>
                  <w:vAlign w:val="center"/>
                </w:tcPr>
                <w:p w14:paraId="0397D8EE">
                  <w:pPr>
                    <w:jc w:val="center"/>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废油脂</w:t>
                  </w:r>
                </w:p>
              </w:tc>
              <w:tc>
                <w:tcPr>
                  <w:tcW w:w="1685" w:type="pct"/>
                  <w:shd w:val="clear" w:color="auto" w:fill="auto"/>
                  <w:noWrap w:val="0"/>
                  <w:vAlign w:val="center"/>
                </w:tcPr>
                <w:p w14:paraId="700E424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使用专用垃圾桶收集，加盖密闭交由餐厨垃圾回收单位处置</w:t>
                  </w:r>
                </w:p>
              </w:tc>
            </w:tr>
            <w:tr w14:paraId="6B7BB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156A79E7">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164F08AD">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0827C9FC">
                  <w:pPr>
                    <w:jc w:val="center"/>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eastAsia" w:cs="Times New Roman"/>
                      <w:bCs/>
                      <w:color w:val="000000" w:themeColor="text1"/>
                      <w:kern w:val="0"/>
                      <w:sz w:val="21"/>
                      <w:szCs w:val="21"/>
                      <w:u w:val="none"/>
                      <w:lang w:val="en-US" w:eastAsia="zh-CN"/>
                      <w14:textFill>
                        <w14:solidFill>
                          <w14:schemeClr w14:val="tx1"/>
                        </w14:solidFill>
                      </w14:textFill>
                    </w:rPr>
                    <w:t>餐具及设备清洗</w:t>
                  </w:r>
                </w:p>
              </w:tc>
              <w:tc>
                <w:tcPr>
                  <w:tcW w:w="875" w:type="pct"/>
                  <w:shd w:val="clear" w:color="auto" w:fill="auto"/>
                  <w:noWrap w:val="0"/>
                  <w:vAlign w:val="center"/>
                </w:tcPr>
                <w:p w14:paraId="44AC6DBD">
                  <w:pPr>
                    <w:jc w:val="center"/>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食品残渣</w:t>
                  </w:r>
                </w:p>
              </w:tc>
              <w:tc>
                <w:tcPr>
                  <w:tcW w:w="1685" w:type="pct"/>
                  <w:shd w:val="clear" w:color="auto" w:fill="auto"/>
                  <w:noWrap w:val="0"/>
                  <w:vAlign w:val="center"/>
                </w:tcPr>
                <w:p w14:paraId="50742C8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r>
            <w:tr w14:paraId="7A6D7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3142B61A">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174141AD">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68349E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原料拆包及产品包装</w:t>
                  </w:r>
                </w:p>
              </w:tc>
              <w:tc>
                <w:tcPr>
                  <w:tcW w:w="875" w:type="pct"/>
                  <w:shd w:val="clear" w:color="auto" w:fill="auto"/>
                  <w:noWrap w:val="0"/>
                  <w:vAlign w:val="center"/>
                </w:tcPr>
                <w:p w14:paraId="472F37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1685" w:type="pct"/>
                  <w:shd w:val="clear" w:color="auto" w:fill="auto"/>
                  <w:noWrap w:val="0"/>
                  <w:vAlign w:val="center"/>
                </w:tcPr>
                <w:p w14:paraId="06AE15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r>
            <w:tr w14:paraId="43297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340F9B5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3E8CCE20">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6A078E80">
                  <w:pPr>
                    <w:jc w:val="center"/>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rFonts w:hint="eastAsia"/>
                      <w:bCs/>
                      <w:color w:val="000000" w:themeColor="text1"/>
                      <w:kern w:val="0"/>
                      <w:sz w:val="21"/>
                      <w:szCs w:val="21"/>
                      <w14:textFill>
                        <w14:solidFill>
                          <w14:schemeClr w14:val="tx1"/>
                        </w14:solidFill>
                      </w14:textFill>
                    </w:rPr>
                    <w:t>纯水制备</w:t>
                  </w:r>
                </w:p>
              </w:tc>
              <w:tc>
                <w:tcPr>
                  <w:tcW w:w="875" w:type="pct"/>
                  <w:shd w:val="clear" w:color="auto" w:fill="auto"/>
                  <w:noWrap w:val="0"/>
                  <w:vAlign w:val="center"/>
                </w:tcPr>
                <w:p w14:paraId="6D4B63B4">
                  <w:pPr>
                    <w:jc w:val="center"/>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color w:val="000000" w:themeColor="text1"/>
                      <w:sz w:val="21"/>
                      <w:szCs w:val="21"/>
                      <w14:textFill>
                        <w14:solidFill>
                          <w14:schemeClr w14:val="tx1"/>
                        </w14:solidFill>
                      </w14:textFill>
                    </w:rPr>
                    <w:t>废石英砂</w:t>
                  </w:r>
                </w:p>
              </w:tc>
              <w:tc>
                <w:tcPr>
                  <w:tcW w:w="1685" w:type="pct"/>
                  <w:shd w:val="clear" w:color="auto" w:fill="auto"/>
                  <w:noWrap w:val="0"/>
                  <w:vAlign w:val="center"/>
                </w:tcPr>
                <w:p w14:paraId="7F3E3760">
                  <w:pPr>
                    <w:jc w:val="center"/>
                    <w:rPr>
                      <w:rFonts w:hint="default" w:ascii="Times New Roman" w:hAnsi="Times New Roman" w:eastAsia="宋体" w:cs="Times New Roman"/>
                      <w:bCs/>
                      <w:color w:val="000000" w:themeColor="text1"/>
                      <w:kern w:val="0"/>
                      <w:sz w:val="21"/>
                      <w:szCs w:val="21"/>
                      <w:highlight w:val="yellow"/>
                      <w:u w:val="none"/>
                      <w14:textFill>
                        <w14:solidFill>
                          <w14:schemeClr w14:val="tx1"/>
                        </w14:solidFill>
                      </w14:textFill>
                    </w:rPr>
                  </w:pPr>
                  <w:r>
                    <w:rPr>
                      <w:bCs/>
                      <w:color w:val="000000" w:themeColor="text1"/>
                      <w:kern w:val="0"/>
                      <w:sz w:val="21"/>
                      <w:szCs w:val="21"/>
                      <w14:textFill>
                        <w14:solidFill>
                          <w14:schemeClr w14:val="tx1"/>
                        </w14:solidFill>
                      </w14:textFill>
                    </w:rPr>
                    <w:t>定期交由原供应厂家回收处置</w:t>
                  </w:r>
                </w:p>
              </w:tc>
            </w:tr>
            <w:tr w14:paraId="32F60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16FCDC78">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6CBE2B85">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27FBBBF5">
                  <w:pPr>
                    <w:jc w:val="center"/>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rFonts w:hint="eastAsia"/>
                      <w:bCs/>
                      <w:color w:val="000000" w:themeColor="text1"/>
                      <w:kern w:val="0"/>
                      <w:sz w:val="21"/>
                      <w:szCs w:val="21"/>
                      <w14:textFill>
                        <w14:solidFill>
                          <w14:schemeClr w14:val="tx1"/>
                        </w14:solidFill>
                      </w14:textFill>
                    </w:rPr>
                    <w:t>纯水制备</w:t>
                  </w:r>
                </w:p>
              </w:tc>
              <w:tc>
                <w:tcPr>
                  <w:tcW w:w="875" w:type="pct"/>
                  <w:shd w:val="clear" w:color="auto" w:fill="auto"/>
                  <w:noWrap w:val="0"/>
                  <w:vAlign w:val="center"/>
                </w:tcPr>
                <w:p w14:paraId="64BFA25F">
                  <w:pPr>
                    <w:jc w:val="center"/>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color w:val="000000" w:themeColor="text1"/>
                      <w:sz w:val="21"/>
                      <w:szCs w:val="21"/>
                      <w14:textFill>
                        <w14:solidFill>
                          <w14:schemeClr w14:val="tx1"/>
                        </w14:solidFill>
                      </w14:textFill>
                    </w:rPr>
                    <w:t>废滤芯</w:t>
                  </w:r>
                </w:p>
              </w:tc>
              <w:tc>
                <w:tcPr>
                  <w:tcW w:w="1685" w:type="pct"/>
                  <w:shd w:val="clear" w:color="auto" w:fill="auto"/>
                  <w:noWrap w:val="0"/>
                  <w:vAlign w:val="center"/>
                </w:tcPr>
                <w:p w14:paraId="73F5E3EC">
                  <w:pPr>
                    <w:jc w:val="center"/>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bCs/>
                      <w:color w:val="000000" w:themeColor="text1"/>
                      <w:kern w:val="0"/>
                      <w:sz w:val="21"/>
                      <w:szCs w:val="21"/>
                      <w14:textFill>
                        <w14:solidFill>
                          <w14:schemeClr w14:val="tx1"/>
                        </w14:solidFill>
                      </w14:textFill>
                    </w:rPr>
                    <w:t>定期交由原供应厂家回收处置</w:t>
                  </w:r>
                </w:p>
              </w:tc>
            </w:tr>
            <w:tr w14:paraId="3FCF2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3C24FFB6">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38E97F4F">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10438829">
                  <w:pPr>
                    <w:jc w:val="center"/>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rFonts w:hint="eastAsia"/>
                      <w:bCs/>
                      <w:color w:val="000000" w:themeColor="text1"/>
                      <w:kern w:val="0"/>
                      <w:sz w:val="21"/>
                      <w:szCs w:val="21"/>
                      <w14:textFill>
                        <w14:solidFill>
                          <w14:schemeClr w14:val="tx1"/>
                        </w14:solidFill>
                      </w14:textFill>
                    </w:rPr>
                    <w:t>纯水制备</w:t>
                  </w:r>
                </w:p>
              </w:tc>
              <w:tc>
                <w:tcPr>
                  <w:tcW w:w="875" w:type="pct"/>
                  <w:shd w:val="clear" w:color="auto" w:fill="auto"/>
                  <w:noWrap w:val="0"/>
                  <w:vAlign w:val="center"/>
                </w:tcPr>
                <w:p w14:paraId="690F8D00">
                  <w:pPr>
                    <w:jc w:val="center"/>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color w:val="000000" w:themeColor="text1"/>
                      <w:sz w:val="21"/>
                      <w:szCs w:val="21"/>
                      <w14:textFill>
                        <w14:solidFill>
                          <w14:schemeClr w14:val="tx1"/>
                        </w14:solidFill>
                      </w14:textFill>
                    </w:rPr>
                    <w:t>废活性炭</w:t>
                  </w:r>
                </w:p>
              </w:tc>
              <w:tc>
                <w:tcPr>
                  <w:tcW w:w="1685" w:type="pct"/>
                  <w:shd w:val="clear" w:color="auto" w:fill="auto"/>
                  <w:noWrap w:val="0"/>
                  <w:vAlign w:val="center"/>
                </w:tcPr>
                <w:p w14:paraId="7D75008A">
                  <w:pPr>
                    <w:jc w:val="center"/>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bCs/>
                      <w:color w:val="000000" w:themeColor="text1"/>
                      <w:kern w:val="0"/>
                      <w:sz w:val="21"/>
                      <w:szCs w:val="21"/>
                      <w14:textFill>
                        <w14:solidFill>
                          <w14:schemeClr w14:val="tx1"/>
                        </w14:solidFill>
                      </w14:textFill>
                    </w:rPr>
                    <w:t>定期交由原供应厂家回收处置</w:t>
                  </w:r>
                </w:p>
              </w:tc>
            </w:tr>
            <w:tr w14:paraId="07B9C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2DCF2394">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6F42FB41">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6D4AA754">
                  <w:pPr>
                    <w:jc w:val="center"/>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rFonts w:hint="eastAsia"/>
                      <w:bCs/>
                      <w:color w:val="000000" w:themeColor="text1"/>
                      <w:kern w:val="0"/>
                      <w:sz w:val="21"/>
                      <w:szCs w:val="21"/>
                      <w14:textFill>
                        <w14:solidFill>
                          <w14:schemeClr w14:val="tx1"/>
                        </w14:solidFill>
                      </w14:textFill>
                    </w:rPr>
                    <w:t>纯水制备</w:t>
                  </w:r>
                </w:p>
              </w:tc>
              <w:tc>
                <w:tcPr>
                  <w:tcW w:w="875" w:type="pct"/>
                  <w:shd w:val="clear" w:color="auto" w:fill="auto"/>
                  <w:noWrap w:val="0"/>
                  <w:vAlign w:val="center"/>
                </w:tcPr>
                <w:p w14:paraId="6E6236A3">
                  <w:pPr>
                    <w:jc w:val="center"/>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bCs/>
                      <w:color w:val="000000" w:themeColor="text1"/>
                      <w:kern w:val="0"/>
                      <w:sz w:val="21"/>
                      <w:szCs w:val="21"/>
                      <w14:textFill>
                        <w14:solidFill>
                          <w14:schemeClr w14:val="tx1"/>
                        </w14:solidFill>
                      </w14:textFill>
                    </w:rPr>
                    <w:t>废反渗透</w:t>
                  </w:r>
                  <w:commentRangeStart w:id="46"/>
                  <w:r>
                    <w:rPr>
                      <w:bCs/>
                      <w:color w:val="000000" w:themeColor="text1"/>
                      <w:kern w:val="0"/>
                      <w:sz w:val="21"/>
                      <w:szCs w:val="21"/>
                      <w14:textFill>
                        <w14:solidFill>
                          <w14:schemeClr w14:val="tx1"/>
                        </w14:solidFill>
                      </w14:textFill>
                    </w:rPr>
                    <w:t>膜</w:t>
                  </w:r>
                  <w:commentRangeEnd w:id="46"/>
                  <w:r>
                    <w:commentReference w:id="46"/>
                  </w:r>
                </w:p>
              </w:tc>
              <w:tc>
                <w:tcPr>
                  <w:tcW w:w="1685" w:type="pct"/>
                  <w:shd w:val="clear" w:color="auto" w:fill="auto"/>
                  <w:noWrap w:val="0"/>
                  <w:vAlign w:val="center"/>
                </w:tcPr>
                <w:p w14:paraId="71903B34">
                  <w:pPr>
                    <w:jc w:val="center"/>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bCs/>
                      <w:color w:val="000000" w:themeColor="text1"/>
                      <w:kern w:val="0"/>
                      <w:sz w:val="21"/>
                      <w:szCs w:val="21"/>
                      <w14:textFill>
                        <w14:solidFill>
                          <w14:schemeClr w14:val="tx1"/>
                        </w14:solidFill>
                      </w14:textFill>
                    </w:rPr>
                    <w:t>定期交由原供应厂家回收处置</w:t>
                  </w:r>
                </w:p>
              </w:tc>
            </w:tr>
            <w:tr w14:paraId="052EC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2778A2E5">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vMerge w:val="continue"/>
                  <w:noWrap w:val="0"/>
                  <w:vAlign w:val="center"/>
                </w:tcPr>
                <w:p w14:paraId="0040D6DA">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15" w:type="pct"/>
                  <w:gridSpan w:val="2"/>
                  <w:shd w:val="clear" w:color="auto" w:fill="auto"/>
                  <w:noWrap w:val="0"/>
                  <w:vAlign w:val="center"/>
                </w:tcPr>
                <w:p w14:paraId="2471FC5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875" w:type="pct"/>
                  <w:shd w:val="clear" w:color="auto" w:fill="auto"/>
                  <w:noWrap w:val="0"/>
                  <w:vAlign w:val="center"/>
                </w:tcPr>
                <w:p w14:paraId="5C3F6A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c>
                <w:tcPr>
                  <w:tcW w:w="1685" w:type="pct"/>
                  <w:shd w:val="clear" w:color="auto" w:fill="auto"/>
                  <w:noWrap w:val="0"/>
                  <w:vAlign w:val="center"/>
                </w:tcPr>
                <w:p w14:paraId="06A4C1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highlight w:val="yellow"/>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r>
            <w:tr w14:paraId="224AB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4" w:type="pct"/>
                  <w:vMerge w:val="continue"/>
                  <w:noWrap w:val="0"/>
                  <w:vAlign w:val="center"/>
                </w:tcPr>
                <w:p w14:paraId="29BBB59C">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49" w:type="pct"/>
                  <w:noWrap w:val="0"/>
                  <w:vAlign w:val="center"/>
                </w:tcPr>
                <w:p w14:paraId="433359F2">
                  <w:pPr>
                    <w:keepNext w:val="0"/>
                    <w:keepLines w:val="0"/>
                    <w:pageBreakBefore w:val="0"/>
                    <w:tabs>
                      <w:tab w:val="left" w:pos="525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000000" w:themeColor="text1"/>
                      <w:sz w:val="21"/>
                      <w:szCs w:val="21"/>
                      <w:u w:val="single"/>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危废治理措施</w:t>
                  </w:r>
                </w:p>
              </w:tc>
              <w:tc>
                <w:tcPr>
                  <w:tcW w:w="1015" w:type="pct"/>
                  <w:gridSpan w:val="2"/>
                  <w:shd w:val="clear" w:color="auto" w:fill="auto"/>
                  <w:noWrap w:val="0"/>
                  <w:vAlign w:val="center"/>
                </w:tcPr>
                <w:p w14:paraId="34C6FDAB">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14:textFill>
                        <w14:solidFill>
                          <w14:schemeClr w14:val="tx1"/>
                        </w14:solidFill>
                      </w14:textFill>
                    </w:rPr>
                    <w:t>设备维护过程</w:t>
                  </w:r>
                </w:p>
              </w:tc>
              <w:tc>
                <w:tcPr>
                  <w:tcW w:w="875" w:type="pct"/>
                  <w:shd w:val="clear" w:color="auto" w:fill="auto"/>
                  <w:noWrap w:val="0"/>
                  <w:vAlign w:val="center"/>
                </w:tcPr>
                <w:p w14:paraId="68E27EF5">
                  <w:pPr>
                    <w:keepNext w:val="0"/>
                    <w:keepLines w:val="0"/>
                    <w:pageBreakBefore w:val="0"/>
                    <w:tabs>
                      <w:tab w:val="left" w:pos="5250"/>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14:textFill>
                        <w14:solidFill>
                          <w14:schemeClr w14:val="tx1"/>
                        </w14:solidFill>
                      </w14:textFill>
                    </w:rPr>
                    <w:t>废润滑油、废润滑油桶</w:t>
                  </w:r>
                </w:p>
              </w:tc>
              <w:tc>
                <w:tcPr>
                  <w:tcW w:w="1685" w:type="pct"/>
                  <w:shd w:val="clear" w:color="auto" w:fill="auto"/>
                  <w:noWrap w:val="0"/>
                  <w:vAlign w:val="center"/>
                </w:tcPr>
                <w:p w14:paraId="13FD713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分类集中收集于危废暂存间（面积</w:t>
                  </w: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0m</w:t>
                  </w:r>
                  <w:r>
                    <w:rPr>
                      <w:rFonts w:hint="default" w:ascii="Times New Roman" w:hAnsi="Times New Roman" w:eastAsia="宋体" w:cs="Times New Roman"/>
                      <w:color w:val="000000" w:themeColor="text1"/>
                      <w:sz w:val="21"/>
                      <w:szCs w:val="21"/>
                      <w:highlight w:val="none"/>
                      <w:u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，采取“六防”措施），定期交由有危废处理资质单位进行处置</w:t>
                  </w:r>
                </w:p>
              </w:tc>
            </w:tr>
          </w:tbl>
          <w:p w14:paraId="4F436910">
            <w:pPr>
              <w:pStyle w:val="33"/>
              <w:widowControl/>
              <w:adjustRightInd/>
              <w:ind w:firstLine="482"/>
              <w:jc w:val="both"/>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3、产品方案</w:t>
            </w:r>
          </w:p>
          <w:p w14:paraId="0F11B530">
            <w:pPr>
              <w:pStyle w:val="19"/>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表2-</w:t>
            </w:r>
            <w:r>
              <w:rPr>
                <w:rFonts w:hint="default" w:ascii="Times New Roman" w:hAnsi="Times New Roman" w:eastAsia="宋体" w:cs="Times New Roman"/>
                <w:b/>
                <w:color w:val="000000"/>
                <w:sz w:val="24"/>
                <w:szCs w:val="24"/>
                <w:lang w:val="en-US" w:eastAsia="zh-CN"/>
              </w:rPr>
              <w:t>3</w:t>
            </w:r>
            <w:r>
              <w:rPr>
                <w:rFonts w:hint="eastAsia" w:ascii="Times New Roman" w:hAnsi="Times New Roman" w:cs="Times New Roman"/>
                <w:b/>
                <w:color w:val="000000"/>
                <w:sz w:val="24"/>
                <w:szCs w:val="24"/>
                <w:lang w:val="en-US" w:eastAsia="zh-CN"/>
              </w:rPr>
              <w:t xml:space="preserve">  </w:t>
            </w:r>
            <w:r>
              <w:rPr>
                <w:rFonts w:hint="default" w:ascii="Times New Roman" w:hAnsi="Times New Roman" w:eastAsia="宋体" w:cs="Times New Roman"/>
                <w:b/>
                <w:color w:val="000000"/>
                <w:sz w:val="24"/>
                <w:szCs w:val="24"/>
              </w:rPr>
              <w:t>项目产品方案一览表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6"/>
              <w:gridCol w:w="3343"/>
              <w:gridCol w:w="4496"/>
            </w:tblGrid>
            <w:tr w14:paraId="19DFD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pct"/>
                  <w:noWrap w:val="0"/>
                  <w:vAlign w:val="center"/>
                </w:tcPr>
                <w:p w14:paraId="13E8F8F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1802" w:type="pct"/>
                  <w:noWrap w:val="0"/>
                  <w:vAlign w:val="center"/>
                </w:tcPr>
                <w:p w14:paraId="39E7994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产品名称</w:t>
                  </w:r>
                </w:p>
              </w:tc>
              <w:tc>
                <w:tcPr>
                  <w:tcW w:w="2423" w:type="pct"/>
                  <w:tcBorders>
                    <w:right w:val="single" w:color="000000" w:sz="6" w:space="0"/>
                  </w:tcBorders>
                  <w:noWrap w:val="0"/>
                  <w:vAlign w:val="center"/>
                </w:tcPr>
                <w:p w14:paraId="2935FFB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年</w:t>
                  </w:r>
                  <w:r>
                    <w:rPr>
                      <w:rFonts w:hint="default" w:ascii="Times New Roman" w:hAnsi="Times New Roman" w:eastAsia="宋体" w:cs="Times New Roman"/>
                      <w:sz w:val="21"/>
                      <w:szCs w:val="21"/>
                    </w:rPr>
                    <w:t>产量</w:t>
                  </w:r>
                </w:p>
              </w:tc>
            </w:tr>
            <w:tr w14:paraId="411D2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4" w:type="pct"/>
                  <w:noWrap w:val="0"/>
                  <w:vAlign w:val="center"/>
                </w:tcPr>
                <w:p w14:paraId="28251E7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802" w:type="pct"/>
                  <w:noWrap w:val="0"/>
                  <w:vAlign w:val="center"/>
                </w:tcPr>
                <w:p w14:paraId="6DAF5C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commentRangeStart w:id="47"/>
                  <w:r>
                    <w:rPr>
                      <w:rFonts w:hint="default" w:ascii="Times New Roman" w:hAnsi="Times New Roman" w:eastAsia="宋体" w:cs="Times New Roman"/>
                      <w:color w:val="000000" w:themeColor="text1"/>
                      <w:sz w:val="21"/>
                      <w:szCs w:val="21"/>
                      <w:u w:val="none"/>
                      <w14:textFill>
                        <w14:solidFill>
                          <w14:schemeClr w14:val="tx1"/>
                        </w14:solidFill>
                      </w14:textFill>
                    </w:rPr>
                    <w:t>热链餐食</w:t>
                  </w:r>
                  <w:commentRangeEnd w:id="47"/>
                  <w:r>
                    <w:commentReference w:id="47"/>
                  </w:r>
                </w:p>
              </w:tc>
              <w:tc>
                <w:tcPr>
                  <w:tcW w:w="2423" w:type="pct"/>
                  <w:tcBorders>
                    <w:left w:val="single" w:color="auto" w:sz="4" w:space="0"/>
                  </w:tcBorders>
                  <w:noWrap w:val="0"/>
                  <w:vAlign w:val="center"/>
                </w:tcPr>
                <w:p w14:paraId="25787D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200万份</w:t>
                  </w:r>
                </w:p>
              </w:tc>
            </w:tr>
          </w:tbl>
          <w:p w14:paraId="3C9BF8E2">
            <w:pPr>
              <w:pStyle w:val="33"/>
              <w:widowControl/>
              <w:adjustRightInd/>
              <w:ind w:firstLine="482"/>
              <w:jc w:val="both"/>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4、主要生产设备</w:t>
            </w:r>
          </w:p>
          <w:p w14:paraId="3E0D92EF">
            <w:pPr>
              <w:pStyle w:val="19"/>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表2-</w:t>
            </w:r>
            <w:r>
              <w:rPr>
                <w:rFonts w:hint="default" w:ascii="Times New Roman" w:hAnsi="Times New Roman" w:eastAsia="宋体" w:cs="Times New Roman"/>
                <w:b/>
                <w:color w:val="auto"/>
                <w:sz w:val="24"/>
                <w:szCs w:val="24"/>
                <w:u w:val="none"/>
                <w:lang w:val="en-US" w:eastAsia="zh-CN"/>
              </w:rPr>
              <w:t>4</w:t>
            </w:r>
            <w:r>
              <w:rPr>
                <w:rFonts w:hint="eastAsia" w:ascii="Times New Roman" w:hAnsi="Times New Roman" w:cs="Times New Roman"/>
                <w:b/>
                <w:color w:val="auto"/>
                <w:sz w:val="24"/>
                <w:szCs w:val="24"/>
                <w:u w:val="none"/>
                <w:lang w:val="en-US" w:eastAsia="zh-CN"/>
              </w:rPr>
              <w:t xml:space="preserve">  </w:t>
            </w:r>
            <w:r>
              <w:rPr>
                <w:rFonts w:hint="default" w:ascii="Times New Roman" w:hAnsi="Times New Roman" w:eastAsia="宋体" w:cs="Times New Roman"/>
                <w:b/>
                <w:color w:val="auto"/>
                <w:sz w:val="24"/>
                <w:szCs w:val="24"/>
                <w:u w:val="none"/>
              </w:rPr>
              <w:t>项目主要生产设备一览表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1499"/>
              <w:gridCol w:w="964"/>
              <w:gridCol w:w="1859"/>
              <w:gridCol w:w="1764"/>
              <w:gridCol w:w="1289"/>
              <w:gridCol w:w="1322"/>
            </w:tblGrid>
            <w:tr w14:paraId="4E580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4E118F34">
                  <w:pPr>
                    <w:jc w:val="center"/>
                    <w:rPr>
                      <w:color w:val="000000" w:themeColor="text1"/>
                      <w:sz w:val="21"/>
                      <w:szCs w:val="21"/>
                      <w:vertAlign w:val="baseline"/>
                      <w14:textFill>
                        <w14:solidFill>
                          <w14:schemeClr w14:val="tx1"/>
                        </w14:solidFill>
                      </w14:textFill>
                    </w:rPr>
                  </w:pPr>
                  <w:r>
                    <w:rPr>
                      <w:rFonts w:ascii="宋体" w:hAnsi="宋体" w:eastAsia="宋体" w:cs="宋体"/>
                      <w:color w:val="000000" w:themeColor="text1"/>
                      <w:sz w:val="21"/>
                      <w:szCs w:val="21"/>
                      <w14:textFill>
                        <w14:solidFill>
                          <w14:schemeClr w14:val="tx1"/>
                        </w14:solidFill>
                      </w14:textFill>
                    </w:rPr>
                    <w:t>序号</w:t>
                  </w:r>
                </w:p>
              </w:tc>
              <w:tc>
                <w:tcPr>
                  <w:tcW w:w="1499" w:type="dxa"/>
                  <w:vMerge w:val="restart"/>
                  <w:vAlign w:val="center"/>
                </w:tcPr>
                <w:p w14:paraId="643360AF">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主要生产单元名称</w:t>
                  </w:r>
                </w:p>
              </w:tc>
              <w:tc>
                <w:tcPr>
                  <w:tcW w:w="964" w:type="dxa"/>
                  <w:vMerge w:val="restart"/>
                  <w:vAlign w:val="center"/>
                </w:tcPr>
                <w:p w14:paraId="0E9CF5FB">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主要工艺名称</w:t>
                  </w:r>
                </w:p>
              </w:tc>
              <w:tc>
                <w:tcPr>
                  <w:tcW w:w="1859" w:type="dxa"/>
                  <w:vMerge w:val="restart"/>
                  <w:vAlign w:val="center"/>
                </w:tcPr>
                <w:p w14:paraId="4002BA6B">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主要生产设施名称</w:t>
                  </w:r>
                </w:p>
              </w:tc>
              <w:tc>
                <w:tcPr>
                  <w:tcW w:w="4375" w:type="dxa"/>
                  <w:gridSpan w:val="3"/>
                  <w:vAlign w:val="center"/>
                </w:tcPr>
                <w:p w14:paraId="724FEAF9">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设施参数</w:t>
                  </w:r>
                </w:p>
              </w:tc>
            </w:tr>
            <w:tr w14:paraId="200D8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F027239">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6C5C04F7">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27C448AA">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3F0DDF18">
                  <w:pPr>
                    <w:jc w:val="center"/>
                    <w:rPr>
                      <w:color w:val="000000" w:themeColor="text1"/>
                      <w:sz w:val="21"/>
                      <w:szCs w:val="21"/>
                      <w:vertAlign w:val="baseline"/>
                      <w14:textFill>
                        <w14:solidFill>
                          <w14:schemeClr w14:val="tx1"/>
                        </w14:solidFill>
                      </w14:textFill>
                    </w:rPr>
                  </w:pPr>
                </w:p>
              </w:tc>
              <w:tc>
                <w:tcPr>
                  <w:tcW w:w="1764" w:type="dxa"/>
                  <w:vAlign w:val="center"/>
                </w:tcPr>
                <w:p w14:paraId="6BE3B306">
                  <w:pPr>
                    <w:jc w:val="center"/>
                    <w:rPr>
                      <w:color w:val="000000" w:themeColor="text1"/>
                      <w:sz w:val="21"/>
                      <w:szCs w:val="21"/>
                      <w:vertAlign w:val="baseline"/>
                      <w14:textFill>
                        <w14:solidFill>
                          <w14:schemeClr w14:val="tx1"/>
                        </w14:solidFill>
                      </w14:textFill>
                    </w:rPr>
                  </w:pPr>
                  <w:r>
                    <w:rPr>
                      <w:color w:val="000000" w:themeColor="text1"/>
                      <w:sz w:val="21"/>
                      <w:szCs w:val="21"/>
                      <w:vertAlign w:val="baseline"/>
                      <w14:textFill>
                        <w14:solidFill>
                          <w14:schemeClr w14:val="tx1"/>
                        </w14:solidFill>
                      </w14:textFill>
                    </w:rPr>
                    <w:t>参数名称</w:t>
                  </w:r>
                </w:p>
              </w:tc>
              <w:tc>
                <w:tcPr>
                  <w:tcW w:w="1289" w:type="dxa"/>
                  <w:vAlign w:val="center"/>
                </w:tcPr>
                <w:p w14:paraId="17A30168">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设计值</w:t>
                  </w:r>
                </w:p>
              </w:tc>
              <w:tc>
                <w:tcPr>
                  <w:tcW w:w="1322" w:type="dxa"/>
                  <w:vAlign w:val="center"/>
                </w:tcPr>
                <w:p w14:paraId="26D52105">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计量单位</w:t>
                  </w:r>
                </w:p>
              </w:tc>
            </w:tr>
            <w:tr w14:paraId="29CE8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2F19B761">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w:t>
                  </w:r>
                </w:p>
              </w:tc>
              <w:tc>
                <w:tcPr>
                  <w:tcW w:w="1499" w:type="dxa"/>
                  <w:vAlign w:val="center"/>
                </w:tcPr>
                <w:p w14:paraId="3948075A">
                  <w:pPr>
                    <w:keepNext w:val="0"/>
                    <w:keepLines w:val="0"/>
                    <w:widowControl/>
                    <w:suppressLineNumbers w:val="0"/>
                    <w:jc w:val="center"/>
                    <w:rPr>
                      <w:rFonts w:hint="eastAsia"/>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原料冷藏库</w:t>
                  </w:r>
                </w:p>
              </w:tc>
              <w:tc>
                <w:tcPr>
                  <w:tcW w:w="964" w:type="dxa"/>
                  <w:vAlign w:val="center"/>
                </w:tcPr>
                <w:p w14:paraId="24E55644">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冷藏</w:t>
                  </w:r>
                </w:p>
              </w:tc>
              <w:tc>
                <w:tcPr>
                  <w:tcW w:w="1859" w:type="dxa"/>
                  <w:vAlign w:val="center"/>
                </w:tcPr>
                <w:p w14:paraId="1858AD80">
                  <w:pPr>
                    <w:jc w:val="center"/>
                    <w:rPr>
                      <w:color w:val="000000" w:themeColor="text1"/>
                      <w:sz w:val="21"/>
                      <w:szCs w:val="21"/>
                      <w:vertAlign w:val="baseline"/>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原料冷藏库</w:t>
                  </w:r>
                </w:p>
              </w:tc>
              <w:tc>
                <w:tcPr>
                  <w:tcW w:w="1764" w:type="dxa"/>
                  <w:vAlign w:val="center"/>
                </w:tcPr>
                <w:p w14:paraId="1EA04A39">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占地面积</w:t>
                  </w:r>
                </w:p>
              </w:tc>
              <w:tc>
                <w:tcPr>
                  <w:tcW w:w="1289" w:type="dxa"/>
                  <w:vAlign w:val="center"/>
                </w:tcPr>
                <w:p w14:paraId="12415F66">
                  <w:pPr>
                    <w:jc w:val="center"/>
                    <w:rPr>
                      <w:rFonts w:hint="default" w:eastAsia="宋体"/>
                      <w:color w:val="000000" w:themeColor="text1"/>
                      <w:sz w:val="21"/>
                      <w:szCs w:val="21"/>
                      <w:highlight w:val="none"/>
                      <w:vertAlign w:val="baseline"/>
                      <w:lang w:val="en-US" w:eastAsia="zh-CN"/>
                      <w14:textFill>
                        <w14:solidFill>
                          <w14:schemeClr w14:val="tx1"/>
                        </w14:solidFill>
                      </w14:textFill>
                    </w:rPr>
                  </w:pPr>
                  <w:commentRangeStart w:id="48"/>
                  <w:r>
                    <w:rPr>
                      <w:rFonts w:hint="eastAsia"/>
                      <w:color w:val="000000" w:themeColor="text1"/>
                      <w:sz w:val="21"/>
                      <w:szCs w:val="21"/>
                      <w:vertAlign w:val="baseline"/>
                      <w:lang w:val="en-US" w:eastAsia="zh-CN"/>
                      <w14:textFill>
                        <w14:solidFill>
                          <w14:schemeClr w14:val="tx1"/>
                        </w14:solidFill>
                      </w14:textFill>
                    </w:rPr>
                    <w:t>29</w:t>
                  </w:r>
                  <w:commentRangeEnd w:id="48"/>
                  <w:r>
                    <w:commentReference w:id="48"/>
                  </w:r>
                </w:p>
              </w:tc>
              <w:tc>
                <w:tcPr>
                  <w:tcW w:w="1322" w:type="dxa"/>
                  <w:vAlign w:val="center"/>
                </w:tcPr>
                <w:p w14:paraId="7854AD80">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2</w:t>
                  </w:r>
                </w:p>
              </w:tc>
            </w:tr>
            <w:tr w14:paraId="05410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2FE9F0B4">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w:t>
                  </w:r>
                </w:p>
              </w:tc>
              <w:tc>
                <w:tcPr>
                  <w:tcW w:w="1499" w:type="dxa"/>
                  <w:vAlign w:val="center"/>
                </w:tcPr>
                <w:p w14:paraId="47728711">
                  <w:pPr>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原料冷冻库</w:t>
                  </w:r>
                </w:p>
              </w:tc>
              <w:tc>
                <w:tcPr>
                  <w:tcW w:w="964" w:type="dxa"/>
                  <w:vAlign w:val="center"/>
                </w:tcPr>
                <w:p w14:paraId="5CF89E15">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冷冻</w:t>
                  </w:r>
                </w:p>
              </w:tc>
              <w:tc>
                <w:tcPr>
                  <w:tcW w:w="1859" w:type="dxa"/>
                  <w:vAlign w:val="center"/>
                </w:tcPr>
                <w:p w14:paraId="75CBD94B">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原料冷冻库</w:t>
                  </w:r>
                </w:p>
              </w:tc>
              <w:tc>
                <w:tcPr>
                  <w:tcW w:w="1764" w:type="dxa"/>
                  <w:vAlign w:val="center"/>
                </w:tcPr>
                <w:p w14:paraId="7C91C1BD">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占地面积</w:t>
                  </w:r>
                </w:p>
              </w:tc>
              <w:tc>
                <w:tcPr>
                  <w:tcW w:w="1289" w:type="dxa"/>
                  <w:vAlign w:val="center"/>
                </w:tcPr>
                <w:p w14:paraId="01E9FB7E">
                  <w:pPr>
                    <w:jc w:val="center"/>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25</w:t>
                  </w:r>
                </w:p>
              </w:tc>
              <w:tc>
                <w:tcPr>
                  <w:tcW w:w="1322" w:type="dxa"/>
                  <w:vAlign w:val="center"/>
                </w:tcPr>
                <w:p w14:paraId="6B376A6B">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2</w:t>
                  </w:r>
                </w:p>
              </w:tc>
            </w:tr>
            <w:tr w14:paraId="6F79C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692A91A7">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3</w:t>
                  </w:r>
                </w:p>
              </w:tc>
              <w:tc>
                <w:tcPr>
                  <w:tcW w:w="1499" w:type="dxa"/>
                  <w:vMerge w:val="restart"/>
                  <w:vAlign w:val="center"/>
                </w:tcPr>
                <w:p w14:paraId="76D48C44">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净菜粗加工间</w:t>
                  </w:r>
                </w:p>
              </w:tc>
              <w:tc>
                <w:tcPr>
                  <w:tcW w:w="964" w:type="dxa"/>
                  <w:vMerge w:val="restart"/>
                  <w:vAlign w:val="center"/>
                </w:tcPr>
                <w:p w14:paraId="556CD4AF">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清洗</w:t>
                  </w:r>
                </w:p>
              </w:tc>
              <w:tc>
                <w:tcPr>
                  <w:tcW w:w="1859" w:type="dxa"/>
                  <w:vMerge w:val="restart"/>
                  <w:vAlign w:val="center"/>
                </w:tcPr>
                <w:p w14:paraId="368E12B5">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球茎清洗机</w:t>
                  </w:r>
                </w:p>
              </w:tc>
              <w:tc>
                <w:tcPr>
                  <w:tcW w:w="1764" w:type="dxa"/>
                  <w:vAlign w:val="center"/>
                </w:tcPr>
                <w:p w14:paraId="67159DE8">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容积</w:t>
                  </w:r>
                </w:p>
              </w:tc>
              <w:tc>
                <w:tcPr>
                  <w:tcW w:w="1289" w:type="dxa"/>
                  <w:vAlign w:val="center"/>
                </w:tcPr>
                <w:p w14:paraId="36C2754A">
                  <w:pPr>
                    <w:tabs>
                      <w:tab w:val="left" w:pos="428"/>
                      <w:tab w:val="center" w:pos="768"/>
                    </w:tabs>
                    <w:jc w:val="center"/>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3.0</w:t>
                  </w:r>
                </w:p>
              </w:tc>
              <w:tc>
                <w:tcPr>
                  <w:tcW w:w="1322" w:type="dxa"/>
                  <w:vAlign w:val="center"/>
                </w:tcPr>
                <w:p w14:paraId="18EBFB99">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3</w:t>
                  </w:r>
                </w:p>
              </w:tc>
            </w:tr>
            <w:tr w14:paraId="6DD42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23FA0132">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627B02C5">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25D7FA7E">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2C1426AC">
                  <w:pPr>
                    <w:jc w:val="center"/>
                    <w:rPr>
                      <w:color w:val="000000" w:themeColor="text1"/>
                      <w:sz w:val="21"/>
                      <w:szCs w:val="21"/>
                      <w:vertAlign w:val="baseline"/>
                      <w14:textFill>
                        <w14:solidFill>
                          <w14:schemeClr w14:val="tx1"/>
                        </w14:solidFill>
                      </w14:textFill>
                    </w:rPr>
                  </w:pPr>
                </w:p>
              </w:tc>
              <w:tc>
                <w:tcPr>
                  <w:tcW w:w="1764" w:type="dxa"/>
                  <w:vAlign w:val="center"/>
                </w:tcPr>
                <w:p w14:paraId="21840147">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0AC77C9B">
                  <w:pPr>
                    <w:jc w:val="center"/>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w:t>
                  </w:r>
                </w:p>
              </w:tc>
              <w:tc>
                <w:tcPr>
                  <w:tcW w:w="1322" w:type="dxa"/>
                  <w:vAlign w:val="center"/>
                </w:tcPr>
                <w:p w14:paraId="296EFE0D">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34307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415DF21">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33B301F1">
                  <w:pPr>
                    <w:jc w:val="center"/>
                    <w:rPr>
                      <w:color w:val="000000" w:themeColor="text1"/>
                      <w:sz w:val="21"/>
                      <w:szCs w:val="21"/>
                      <w:vertAlign w:val="baseline"/>
                      <w14:textFill>
                        <w14:solidFill>
                          <w14:schemeClr w14:val="tx1"/>
                        </w14:solidFill>
                      </w14:textFill>
                    </w:rPr>
                  </w:pPr>
                </w:p>
              </w:tc>
              <w:tc>
                <w:tcPr>
                  <w:tcW w:w="964" w:type="dxa"/>
                  <w:vMerge w:val="restart"/>
                  <w:vAlign w:val="center"/>
                </w:tcPr>
                <w:p w14:paraId="203DAF13">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去皮</w:t>
                  </w:r>
                </w:p>
              </w:tc>
              <w:tc>
                <w:tcPr>
                  <w:tcW w:w="1859" w:type="dxa"/>
                  <w:vMerge w:val="restart"/>
                  <w:vAlign w:val="center"/>
                </w:tcPr>
                <w:p w14:paraId="2D872526">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毛刷去皮机</w:t>
                  </w:r>
                </w:p>
              </w:tc>
              <w:tc>
                <w:tcPr>
                  <w:tcW w:w="1764" w:type="dxa"/>
                  <w:vAlign w:val="center"/>
                </w:tcPr>
                <w:p w14:paraId="3716056A">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vAlign w:val="center"/>
                </w:tcPr>
                <w:p w14:paraId="7037F194">
                  <w:pPr>
                    <w:tabs>
                      <w:tab w:val="left" w:pos="428"/>
                      <w:tab w:val="center" w:pos="768"/>
                    </w:tabs>
                    <w:jc w:val="center"/>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0.5</w:t>
                  </w:r>
                </w:p>
              </w:tc>
              <w:tc>
                <w:tcPr>
                  <w:tcW w:w="1322" w:type="dxa"/>
                  <w:vAlign w:val="center"/>
                </w:tcPr>
                <w:p w14:paraId="653E336A">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54D05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25D8EAA0">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2A4251C6">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340FD6C1">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72857598">
                  <w:pPr>
                    <w:jc w:val="center"/>
                    <w:rPr>
                      <w:color w:val="000000" w:themeColor="text1"/>
                      <w:sz w:val="21"/>
                      <w:szCs w:val="21"/>
                      <w:vertAlign w:val="baseline"/>
                      <w14:textFill>
                        <w14:solidFill>
                          <w14:schemeClr w14:val="tx1"/>
                        </w14:solidFill>
                      </w14:textFill>
                    </w:rPr>
                  </w:pPr>
                </w:p>
              </w:tc>
              <w:tc>
                <w:tcPr>
                  <w:tcW w:w="1764" w:type="dxa"/>
                  <w:vAlign w:val="center"/>
                </w:tcPr>
                <w:p w14:paraId="2E61E3D1">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326BB349">
                  <w:pPr>
                    <w:jc w:val="center"/>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w:t>
                  </w:r>
                </w:p>
              </w:tc>
              <w:tc>
                <w:tcPr>
                  <w:tcW w:w="1322" w:type="dxa"/>
                  <w:vAlign w:val="center"/>
                </w:tcPr>
                <w:p w14:paraId="71B3016A">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47E34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55422D37">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4</w:t>
                  </w:r>
                </w:p>
              </w:tc>
              <w:tc>
                <w:tcPr>
                  <w:tcW w:w="1499" w:type="dxa"/>
                  <w:vMerge w:val="restart"/>
                  <w:vAlign w:val="center"/>
                </w:tcPr>
                <w:p w14:paraId="246D1D44">
                  <w:pPr>
                    <w:jc w:val="center"/>
                    <w:rPr>
                      <w:color w:val="000000" w:themeColor="text1"/>
                      <w:sz w:val="21"/>
                      <w:szCs w:val="21"/>
                      <w:vertAlign w:val="baseline"/>
                      <w14:textFill>
                        <w14:solidFill>
                          <w14:schemeClr w14:val="tx1"/>
                        </w14:solidFill>
                      </w14:textFill>
                    </w:rPr>
                  </w:pPr>
                  <w:r>
                    <w:rPr>
                      <w:color w:val="000000" w:themeColor="text1"/>
                      <w:sz w:val="21"/>
                      <w:szCs w:val="21"/>
                      <w:vertAlign w:val="baseline"/>
                      <w:lang w:val="en-US" w:eastAsia="zh-CN"/>
                      <w14:textFill>
                        <w14:solidFill>
                          <w14:schemeClr w14:val="tx1"/>
                        </w14:solidFill>
                      </w14:textFill>
                    </w:rPr>
                    <w:t>净菜精加工间</w:t>
                  </w:r>
                </w:p>
              </w:tc>
              <w:tc>
                <w:tcPr>
                  <w:tcW w:w="964" w:type="dxa"/>
                  <w:vMerge w:val="restart"/>
                  <w:vAlign w:val="center"/>
                </w:tcPr>
                <w:p w14:paraId="6A786423">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提升</w:t>
                  </w:r>
                </w:p>
              </w:tc>
              <w:tc>
                <w:tcPr>
                  <w:tcW w:w="1859" w:type="dxa"/>
                  <w:vMerge w:val="restart"/>
                  <w:vAlign w:val="center"/>
                </w:tcPr>
                <w:p w14:paraId="2DDD3238">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Z型提升机</w:t>
                  </w:r>
                </w:p>
              </w:tc>
              <w:tc>
                <w:tcPr>
                  <w:tcW w:w="1764" w:type="dxa"/>
                  <w:shd w:val="clear" w:color="auto" w:fill="auto"/>
                  <w:vAlign w:val="center"/>
                </w:tcPr>
                <w:p w14:paraId="260D83D6">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shd w:val="clear" w:color="auto" w:fill="auto"/>
                  <w:vAlign w:val="center"/>
                </w:tcPr>
                <w:p w14:paraId="6AF4B973">
                  <w:pPr>
                    <w:jc w:val="center"/>
                    <w:rPr>
                      <w:rFonts w:hint="default" w:ascii="Times New Roman" w:hAnsi="Times New Roman" w:eastAsia="宋体" w:cs="Times New Roman"/>
                      <w:color w:val="000000" w:themeColor="text1"/>
                      <w:kern w:val="2"/>
                      <w:sz w:val="21"/>
                      <w:szCs w:val="21"/>
                      <w:highlight w:val="yellow"/>
                      <w:vertAlign w:val="baseli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0.5</w:t>
                  </w:r>
                </w:p>
              </w:tc>
              <w:tc>
                <w:tcPr>
                  <w:tcW w:w="1322" w:type="dxa"/>
                  <w:shd w:val="clear" w:color="auto" w:fill="auto"/>
                  <w:vAlign w:val="center"/>
                </w:tcPr>
                <w:p w14:paraId="060843EC">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6B0BD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76F951D6">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737A9187">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71BF28B3">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5DA8CA5F">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105EA635">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4FE7CDC6">
                  <w:pPr>
                    <w:jc w:val="center"/>
                    <w:rPr>
                      <w:rFonts w:hint="default" w:ascii="Times New Roman" w:hAnsi="Times New Roman" w:eastAsia="宋体" w:cs="Times New Roman"/>
                      <w:color w:val="000000" w:themeColor="text1"/>
                      <w:kern w:val="2"/>
                      <w:sz w:val="21"/>
                      <w:szCs w:val="21"/>
                      <w:highlight w:val="yellow"/>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shd w:val="clear" w:color="auto" w:fill="auto"/>
                  <w:vAlign w:val="center"/>
                </w:tcPr>
                <w:p w14:paraId="53C1C93B">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0B30B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5A9E3615">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6B32F9DA">
                  <w:pPr>
                    <w:jc w:val="center"/>
                    <w:rPr>
                      <w:color w:val="000000" w:themeColor="text1"/>
                      <w:sz w:val="21"/>
                      <w:szCs w:val="21"/>
                      <w:vertAlign w:val="baseline"/>
                      <w14:textFill>
                        <w14:solidFill>
                          <w14:schemeClr w14:val="tx1"/>
                        </w14:solidFill>
                      </w14:textFill>
                    </w:rPr>
                  </w:pPr>
                </w:p>
              </w:tc>
              <w:tc>
                <w:tcPr>
                  <w:tcW w:w="964" w:type="dxa"/>
                  <w:vMerge w:val="restart"/>
                  <w:vAlign w:val="center"/>
                </w:tcPr>
                <w:p w14:paraId="19FD491D">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分拣</w:t>
                  </w:r>
                </w:p>
              </w:tc>
              <w:tc>
                <w:tcPr>
                  <w:tcW w:w="1859" w:type="dxa"/>
                  <w:vMerge w:val="restart"/>
                  <w:vAlign w:val="center"/>
                </w:tcPr>
                <w:p w14:paraId="3D3CC1DB">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六工位分拣台</w:t>
                  </w:r>
                </w:p>
              </w:tc>
              <w:tc>
                <w:tcPr>
                  <w:tcW w:w="1764" w:type="dxa"/>
                  <w:shd w:val="clear" w:color="auto" w:fill="auto"/>
                  <w:vAlign w:val="center"/>
                </w:tcPr>
                <w:p w14:paraId="526ABD30">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shd w:val="clear" w:color="auto" w:fill="auto"/>
                  <w:vAlign w:val="center"/>
                </w:tcPr>
                <w:p w14:paraId="5ADFC7E8">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0.5</w:t>
                  </w:r>
                </w:p>
              </w:tc>
              <w:tc>
                <w:tcPr>
                  <w:tcW w:w="1322" w:type="dxa"/>
                  <w:shd w:val="clear" w:color="auto" w:fill="auto"/>
                  <w:vAlign w:val="center"/>
                </w:tcPr>
                <w:p w14:paraId="1B112E65">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368B2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032AF3F">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274750BF">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363C2562">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5DD89B26">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1718A36F">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008738D7">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w:t>
                  </w:r>
                </w:p>
              </w:tc>
              <w:tc>
                <w:tcPr>
                  <w:tcW w:w="1322" w:type="dxa"/>
                  <w:shd w:val="clear" w:color="auto" w:fill="auto"/>
                  <w:vAlign w:val="center"/>
                </w:tcPr>
                <w:p w14:paraId="4510B0C1">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22E79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27BBCE8F">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78AC7D50">
                  <w:pPr>
                    <w:jc w:val="center"/>
                    <w:rPr>
                      <w:color w:val="000000" w:themeColor="text1"/>
                      <w:sz w:val="21"/>
                      <w:szCs w:val="21"/>
                      <w:vertAlign w:val="baseline"/>
                      <w14:textFill>
                        <w14:solidFill>
                          <w14:schemeClr w14:val="tx1"/>
                        </w14:solidFill>
                      </w14:textFill>
                    </w:rPr>
                  </w:pPr>
                </w:p>
              </w:tc>
              <w:tc>
                <w:tcPr>
                  <w:tcW w:w="964" w:type="dxa"/>
                  <w:vMerge w:val="restart"/>
                  <w:vAlign w:val="center"/>
                </w:tcPr>
                <w:p w14:paraId="283879C2">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切菜</w:t>
                  </w:r>
                </w:p>
              </w:tc>
              <w:tc>
                <w:tcPr>
                  <w:tcW w:w="1859" w:type="dxa"/>
                  <w:vMerge w:val="restart"/>
                  <w:vAlign w:val="center"/>
                </w:tcPr>
                <w:p w14:paraId="41913E89">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球茎切菜机</w:t>
                  </w:r>
                </w:p>
              </w:tc>
              <w:tc>
                <w:tcPr>
                  <w:tcW w:w="1764" w:type="dxa"/>
                  <w:shd w:val="clear" w:color="auto" w:fill="auto"/>
                  <w:vAlign w:val="center"/>
                </w:tcPr>
                <w:p w14:paraId="77823A98">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shd w:val="clear" w:color="auto" w:fill="auto"/>
                  <w:vAlign w:val="center"/>
                </w:tcPr>
                <w:p w14:paraId="7762629F">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0.3</w:t>
                  </w:r>
                </w:p>
              </w:tc>
              <w:tc>
                <w:tcPr>
                  <w:tcW w:w="1322" w:type="dxa"/>
                  <w:shd w:val="clear" w:color="auto" w:fill="auto"/>
                  <w:vAlign w:val="center"/>
                </w:tcPr>
                <w:p w14:paraId="22A440DF">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02586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B66C99A">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77701428">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389512E7">
                  <w:pPr>
                    <w:jc w:val="center"/>
                    <w:rPr>
                      <w:rFonts w:hint="eastAsia"/>
                      <w:color w:val="000000" w:themeColor="text1"/>
                      <w:sz w:val="21"/>
                      <w:szCs w:val="21"/>
                      <w:vertAlign w:val="baseline"/>
                      <w:lang w:val="en-US" w:eastAsia="zh-CN"/>
                      <w14:textFill>
                        <w14:solidFill>
                          <w14:schemeClr w14:val="tx1"/>
                        </w14:solidFill>
                      </w14:textFill>
                    </w:rPr>
                  </w:pPr>
                </w:p>
              </w:tc>
              <w:tc>
                <w:tcPr>
                  <w:tcW w:w="1859" w:type="dxa"/>
                  <w:vMerge w:val="continue"/>
                  <w:vAlign w:val="center"/>
                </w:tcPr>
                <w:p w14:paraId="68B20C4B">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67481E2C">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68302C43">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w:t>
                  </w:r>
                </w:p>
              </w:tc>
              <w:tc>
                <w:tcPr>
                  <w:tcW w:w="1322" w:type="dxa"/>
                  <w:shd w:val="clear" w:color="auto" w:fill="auto"/>
                  <w:vAlign w:val="center"/>
                </w:tcPr>
                <w:p w14:paraId="408A295A">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7525A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7803C77">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09C7B612">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72B754AC">
                  <w:pPr>
                    <w:jc w:val="center"/>
                    <w:rPr>
                      <w:rFonts w:hint="eastAsia"/>
                      <w:color w:val="000000" w:themeColor="text1"/>
                      <w:sz w:val="21"/>
                      <w:szCs w:val="21"/>
                      <w:vertAlign w:val="baseline"/>
                      <w:lang w:val="en-US" w:eastAsia="zh-CN"/>
                      <w14:textFill>
                        <w14:solidFill>
                          <w14:schemeClr w14:val="tx1"/>
                        </w14:solidFill>
                      </w14:textFill>
                    </w:rPr>
                  </w:pPr>
                </w:p>
              </w:tc>
              <w:tc>
                <w:tcPr>
                  <w:tcW w:w="1859" w:type="dxa"/>
                  <w:vMerge w:val="restart"/>
                  <w:vAlign w:val="center"/>
                </w:tcPr>
                <w:p w14:paraId="435AF05E">
                  <w:pPr>
                    <w:jc w:val="center"/>
                    <w:rPr>
                      <w:color w:val="000000" w:themeColor="text1"/>
                      <w:sz w:val="21"/>
                      <w:szCs w:val="21"/>
                      <w:vertAlign w:val="baseline"/>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叶类菜切菜机</w:t>
                  </w:r>
                </w:p>
              </w:tc>
              <w:tc>
                <w:tcPr>
                  <w:tcW w:w="1764" w:type="dxa"/>
                  <w:shd w:val="clear" w:color="auto" w:fill="auto"/>
                  <w:vAlign w:val="center"/>
                </w:tcPr>
                <w:p w14:paraId="19E5C03B">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shd w:val="clear" w:color="auto" w:fill="auto"/>
                  <w:vAlign w:val="center"/>
                </w:tcPr>
                <w:p w14:paraId="1BB61FAD">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1.0</w:t>
                  </w:r>
                </w:p>
              </w:tc>
              <w:tc>
                <w:tcPr>
                  <w:tcW w:w="1322" w:type="dxa"/>
                  <w:shd w:val="clear" w:color="auto" w:fill="auto"/>
                  <w:vAlign w:val="center"/>
                </w:tcPr>
                <w:p w14:paraId="1E04706E">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76580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2D77932E">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5668BD26">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0DA97993">
                  <w:pPr>
                    <w:jc w:val="center"/>
                    <w:rPr>
                      <w:rFonts w:hint="eastAsia"/>
                      <w:color w:val="000000" w:themeColor="text1"/>
                      <w:sz w:val="21"/>
                      <w:szCs w:val="21"/>
                      <w:vertAlign w:val="baseline"/>
                      <w:lang w:val="en-US" w:eastAsia="zh-CN"/>
                      <w14:textFill>
                        <w14:solidFill>
                          <w14:schemeClr w14:val="tx1"/>
                        </w14:solidFill>
                      </w14:textFill>
                    </w:rPr>
                  </w:pPr>
                </w:p>
              </w:tc>
              <w:tc>
                <w:tcPr>
                  <w:tcW w:w="1859" w:type="dxa"/>
                  <w:vMerge w:val="continue"/>
                  <w:vAlign w:val="center"/>
                </w:tcPr>
                <w:p w14:paraId="652FE183">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1316B7D7">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1257A057">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w:t>
                  </w:r>
                </w:p>
              </w:tc>
              <w:tc>
                <w:tcPr>
                  <w:tcW w:w="1322" w:type="dxa"/>
                  <w:shd w:val="clear" w:color="auto" w:fill="auto"/>
                  <w:vAlign w:val="center"/>
                </w:tcPr>
                <w:p w14:paraId="283113D7">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2D391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2E2A1D54">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6AEEF906">
                  <w:pPr>
                    <w:jc w:val="center"/>
                    <w:rPr>
                      <w:color w:val="000000" w:themeColor="text1"/>
                      <w:sz w:val="21"/>
                      <w:szCs w:val="21"/>
                      <w:vertAlign w:val="baseline"/>
                      <w14:textFill>
                        <w14:solidFill>
                          <w14:schemeClr w14:val="tx1"/>
                        </w14:solidFill>
                      </w14:textFill>
                    </w:rPr>
                  </w:pPr>
                </w:p>
              </w:tc>
              <w:tc>
                <w:tcPr>
                  <w:tcW w:w="964" w:type="dxa"/>
                  <w:vMerge w:val="restart"/>
                  <w:vAlign w:val="center"/>
                </w:tcPr>
                <w:p w14:paraId="313871DA">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清洗</w:t>
                  </w:r>
                </w:p>
              </w:tc>
              <w:tc>
                <w:tcPr>
                  <w:tcW w:w="1859" w:type="dxa"/>
                  <w:vMerge w:val="restart"/>
                  <w:vAlign w:val="center"/>
                </w:tcPr>
                <w:p w14:paraId="2A3B199D">
                  <w:pPr>
                    <w:jc w:val="center"/>
                    <w:rPr>
                      <w:color w:val="000000" w:themeColor="text1"/>
                      <w:sz w:val="21"/>
                      <w:szCs w:val="21"/>
                      <w:vertAlign w:val="baseline"/>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叶类菜</w:t>
                  </w:r>
                  <w:r>
                    <w:rPr>
                      <w:rFonts w:hint="eastAsia"/>
                      <w:color w:val="000000" w:themeColor="text1"/>
                      <w:sz w:val="21"/>
                      <w:szCs w:val="21"/>
                      <w:vertAlign w:val="baseline"/>
                      <w:lang w:val="en-US" w:eastAsia="zh-CN"/>
                      <w14:textFill>
                        <w14:solidFill>
                          <w14:schemeClr w14:val="tx1"/>
                        </w14:solidFill>
                      </w14:textFill>
                    </w:rPr>
                    <w:t>清洗机</w:t>
                  </w:r>
                </w:p>
              </w:tc>
              <w:tc>
                <w:tcPr>
                  <w:tcW w:w="1764" w:type="dxa"/>
                  <w:shd w:val="clear" w:color="auto" w:fill="auto"/>
                  <w:vAlign w:val="center"/>
                </w:tcPr>
                <w:p w14:paraId="47DEE657">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容积</w:t>
                  </w:r>
                </w:p>
              </w:tc>
              <w:tc>
                <w:tcPr>
                  <w:tcW w:w="1289" w:type="dxa"/>
                  <w:shd w:val="clear" w:color="auto" w:fill="auto"/>
                  <w:vAlign w:val="center"/>
                </w:tcPr>
                <w:p w14:paraId="12788877">
                  <w:pPr>
                    <w:tabs>
                      <w:tab w:val="left" w:pos="428"/>
                      <w:tab w:val="center" w:pos="768"/>
                    </w:tabs>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3.0</w:t>
                  </w:r>
                </w:p>
              </w:tc>
              <w:tc>
                <w:tcPr>
                  <w:tcW w:w="1322" w:type="dxa"/>
                  <w:shd w:val="clear" w:color="auto" w:fill="auto"/>
                  <w:vAlign w:val="center"/>
                </w:tcPr>
                <w:p w14:paraId="6F433E77">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3</w:t>
                  </w:r>
                </w:p>
              </w:tc>
            </w:tr>
            <w:tr w14:paraId="2D176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70792996">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392998F0">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676E80C0">
                  <w:pPr>
                    <w:jc w:val="center"/>
                    <w:rPr>
                      <w:rFonts w:hint="eastAsia"/>
                      <w:color w:val="000000" w:themeColor="text1"/>
                      <w:sz w:val="21"/>
                      <w:szCs w:val="21"/>
                      <w:vertAlign w:val="baseline"/>
                      <w:lang w:val="en-US" w:eastAsia="zh-CN"/>
                      <w14:textFill>
                        <w14:solidFill>
                          <w14:schemeClr w14:val="tx1"/>
                        </w14:solidFill>
                      </w14:textFill>
                    </w:rPr>
                  </w:pPr>
                </w:p>
              </w:tc>
              <w:tc>
                <w:tcPr>
                  <w:tcW w:w="1859" w:type="dxa"/>
                  <w:vMerge w:val="continue"/>
                  <w:vAlign w:val="center"/>
                </w:tcPr>
                <w:p w14:paraId="12907525">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15489EFC">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493D6A59">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w:t>
                  </w:r>
                </w:p>
              </w:tc>
              <w:tc>
                <w:tcPr>
                  <w:tcW w:w="1322" w:type="dxa"/>
                  <w:shd w:val="clear" w:color="auto" w:fill="auto"/>
                  <w:vAlign w:val="center"/>
                </w:tcPr>
                <w:p w14:paraId="4472CDAA">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42510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2493B65">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284B0D46">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0235556E">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859" w:type="dxa"/>
                  <w:vMerge w:val="restart"/>
                  <w:vAlign w:val="center"/>
                </w:tcPr>
                <w:p w14:paraId="0A9B3B6B">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沉淀预洗提升机</w:t>
                  </w:r>
                </w:p>
              </w:tc>
              <w:tc>
                <w:tcPr>
                  <w:tcW w:w="1764" w:type="dxa"/>
                  <w:shd w:val="clear" w:color="auto" w:fill="auto"/>
                  <w:vAlign w:val="center"/>
                </w:tcPr>
                <w:p w14:paraId="7C2D9557">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shd w:val="clear" w:color="auto" w:fill="auto"/>
                  <w:vAlign w:val="center"/>
                </w:tcPr>
                <w:p w14:paraId="21C3180E">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2.0</w:t>
                  </w:r>
                </w:p>
              </w:tc>
              <w:tc>
                <w:tcPr>
                  <w:tcW w:w="1322" w:type="dxa"/>
                  <w:shd w:val="clear" w:color="auto" w:fill="auto"/>
                  <w:vAlign w:val="center"/>
                </w:tcPr>
                <w:p w14:paraId="75185995">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2172B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C8E9254">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448E4D3F">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0BA9B50B">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2D6126AE">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3580DD0B">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7F2EEA05">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w:t>
                  </w:r>
                </w:p>
              </w:tc>
              <w:tc>
                <w:tcPr>
                  <w:tcW w:w="1322" w:type="dxa"/>
                  <w:shd w:val="clear" w:color="auto" w:fill="auto"/>
                  <w:vAlign w:val="center"/>
                </w:tcPr>
                <w:p w14:paraId="59AB45E2">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2CDCC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17935BD">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5C80A23C">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03F182FC">
                  <w:pPr>
                    <w:jc w:val="center"/>
                    <w:rPr>
                      <w:color w:val="000000" w:themeColor="text1"/>
                      <w:sz w:val="21"/>
                      <w:szCs w:val="21"/>
                      <w:vertAlign w:val="baseline"/>
                      <w14:textFill>
                        <w14:solidFill>
                          <w14:schemeClr w14:val="tx1"/>
                        </w14:solidFill>
                      </w14:textFill>
                    </w:rPr>
                  </w:pPr>
                </w:p>
              </w:tc>
              <w:tc>
                <w:tcPr>
                  <w:tcW w:w="1859" w:type="dxa"/>
                  <w:vMerge w:val="restart"/>
                  <w:vAlign w:val="center"/>
                </w:tcPr>
                <w:p w14:paraId="6F0AAF2F">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涡流震动清洗机高组</w:t>
                  </w:r>
                </w:p>
              </w:tc>
              <w:tc>
                <w:tcPr>
                  <w:tcW w:w="1764" w:type="dxa"/>
                  <w:shd w:val="clear" w:color="auto" w:fill="auto"/>
                  <w:vAlign w:val="center"/>
                </w:tcPr>
                <w:p w14:paraId="1A583C31">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容积</w:t>
                  </w:r>
                </w:p>
              </w:tc>
              <w:tc>
                <w:tcPr>
                  <w:tcW w:w="1289" w:type="dxa"/>
                  <w:shd w:val="clear" w:color="auto" w:fill="auto"/>
                  <w:vAlign w:val="center"/>
                </w:tcPr>
                <w:p w14:paraId="27B82025">
                  <w:pPr>
                    <w:tabs>
                      <w:tab w:val="left" w:pos="428"/>
                      <w:tab w:val="center" w:pos="768"/>
                    </w:tabs>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5.0</w:t>
                  </w:r>
                </w:p>
              </w:tc>
              <w:tc>
                <w:tcPr>
                  <w:tcW w:w="1322" w:type="dxa"/>
                  <w:shd w:val="clear" w:color="auto" w:fill="auto"/>
                  <w:vAlign w:val="center"/>
                </w:tcPr>
                <w:p w14:paraId="3066651E">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3</w:t>
                  </w:r>
                </w:p>
              </w:tc>
            </w:tr>
            <w:tr w14:paraId="7CADD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DD5ADA8">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5F7CF9A0">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75AF2E38">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14ECFD44">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292B0ED1">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3A8CFD37">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w:t>
                  </w:r>
                </w:p>
              </w:tc>
              <w:tc>
                <w:tcPr>
                  <w:tcW w:w="1322" w:type="dxa"/>
                  <w:shd w:val="clear" w:color="auto" w:fill="auto"/>
                  <w:vAlign w:val="center"/>
                </w:tcPr>
                <w:p w14:paraId="40030BF7">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4671B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1C85167F">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2D709286">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1FCF22D9">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859" w:type="dxa"/>
                  <w:vMerge w:val="restart"/>
                  <w:vAlign w:val="center"/>
                </w:tcPr>
                <w:p w14:paraId="29A93838">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涡流震动清洗机低组</w:t>
                  </w:r>
                </w:p>
              </w:tc>
              <w:tc>
                <w:tcPr>
                  <w:tcW w:w="1764" w:type="dxa"/>
                  <w:shd w:val="clear" w:color="auto" w:fill="auto"/>
                  <w:vAlign w:val="center"/>
                </w:tcPr>
                <w:p w14:paraId="4549A992">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容积</w:t>
                  </w:r>
                </w:p>
              </w:tc>
              <w:tc>
                <w:tcPr>
                  <w:tcW w:w="1289" w:type="dxa"/>
                  <w:shd w:val="clear" w:color="auto" w:fill="auto"/>
                  <w:vAlign w:val="center"/>
                </w:tcPr>
                <w:p w14:paraId="75706284">
                  <w:pPr>
                    <w:tabs>
                      <w:tab w:val="left" w:pos="428"/>
                      <w:tab w:val="center" w:pos="768"/>
                    </w:tabs>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5.0</w:t>
                  </w:r>
                </w:p>
              </w:tc>
              <w:tc>
                <w:tcPr>
                  <w:tcW w:w="1322" w:type="dxa"/>
                  <w:shd w:val="clear" w:color="auto" w:fill="auto"/>
                  <w:vAlign w:val="center"/>
                </w:tcPr>
                <w:p w14:paraId="018752DF">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3</w:t>
                  </w:r>
                </w:p>
              </w:tc>
            </w:tr>
            <w:tr w14:paraId="036AF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BE0E800">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3A19EB47">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45470103">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62B79926">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2167B800">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67E28BEF">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w:t>
                  </w:r>
                </w:p>
              </w:tc>
              <w:tc>
                <w:tcPr>
                  <w:tcW w:w="1322" w:type="dxa"/>
                  <w:shd w:val="clear" w:color="auto" w:fill="auto"/>
                  <w:vAlign w:val="center"/>
                </w:tcPr>
                <w:p w14:paraId="7055A666">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438AA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4E9F4142">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5</w:t>
                  </w:r>
                </w:p>
              </w:tc>
              <w:tc>
                <w:tcPr>
                  <w:tcW w:w="1499" w:type="dxa"/>
                  <w:vAlign w:val="center"/>
                </w:tcPr>
                <w:p w14:paraId="2E64FEB4">
                  <w:pPr>
                    <w:jc w:val="center"/>
                    <w:rPr>
                      <w:color w:val="000000" w:themeColor="text1"/>
                      <w:sz w:val="21"/>
                      <w:szCs w:val="21"/>
                      <w:vertAlign w:val="baseline"/>
                      <w14:textFill>
                        <w14:solidFill>
                          <w14:schemeClr w14:val="tx1"/>
                        </w14:solidFill>
                      </w14:textFill>
                    </w:rPr>
                  </w:pPr>
                  <w:r>
                    <w:rPr>
                      <w:color w:val="000000" w:themeColor="text1"/>
                      <w:sz w:val="21"/>
                      <w:szCs w:val="21"/>
                      <w:vertAlign w:val="baseline"/>
                      <w:lang w:val="en-US" w:eastAsia="zh-CN"/>
                      <w14:textFill>
                        <w14:solidFill>
                          <w14:schemeClr w14:val="tx1"/>
                        </w14:solidFill>
                      </w14:textFill>
                    </w:rPr>
                    <w:t>净菜二级库</w:t>
                  </w:r>
                </w:p>
              </w:tc>
              <w:tc>
                <w:tcPr>
                  <w:tcW w:w="964" w:type="dxa"/>
                  <w:vAlign w:val="center"/>
                </w:tcPr>
                <w:p w14:paraId="6E91F4FB">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储存</w:t>
                  </w:r>
                </w:p>
              </w:tc>
              <w:tc>
                <w:tcPr>
                  <w:tcW w:w="1859" w:type="dxa"/>
                  <w:shd w:val="clear" w:color="auto" w:fill="auto"/>
                  <w:vAlign w:val="center"/>
                </w:tcPr>
                <w:p w14:paraId="43BE8F21">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color w:val="000000" w:themeColor="text1"/>
                      <w:sz w:val="21"/>
                      <w:szCs w:val="21"/>
                      <w:vertAlign w:val="baseline"/>
                      <w:lang w:val="en-US" w:eastAsia="zh-CN"/>
                      <w14:textFill>
                        <w14:solidFill>
                          <w14:schemeClr w14:val="tx1"/>
                        </w14:solidFill>
                      </w14:textFill>
                    </w:rPr>
                    <w:t>净菜二级库</w:t>
                  </w:r>
                </w:p>
              </w:tc>
              <w:tc>
                <w:tcPr>
                  <w:tcW w:w="1764" w:type="dxa"/>
                  <w:shd w:val="clear" w:color="auto" w:fill="auto"/>
                  <w:vAlign w:val="center"/>
                </w:tcPr>
                <w:p w14:paraId="6B6FBC76">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占地面积</w:t>
                  </w:r>
                </w:p>
              </w:tc>
              <w:tc>
                <w:tcPr>
                  <w:tcW w:w="1289" w:type="dxa"/>
                  <w:shd w:val="clear" w:color="auto" w:fill="auto"/>
                  <w:vAlign w:val="center"/>
                </w:tcPr>
                <w:p w14:paraId="18762B9F">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28</w:t>
                  </w:r>
                </w:p>
              </w:tc>
              <w:tc>
                <w:tcPr>
                  <w:tcW w:w="1322" w:type="dxa"/>
                  <w:shd w:val="clear" w:color="auto" w:fill="auto"/>
                  <w:vAlign w:val="center"/>
                </w:tcPr>
                <w:p w14:paraId="2D30079B">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2</w:t>
                  </w:r>
                </w:p>
              </w:tc>
            </w:tr>
            <w:tr w14:paraId="60D14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526931D1">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6</w:t>
                  </w:r>
                </w:p>
              </w:tc>
              <w:tc>
                <w:tcPr>
                  <w:tcW w:w="1499" w:type="dxa"/>
                  <w:vMerge w:val="restart"/>
                  <w:vAlign w:val="center"/>
                </w:tcPr>
                <w:p w14:paraId="7F656C0C">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解冻间</w:t>
                  </w:r>
                </w:p>
              </w:tc>
              <w:tc>
                <w:tcPr>
                  <w:tcW w:w="964" w:type="dxa"/>
                  <w:vMerge w:val="restart"/>
                  <w:vAlign w:val="center"/>
                </w:tcPr>
                <w:p w14:paraId="2C659EAD">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解冻</w:t>
                  </w:r>
                </w:p>
              </w:tc>
              <w:tc>
                <w:tcPr>
                  <w:tcW w:w="1859" w:type="dxa"/>
                  <w:vMerge w:val="restart"/>
                  <w:vAlign w:val="center"/>
                </w:tcPr>
                <w:p w14:paraId="152ED4AB">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自动解冻机</w:t>
                  </w:r>
                </w:p>
              </w:tc>
              <w:tc>
                <w:tcPr>
                  <w:tcW w:w="1764" w:type="dxa"/>
                  <w:shd w:val="clear" w:color="auto" w:fill="auto"/>
                  <w:vAlign w:val="center"/>
                </w:tcPr>
                <w:p w14:paraId="7B2DA631">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能力</w:t>
                  </w:r>
                </w:p>
              </w:tc>
              <w:tc>
                <w:tcPr>
                  <w:tcW w:w="1289" w:type="dxa"/>
                  <w:shd w:val="clear" w:color="auto" w:fill="auto"/>
                  <w:vAlign w:val="center"/>
                </w:tcPr>
                <w:p w14:paraId="3C59657A">
                  <w:pPr>
                    <w:jc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1.0</w:t>
                  </w:r>
                </w:p>
              </w:tc>
              <w:tc>
                <w:tcPr>
                  <w:tcW w:w="1322" w:type="dxa"/>
                  <w:shd w:val="clear" w:color="auto" w:fill="auto"/>
                  <w:vAlign w:val="center"/>
                </w:tcPr>
                <w:p w14:paraId="6DBAB037">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3FCB9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95D59A9">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2D2051DC">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170CA10D">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7C1A0DE7">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2B86F3F3">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388A0858">
                  <w:pPr>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shd w:val="clear" w:color="auto" w:fill="auto"/>
                  <w:vAlign w:val="center"/>
                </w:tcPr>
                <w:p w14:paraId="0D94C8C4">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5B9CE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F14631E">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64C36209">
                  <w:pPr>
                    <w:jc w:val="center"/>
                    <w:rPr>
                      <w:color w:val="000000" w:themeColor="text1"/>
                      <w:sz w:val="21"/>
                      <w:szCs w:val="21"/>
                      <w:vertAlign w:val="baseline"/>
                      <w14:textFill>
                        <w14:solidFill>
                          <w14:schemeClr w14:val="tx1"/>
                        </w14:solidFill>
                      </w14:textFill>
                    </w:rPr>
                  </w:pPr>
                </w:p>
              </w:tc>
              <w:tc>
                <w:tcPr>
                  <w:tcW w:w="964" w:type="dxa"/>
                  <w:vMerge w:val="restart"/>
                  <w:vAlign w:val="center"/>
                </w:tcPr>
                <w:p w14:paraId="78FD88F0">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清洗</w:t>
                  </w:r>
                </w:p>
              </w:tc>
              <w:tc>
                <w:tcPr>
                  <w:tcW w:w="1859" w:type="dxa"/>
                  <w:vMerge w:val="restart"/>
                  <w:vAlign w:val="center"/>
                </w:tcPr>
                <w:p w14:paraId="3732B177">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清洗池</w:t>
                  </w:r>
                </w:p>
              </w:tc>
              <w:tc>
                <w:tcPr>
                  <w:tcW w:w="1764" w:type="dxa"/>
                  <w:shd w:val="clear" w:color="auto" w:fill="auto"/>
                  <w:vAlign w:val="center"/>
                </w:tcPr>
                <w:p w14:paraId="34853B9B">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容积</w:t>
                  </w:r>
                </w:p>
              </w:tc>
              <w:tc>
                <w:tcPr>
                  <w:tcW w:w="1289" w:type="dxa"/>
                  <w:shd w:val="clear" w:color="auto" w:fill="auto"/>
                  <w:vAlign w:val="center"/>
                </w:tcPr>
                <w:p w14:paraId="1BFE64CA">
                  <w:pPr>
                    <w:tabs>
                      <w:tab w:val="left" w:pos="428"/>
                      <w:tab w:val="center" w:pos="768"/>
                    </w:tabs>
                    <w:jc w:val="center"/>
                    <w:rPr>
                      <w:rFonts w:hint="default"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1.0</w:t>
                  </w:r>
                </w:p>
              </w:tc>
              <w:tc>
                <w:tcPr>
                  <w:tcW w:w="1322" w:type="dxa"/>
                  <w:shd w:val="clear" w:color="auto" w:fill="auto"/>
                  <w:vAlign w:val="center"/>
                </w:tcPr>
                <w:p w14:paraId="7A1A6D85">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3</w:t>
                  </w:r>
                </w:p>
              </w:tc>
            </w:tr>
            <w:tr w14:paraId="07971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439CBEF">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2C881FA0">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6C2D8BAC">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44466F82">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305256E5">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766A9D6E">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2</w:t>
                  </w:r>
                </w:p>
              </w:tc>
              <w:tc>
                <w:tcPr>
                  <w:tcW w:w="1322" w:type="dxa"/>
                  <w:shd w:val="clear" w:color="auto" w:fill="auto"/>
                  <w:vAlign w:val="center"/>
                </w:tcPr>
                <w:p w14:paraId="46799322">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50F6E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6A12EDA2">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7</w:t>
                  </w:r>
                </w:p>
              </w:tc>
              <w:tc>
                <w:tcPr>
                  <w:tcW w:w="1499" w:type="dxa"/>
                  <w:vMerge w:val="restart"/>
                  <w:vAlign w:val="center"/>
                </w:tcPr>
                <w:p w14:paraId="02AA6D8E">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净肉加工间</w:t>
                  </w:r>
                </w:p>
              </w:tc>
              <w:tc>
                <w:tcPr>
                  <w:tcW w:w="964" w:type="dxa"/>
                  <w:vMerge w:val="restart"/>
                  <w:vAlign w:val="center"/>
                </w:tcPr>
                <w:p w14:paraId="2805C42D">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清洗</w:t>
                  </w:r>
                </w:p>
              </w:tc>
              <w:tc>
                <w:tcPr>
                  <w:tcW w:w="1859" w:type="dxa"/>
                  <w:vMerge w:val="restart"/>
                  <w:vAlign w:val="center"/>
                </w:tcPr>
                <w:p w14:paraId="0577B908">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肉类清洗池</w:t>
                  </w:r>
                </w:p>
              </w:tc>
              <w:tc>
                <w:tcPr>
                  <w:tcW w:w="1764" w:type="dxa"/>
                  <w:shd w:val="clear" w:color="auto" w:fill="auto"/>
                  <w:vAlign w:val="center"/>
                </w:tcPr>
                <w:p w14:paraId="6E813001">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容积</w:t>
                  </w:r>
                </w:p>
              </w:tc>
              <w:tc>
                <w:tcPr>
                  <w:tcW w:w="1289" w:type="dxa"/>
                  <w:vAlign w:val="center"/>
                </w:tcPr>
                <w:p w14:paraId="3D5DFDA9">
                  <w:pPr>
                    <w:tabs>
                      <w:tab w:val="left" w:pos="428"/>
                      <w:tab w:val="center" w:pos="768"/>
                    </w:tabs>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5.0</w:t>
                  </w:r>
                </w:p>
              </w:tc>
              <w:tc>
                <w:tcPr>
                  <w:tcW w:w="1322" w:type="dxa"/>
                  <w:vAlign w:val="center"/>
                </w:tcPr>
                <w:p w14:paraId="5F8AB7DB">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3</w:t>
                  </w:r>
                </w:p>
              </w:tc>
            </w:tr>
            <w:tr w14:paraId="62E22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486BCED3">
                  <w:pPr>
                    <w:jc w:val="center"/>
                    <w:rPr>
                      <w:rFonts w:hint="eastAsia"/>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16C9680C">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3E06B3FF">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859" w:type="dxa"/>
                  <w:vMerge w:val="continue"/>
                  <w:vAlign w:val="center"/>
                </w:tcPr>
                <w:p w14:paraId="71F4CBCC">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66D35CA7">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16CDE4F4">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vAlign w:val="center"/>
                </w:tcPr>
                <w:p w14:paraId="0DF7BC6D">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7AFF9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7BFE2C6D">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0FFE79C5">
                  <w:pPr>
                    <w:jc w:val="center"/>
                    <w:rPr>
                      <w:rFonts w:hint="eastAsia" w:eastAsia="宋体"/>
                      <w:color w:val="000000" w:themeColor="text1"/>
                      <w:sz w:val="21"/>
                      <w:szCs w:val="21"/>
                      <w:vertAlign w:val="baseline"/>
                      <w:lang w:eastAsia="zh-CN"/>
                      <w14:textFill>
                        <w14:solidFill>
                          <w14:schemeClr w14:val="tx1"/>
                        </w14:solidFill>
                      </w14:textFill>
                    </w:rPr>
                  </w:pPr>
                </w:p>
              </w:tc>
              <w:tc>
                <w:tcPr>
                  <w:tcW w:w="964" w:type="dxa"/>
                  <w:vMerge w:val="restart"/>
                  <w:vAlign w:val="center"/>
                </w:tcPr>
                <w:p w14:paraId="244BC379">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精肉加工</w:t>
                  </w:r>
                </w:p>
              </w:tc>
              <w:tc>
                <w:tcPr>
                  <w:tcW w:w="1859" w:type="dxa"/>
                  <w:vMerge w:val="restart"/>
                  <w:vAlign w:val="center"/>
                </w:tcPr>
                <w:p w14:paraId="51E3BEDA">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鲜肉开条机</w:t>
                  </w:r>
                </w:p>
              </w:tc>
              <w:tc>
                <w:tcPr>
                  <w:tcW w:w="1764" w:type="dxa"/>
                  <w:shd w:val="clear" w:color="auto" w:fill="auto"/>
                  <w:vAlign w:val="center"/>
                </w:tcPr>
                <w:p w14:paraId="04B6DFED">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能力</w:t>
                  </w:r>
                </w:p>
              </w:tc>
              <w:tc>
                <w:tcPr>
                  <w:tcW w:w="1289" w:type="dxa"/>
                  <w:vAlign w:val="center"/>
                </w:tcPr>
                <w:p w14:paraId="64F64D5C">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2.0</w:t>
                  </w:r>
                </w:p>
              </w:tc>
              <w:tc>
                <w:tcPr>
                  <w:tcW w:w="1322" w:type="dxa"/>
                  <w:vAlign w:val="center"/>
                </w:tcPr>
                <w:p w14:paraId="70FC650D">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0AC88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788C211">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75C64A96">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22249B9F">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1FFE97CC">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36CA34A1">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1B654276">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2</w:t>
                  </w:r>
                </w:p>
              </w:tc>
              <w:tc>
                <w:tcPr>
                  <w:tcW w:w="1322" w:type="dxa"/>
                  <w:shd w:val="clear" w:color="auto" w:fill="auto"/>
                  <w:vAlign w:val="center"/>
                </w:tcPr>
                <w:p w14:paraId="4197A2F6">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5132B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48720536">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01924578">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7E4053F0">
                  <w:pPr>
                    <w:jc w:val="center"/>
                    <w:rPr>
                      <w:color w:val="000000" w:themeColor="text1"/>
                      <w:sz w:val="21"/>
                      <w:szCs w:val="21"/>
                      <w:vertAlign w:val="baseline"/>
                      <w14:textFill>
                        <w14:solidFill>
                          <w14:schemeClr w14:val="tx1"/>
                        </w14:solidFill>
                      </w14:textFill>
                    </w:rPr>
                  </w:pPr>
                </w:p>
              </w:tc>
              <w:tc>
                <w:tcPr>
                  <w:tcW w:w="1859" w:type="dxa"/>
                  <w:vMerge w:val="restart"/>
                  <w:vAlign w:val="center"/>
                </w:tcPr>
                <w:p w14:paraId="3D2A9E07">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传送式肉丝肉片机</w:t>
                  </w:r>
                </w:p>
              </w:tc>
              <w:tc>
                <w:tcPr>
                  <w:tcW w:w="1764" w:type="dxa"/>
                  <w:shd w:val="clear" w:color="auto" w:fill="auto"/>
                  <w:vAlign w:val="center"/>
                </w:tcPr>
                <w:p w14:paraId="44A48DD0">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能力</w:t>
                  </w:r>
                </w:p>
              </w:tc>
              <w:tc>
                <w:tcPr>
                  <w:tcW w:w="1289" w:type="dxa"/>
                  <w:shd w:val="clear" w:color="auto" w:fill="auto"/>
                  <w:vAlign w:val="center"/>
                </w:tcPr>
                <w:p w14:paraId="1692C416">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0.5</w:t>
                  </w:r>
                </w:p>
              </w:tc>
              <w:tc>
                <w:tcPr>
                  <w:tcW w:w="1322" w:type="dxa"/>
                  <w:shd w:val="clear" w:color="auto" w:fill="auto"/>
                  <w:vAlign w:val="center"/>
                </w:tcPr>
                <w:p w14:paraId="2B9ADA9E">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6AA7D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718D67F0">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7EA77082">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31E63F3F">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3D18460F">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08E2AFD6">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655119B3">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1</w:t>
                  </w:r>
                </w:p>
              </w:tc>
              <w:tc>
                <w:tcPr>
                  <w:tcW w:w="1322" w:type="dxa"/>
                  <w:shd w:val="clear" w:color="auto" w:fill="auto"/>
                  <w:vAlign w:val="center"/>
                </w:tcPr>
                <w:p w14:paraId="3F2ACD44">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1F080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1D075A0D">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7376A461">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1B87F168">
                  <w:pPr>
                    <w:jc w:val="center"/>
                    <w:rPr>
                      <w:color w:val="000000" w:themeColor="text1"/>
                      <w:sz w:val="21"/>
                      <w:szCs w:val="21"/>
                      <w:vertAlign w:val="baseline"/>
                      <w14:textFill>
                        <w14:solidFill>
                          <w14:schemeClr w14:val="tx1"/>
                        </w14:solidFill>
                      </w14:textFill>
                    </w:rPr>
                  </w:pPr>
                </w:p>
              </w:tc>
              <w:tc>
                <w:tcPr>
                  <w:tcW w:w="1859" w:type="dxa"/>
                  <w:vMerge w:val="restart"/>
                  <w:vAlign w:val="center"/>
                </w:tcPr>
                <w:p w14:paraId="0A4ECE4D">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肉丝肉片机</w:t>
                  </w:r>
                </w:p>
              </w:tc>
              <w:tc>
                <w:tcPr>
                  <w:tcW w:w="1764" w:type="dxa"/>
                  <w:shd w:val="clear" w:color="auto" w:fill="auto"/>
                  <w:vAlign w:val="center"/>
                </w:tcPr>
                <w:p w14:paraId="240014D3">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能力</w:t>
                  </w:r>
                </w:p>
              </w:tc>
              <w:tc>
                <w:tcPr>
                  <w:tcW w:w="1289" w:type="dxa"/>
                  <w:shd w:val="clear" w:color="auto" w:fill="auto"/>
                  <w:vAlign w:val="center"/>
                </w:tcPr>
                <w:p w14:paraId="1A9122E6">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0.5</w:t>
                  </w:r>
                </w:p>
              </w:tc>
              <w:tc>
                <w:tcPr>
                  <w:tcW w:w="1322" w:type="dxa"/>
                  <w:shd w:val="clear" w:color="auto" w:fill="auto"/>
                  <w:vAlign w:val="center"/>
                </w:tcPr>
                <w:p w14:paraId="5E45AABE">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15CB4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DB68777">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065A1CD7">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4989A6C0">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28C8D49F">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4A1F94B2">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31091A17">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1</w:t>
                  </w:r>
                </w:p>
              </w:tc>
              <w:tc>
                <w:tcPr>
                  <w:tcW w:w="1322" w:type="dxa"/>
                  <w:shd w:val="clear" w:color="auto" w:fill="auto"/>
                  <w:vAlign w:val="center"/>
                </w:tcPr>
                <w:p w14:paraId="51FBB76F">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4516A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41F88B0E">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79DD2F12">
                  <w:pPr>
                    <w:jc w:val="center"/>
                    <w:rPr>
                      <w:rFonts w:hint="eastAsia" w:eastAsia="宋体"/>
                      <w:color w:val="000000" w:themeColor="text1"/>
                      <w:sz w:val="21"/>
                      <w:szCs w:val="21"/>
                      <w:vertAlign w:val="baseline"/>
                      <w:lang w:eastAsia="zh-CN"/>
                      <w14:textFill>
                        <w14:solidFill>
                          <w14:schemeClr w14:val="tx1"/>
                        </w14:solidFill>
                      </w14:textFill>
                    </w:rPr>
                  </w:pPr>
                </w:p>
              </w:tc>
              <w:tc>
                <w:tcPr>
                  <w:tcW w:w="964" w:type="dxa"/>
                  <w:vMerge w:val="continue"/>
                  <w:vAlign w:val="center"/>
                </w:tcPr>
                <w:p w14:paraId="0B439750">
                  <w:pPr>
                    <w:jc w:val="center"/>
                    <w:rPr>
                      <w:rFonts w:hint="eastAsia" w:eastAsia="宋体"/>
                      <w:color w:val="000000" w:themeColor="text1"/>
                      <w:sz w:val="21"/>
                      <w:szCs w:val="21"/>
                      <w:vertAlign w:val="baseline"/>
                      <w:lang w:eastAsia="zh-CN"/>
                      <w14:textFill>
                        <w14:solidFill>
                          <w14:schemeClr w14:val="tx1"/>
                        </w14:solidFill>
                      </w14:textFill>
                    </w:rPr>
                  </w:pPr>
                </w:p>
              </w:tc>
              <w:tc>
                <w:tcPr>
                  <w:tcW w:w="1859" w:type="dxa"/>
                  <w:vMerge w:val="restart"/>
                  <w:vAlign w:val="center"/>
                </w:tcPr>
                <w:p w14:paraId="0EA2F80A">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嫩肉机</w:t>
                  </w:r>
                </w:p>
              </w:tc>
              <w:tc>
                <w:tcPr>
                  <w:tcW w:w="1764" w:type="dxa"/>
                  <w:shd w:val="clear" w:color="auto" w:fill="auto"/>
                  <w:vAlign w:val="center"/>
                </w:tcPr>
                <w:p w14:paraId="281D1BFB">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shd w:val="clear" w:color="auto" w:fill="auto"/>
                  <w:vAlign w:val="center"/>
                </w:tcPr>
                <w:p w14:paraId="0BACB3FC">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1.0</w:t>
                  </w:r>
                </w:p>
              </w:tc>
              <w:tc>
                <w:tcPr>
                  <w:tcW w:w="1322" w:type="dxa"/>
                  <w:shd w:val="clear" w:color="auto" w:fill="auto"/>
                  <w:vAlign w:val="center"/>
                </w:tcPr>
                <w:p w14:paraId="72C526DA">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14709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2BE62ECE">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395C595F">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2C8762C3">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7AEB5292">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6F422F72">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0417A34A">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1</w:t>
                  </w:r>
                </w:p>
              </w:tc>
              <w:tc>
                <w:tcPr>
                  <w:tcW w:w="1322" w:type="dxa"/>
                  <w:shd w:val="clear" w:color="auto" w:fill="auto"/>
                  <w:vAlign w:val="center"/>
                </w:tcPr>
                <w:p w14:paraId="05DDF081">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431A2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86112EF">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5872D9BC">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74D31537">
                  <w:pPr>
                    <w:jc w:val="center"/>
                    <w:rPr>
                      <w:color w:val="000000" w:themeColor="text1"/>
                      <w:sz w:val="21"/>
                      <w:szCs w:val="21"/>
                      <w:vertAlign w:val="baseline"/>
                      <w14:textFill>
                        <w14:solidFill>
                          <w14:schemeClr w14:val="tx1"/>
                        </w14:solidFill>
                      </w14:textFill>
                    </w:rPr>
                  </w:pPr>
                </w:p>
              </w:tc>
              <w:tc>
                <w:tcPr>
                  <w:tcW w:w="1859" w:type="dxa"/>
                  <w:vMerge w:val="restart"/>
                  <w:vAlign w:val="center"/>
                </w:tcPr>
                <w:p w14:paraId="2A323608">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肉丁机</w:t>
                  </w:r>
                </w:p>
              </w:tc>
              <w:tc>
                <w:tcPr>
                  <w:tcW w:w="1764" w:type="dxa"/>
                  <w:shd w:val="clear" w:color="auto" w:fill="auto"/>
                  <w:vAlign w:val="center"/>
                </w:tcPr>
                <w:p w14:paraId="62951B75">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shd w:val="clear" w:color="auto" w:fill="auto"/>
                  <w:vAlign w:val="center"/>
                </w:tcPr>
                <w:p w14:paraId="3A356B84">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0.5</w:t>
                  </w:r>
                </w:p>
              </w:tc>
              <w:tc>
                <w:tcPr>
                  <w:tcW w:w="1322" w:type="dxa"/>
                  <w:shd w:val="clear" w:color="auto" w:fill="auto"/>
                  <w:vAlign w:val="center"/>
                </w:tcPr>
                <w:p w14:paraId="23A6CBC1">
                  <w:pPr>
                    <w:jc w:val="center"/>
                    <w:rPr>
                      <w:rFonts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1884A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7BFA3A7F">
                  <w:pPr>
                    <w:jc w:val="center"/>
                    <w:rPr>
                      <w:rFonts w:hint="default"/>
                      <w:color w:val="000000" w:themeColor="text1"/>
                      <w:sz w:val="21"/>
                      <w:szCs w:val="21"/>
                      <w:vertAlign w:val="baseline"/>
                      <w:lang w:val="en-US"/>
                      <w14:textFill>
                        <w14:solidFill>
                          <w14:schemeClr w14:val="tx1"/>
                        </w14:solidFill>
                      </w14:textFill>
                    </w:rPr>
                  </w:pPr>
                </w:p>
              </w:tc>
              <w:tc>
                <w:tcPr>
                  <w:tcW w:w="1499" w:type="dxa"/>
                  <w:vMerge w:val="continue"/>
                  <w:vAlign w:val="center"/>
                </w:tcPr>
                <w:p w14:paraId="75519269">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2E7C9B5F">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782BFB1A">
                  <w:pPr>
                    <w:jc w:val="center"/>
                    <w:rPr>
                      <w:color w:val="000000" w:themeColor="text1"/>
                      <w:sz w:val="21"/>
                      <w:szCs w:val="21"/>
                      <w:vertAlign w:val="baseline"/>
                      <w14:textFill>
                        <w14:solidFill>
                          <w14:schemeClr w14:val="tx1"/>
                        </w14:solidFill>
                      </w14:textFill>
                    </w:rPr>
                  </w:pPr>
                </w:p>
              </w:tc>
              <w:tc>
                <w:tcPr>
                  <w:tcW w:w="1764" w:type="dxa"/>
                  <w:shd w:val="clear" w:color="auto" w:fill="auto"/>
                  <w:vAlign w:val="center"/>
                </w:tcPr>
                <w:p w14:paraId="10EC07C7">
                  <w:pPr>
                    <w:jc w:val="center"/>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shd w:val="clear" w:color="auto" w:fill="auto"/>
                  <w:vAlign w:val="center"/>
                </w:tcPr>
                <w:p w14:paraId="2D7A830C">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000000" w:themeColor="text1"/>
                      <w:kern w:val="2"/>
                      <w:sz w:val="21"/>
                      <w:szCs w:val="21"/>
                      <w:vertAlign w:val="baseline"/>
                      <w:lang w:val="en-US" w:eastAsia="zh-CN" w:bidi="ar-SA"/>
                      <w14:textFill>
                        <w14:solidFill>
                          <w14:schemeClr w14:val="tx1"/>
                        </w14:solidFill>
                      </w14:textFill>
                    </w:rPr>
                    <w:t>2</w:t>
                  </w:r>
                </w:p>
              </w:tc>
              <w:tc>
                <w:tcPr>
                  <w:tcW w:w="1322" w:type="dxa"/>
                  <w:shd w:val="clear" w:color="auto" w:fill="auto"/>
                  <w:vAlign w:val="center"/>
                </w:tcPr>
                <w:p w14:paraId="40C51640">
                  <w:pPr>
                    <w:jc w:val="center"/>
                    <w:rPr>
                      <w:rFonts w:hint="default"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6A967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46D87E09">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22171DD2">
                  <w:pPr>
                    <w:jc w:val="center"/>
                    <w:rPr>
                      <w:rFonts w:hint="eastAsia" w:eastAsia="宋体"/>
                      <w:color w:val="000000" w:themeColor="text1"/>
                      <w:sz w:val="21"/>
                      <w:szCs w:val="21"/>
                      <w:vertAlign w:val="baseline"/>
                      <w:lang w:eastAsia="zh-CN"/>
                      <w14:textFill>
                        <w14:solidFill>
                          <w14:schemeClr w14:val="tx1"/>
                        </w14:solidFill>
                      </w14:textFill>
                    </w:rPr>
                  </w:pPr>
                </w:p>
              </w:tc>
              <w:tc>
                <w:tcPr>
                  <w:tcW w:w="964" w:type="dxa"/>
                  <w:vMerge w:val="continue"/>
                  <w:vAlign w:val="center"/>
                </w:tcPr>
                <w:p w14:paraId="7A1D87DC">
                  <w:pPr>
                    <w:jc w:val="center"/>
                    <w:rPr>
                      <w:color w:val="000000" w:themeColor="text1"/>
                      <w:sz w:val="21"/>
                      <w:szCs w:val="21"/>
                      <w:vertAlign w:val="baseline"/>
                      <w14:textFill>
                        <w14:solidFill>
                          <w14:schemeClr w14:val="tx1"/>
                        </w14:solidFill>
                      </w14:textFill>
                    </w:rPr>
                  </w:pPr>
                </w:p>
              </w:tc>
              <w:tc>
                <w:tcPr>
                  <w:tcW w:w="1859" w:type="dxa"/>
                  <w:vMerge w:val="restart"/>
                  <w:vAlign w:val="center"/>
                </w:tcPr>
                <w:p w14:paraId="48B578DB">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冻肉切块机</w:t>
                  </w:r>
                </w:p>
              </w:tc>
              <w:tc>
                <w:tcPr>
                  <w:tcW w:w="1764" w:type="dxa"/>
                  <w:shd w:val="clear" w:color="auto" w:fill="auto"/>
                  <w:vAlign w:val="center"/>
                </w:tcPr>
                <w:p w14:paraId="32E47B19">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vAlign w:val="center"/>
                </w:tcPr>
                <w:p w14:paraId="16121FA0">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0.5</w:t>
                  </w:r>
                </w:p>
              </w:tc>
              <w:tc>
                <w:tcPr>
                  <w:tcW w:w="1322" w:type="dxa"/>
                  <w:vAlign w:val="center"/>
                </w:tcPr>
                <w:p w14:paraId="3A53EEF1">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5B34D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F151C18">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6841F735">
                  <w:pPr>
                    <w:jc w:val="center"/>
                    <w:rPr>
                      <w:rFonts w:hint="eastAsia" w:eastAsia="宋体"/>
                      <w:color w:val="000000" w:themeColor="text1"/>
                      <w:sz w:val="21"/>
                      <w:szCs w:val="21"/>
                      <w:vertAlign w:val="baseline"/>
                      <w:lang w:eastAsia="zh-CN"/>
                      <w14:textFill>
                        <w14:solidFill>
                          <w14:schemeClr w14:val="tx1"/>
                        </w14:solidFill>
                      </w14:textFill>
                    </w:rPr>
                  </w:pPr>
                </w:p>
              </w:tc>
              <w:tc>
                <w:tcPr>
                  <w:tcW w:w="964" w:type="dxa"/>
                  <w:vMerge w:val="continue"/>
                  <w:vAlign w:val="center"/>
                </w:tcPr>
                <w:p w14:paraId="1E3AD5DD">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539F4DAC">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76FCA193">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29A1A9C8">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w:t>
                  </w:r>
                </w:p>
              </w:tc>
              <w:tc>
                <w:tcPr>
                  <w:tcW w:w="1322" w:type="dxa"/>
                  <w:vAlign w:val="center"/>
                </w:tcPr>
                <w:p w14:paraId="20471D2C">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23531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69EC669">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4D7C8CFD">
                  <w:pPr>
                    <w:jc w:val="center"/>
                    <w:rPr>
                      <w:rFonts w:hint="eastAsia" w:eastAsia="宋体"/>
                      <w:color w:val="000000" w:themeColor="text1"/>
                      <w:sz w:val="21"/>
                      <w:szCs w:val="21"/>
                      <w:vertAlign w:val="baseline"/>
                      <w:lang w:eastAsia="zh-CN"/>
                      <w14:textFill>
                        <w14:solidFill>
                          <w14:schemeClr w14:val="tx1"/>
                        </w14:solidFill>
                      </w14:textFill>
                    </w:rPr>
                  </w:pPr>
                </w:p>
              </w:tc>
              <w:tc>
                <w:tcPr>
                  <w:tcW w:w="964" w:type="dxa"/>
                  <w:vMerge w:val="continue"/>
                  <w:vAlign w:val="center"/>
                </w:tcPr>
                <w:p w14:paraId="5534BCB7">
                  <w:pPr>
                    <w:jc w:val="center"/>
                    <w:rPr>
                      <w:color w:val="000000" w:themeColor="text1"/>
                      <w:sz w:val="21"/>
                      <w:szCs w:val="21"/>
                      <w:vertAlign w:val="baseline"/>
                      <w14:textFill>
                        <w14:solidFill>
                          <w14:schemeClr w14:val="tx1"/>
                        </w14:solidFill>
                      </w14:textFill>
                    </w:rPr>
                  </w:pPr>
                </w:p>
              </w:tc>
              <w:tc>
                <w:tcPr>
                  <w:tcW w:w="1859" w:type="dxa"/>
                  <w:vMerge w:val="restart"/>
                  <w:vAlign w:val="center"/>
                </w:tcPr>
                <w:p w14:paraId="2B428AA7">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绞肉机</w:t>
                  </w:r>
                </w:p>
              </w:tc>
              <w:tc>
                <w:tcPr>
                  <w:tcW w:w="1764" w:type="dxa"/>
                  <w:shd w:val="clear" w:color="auto" w:fill="auto"/>
                  <w:vAlign w:val="center"/>
                </w:tcPr>
                <w:p w14:paraId="1E38F9A2">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vAlign w:val="center"/>
                </w:tcPr>
                <w:p w14:paraId="47A6E329">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0.5</w:t>
                  </w:r>
                </w:p>
              </w:tc>
              <w:tc>
                <w:tcPr>
                  <w:tcW w:w="1322" w:type="dxa"/>
                  <w:vAlign w:val="center"/>
                </w:tcPr>
                <w:p w14:paraId="7D44718F">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19414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723AB89D">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55A4C6C2">
                  <w:pPr>
                    <w:jc w:val="center"/>
                    <w:rPr>
                      <w:rFonts w:hint="eastAsia" w:eastAsia="宋体"/>
                      <w:color w:val="000000" w:themeColor="text1"/>
                      <w:sz w:val="21"/>
                      <w:szCs w:val="21"/>
                      <w:vertAlign w:val="baseline"/>
                      <w:lang w:eastAsia="zh-CN"/>
                      <w14:textFill>
                        <w14:solidFill>
                          <w14:schemeClr w14:val="tx1"/>
                        </w14:solidFill>
                      </w14:textFill>
                    </w:rPr>
                  </w:pPr>
                </w:p>
              </w:tc>
              <w:tc>
                <w:tcPr>
                  <w:tcW w:w="964" w:type="dxa"/>
                  <w:vMerge w:val="continue"/>
                  <w:vAlign w:val="center"/>
                </w:tcPr>
                <w:p w14:paraId="11C4553A">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38114415">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228E8B23">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0BD6FAF0">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w:t>
                  </w:r>
                </w:p>
              </w:tc>
              <w:tc>
                <w:tcPr>
                  <w:tcW w:w="1322" w:type="dxa"/>
                  <w:vAlign w:val="center"/>
                </w:tcPr>
                <w:p w14:paraId="16B2A81D">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3B5B4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375B8AE8">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8</w:t>
                  </w:r>
                </w:p>
              </w:tc>
              <w:tc>
                <w:tcPr>
                  <w:tcW w:w="1499" w:type="dxa"/>
                  <w:vAlign w:val="center"/>
                </w:tcPr>
                <w:p w14:paraId="708A834E">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净肉二级库</w:t>
                  </w:r>
                </w:p>
              </w:tc>
              <w:tc>
                <w:tcPr>
                  <w:tcW w:w="964" w:type="dxa"/>
                  <w:vAlign w:val="center"/>
                </w:tcPr>
                <w:p w14:paraId="037583E1">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储存</w:t>
                  </w:r>
                </w:p>
              </w:tc>
              <w:tc>
                <w:tcPr>
                  <w:tcW w:w="1859" w:type="dxa"/>
                  <w:vAlign w:val="center"/>
                </w:tcPr>
                <w:p w14:paraId="699AD7EB">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净肉二级库</w:t>
                  </w:r>
                </w:p>
              </w:tc>
              <w:tc>
                <w:tcPr>
                  <w:tcW w:w="1764" w:type="dxa"/>
                  <w:shd w:val="clear" w:color="auto" w:fill="auto"/>
                  <w:vAlign w:val="center"/>
                </w:tcPr>
                <w:p w14:paraId="741B4992">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占地面积</w:t>
                  </w:r>
                </w:p>
              </w:tc>
              <w:tc>
                <w:tcPr>
                  <w:tcW w:w="1289" w:type="dxa"/>
                  <w:vAlign w:val="center"/>
                </w:tcPr>
                <w:p w14:paraId="062F4251">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31</w:t>
                  </w:r>
                </w:p>
              </w:tc>
              <w:tc>
                <w:tcPr>
                  <w:tcW w:w="1322" w:type="dxa"/>
                  <w:vAlign w:val="center"/>
                </w:tcPr>
                <w:p w14:paraId="3B4AB361">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2</w:t>
                  </w:r>
                </w:p>
              </w:tc>
            </w:tr>
            <w:tr w14:paraId="264D3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77AE75A5">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9</w:t>
                  </w:r>
                </w:p>
              </w:tc>
              <w:tc>
                <w:tcPr>
                  <w:tcW w:w="1499" w:type="dxa"/>
                  <w:vAlign w:val="center"/>
                </w:tcPr>
                <w:p w14:paraId="26B347CB">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净肉二级库</w:t>
                  </w:r>
                </w:p>
              </w:tc>
              <w:tc>
                <w:tcPr>
                  <w:tcW w:w="964" w:type="dxa"/>
                  <w:vAlign w:val="center"/>
                </w:tcPr>
                <w:p w14:paraId="03600D1B">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储存</w:t>
                  </w:r>
                </w:p>
              </w:tc>
              <w:tc>
                <w:tcPr>
                  <w:tcW w:w="1859" w:type="dxa"/>
                  <w:vAlign w:val="center"/>
                </w:tcPr>
                <w:p w14:paraId="766E5705">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净肉二级库</w:t>
                  </w:r>
                </w:p>
              </w:tc>
              <w:tc>
                <w:tcPr>
                  <w:tcW w:w="1764" w:type="dxa"/>
                  <w:shd w:val="clear" w:color="auto" w:fill="auto"/>
                  <w:vAlign w:val="center"/>
                </w:tcPr>
                <w:p w14:paraId="3254BAB4">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占地面积</w:t>
                  </w:r>
                </w:p>
              </w:tc>
              <w:tc>
                <w:tcPr>
                  <w:tcW w:w="1289" w:type="dxa"/>
                  <w:vAlign w:val="center"/>
                </w:tcPr>
                <w:p w14:paraId="6D1F1D32">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25</w:t>
                  </w:r>
                </w:p>
              </w:tc>
              <w:tc>
                <w:tcPr>
                  <w:tcW w:w="1322" w:type="dxa"/>
                  <w:vAlign w:val="center"/>
                </w:tcPr>
                <w:p w14:paraId="665DFC56">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2</w:t>
                  </w:r>
                </w:p>
              </w:tc>
            </w:tr>
            <w:tr w14:paraId="62C59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59F4943A">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10</w:t>
                  </w:r>
                </w:p>
              </w:tc>
              <w:tc>
                <w:tcPr>
                  <w:tcW w:w="1499" w:type="dxa"/>
                  <w:vAlign w:val="center"/>
                </w:tcPr>
                <w:p w14:paraId="49B06EE2">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主食副食库</w:t>
                  </w:r>
                </w:p>
              </w:tc>
              <w:tc>
                <w:tcPr>
                  <w:tcW w:w="964" w:type="dxa"/>
                  <w:vAlign w:val="center"/>
                </w:tcPr>
                <w:p w14:paraId="778340EA">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储存</w:t>
                  </w:r>
                </w:p>
              </w:tc>
              <w:tc>
                <w:tcPr>
                  <w:tcW w:w="1859" w:type="dxa"/>
                  <w:vAlign w:val="center"/>
                </w:tcPr>
                <w:p w14:paraId="465004BC">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主食副食库</w:t>
                  </w:r>
                </w:p>
              </w:tc>
              <w:tc>
                <w:tcPr>
                  <w:tcW w:w="1764" w:type="dxa"/>
                  <w:shd w:val="clear" w:color="auto" w:fill="auto"/>
                  <w:vAlign w:val="center"/>
                </w:tcPr>
                <w:p w14:paraId="49912B5D">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占地面积</w:t>
                  </w:r>
                </w:p>
              </w:tc>
              <w:tc>
                <w:tcPr>
                  <w:tcW w:w="1289" w:type="dxa"/>
                  <w:vAlign w:val="center"/>
                </w:tcPr>
                <w:p w14:paraId="01259FCF">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36</w:t>
                  </w:r>
                </w:p>
              </w:tc>
              <w:tc>
                <w:tcPr>
                  <w:tcW w:w="1322" w:type="dxa"/>
                  <w:vAlign w:val="center"/>
                </w:tcPr>
                <w:p w14:paraId="665C9BFF">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2</w:t>
                  </w:r>
                </w:p>
              </w:tc>
            </w:tr>
            <w:tr w14:paraId="7F2C9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79A54BFF">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11</w:t>
                  </w:r>
                </w:p>
              </w:tc>
              <w:tc>
                <w:tcPr>
                  <w:tcW w:w="1499" w:type="dxa"/>
                  <w:vMerge w:val="restart"/>
                  <w:vAlign w:val="center"/>
                </w:tcPr>
                <w:p w14:paraId="7A2221CD">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和面间</w:t>
                  </w:r>
                </w:p>
              </w:tc>
              <w:tc>
                <w:tcPr>
                  <w:tcW w:w="964" w:type="dxa"/>
                  <w:vMerge w:val="restart"/>
                  <w:vAlign w:val="center"/>
                </w:tcPr>
                <w:p w14:paraId="1DD821D8">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和面</w:t>
                  </w:r>
                </w:p>
              </w:tc>
              <w:tc>
                <w:tcPr>
                  <w:tcW w:w="1859" w:type="dxa"/>
                  <w:vMerge w:val="restart"/>
                  <w:vAlign w:val="center"/>
                </w:tcPr>
                <w:p w14:paraId="18171A4B">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和面机</w:t>
                  </w:r>
                </w:p>
              </w:tc>
              <w:tc>
                <w:tcPr>
                  <w:tcW w:w="1764" w:type="dxa"/>
                  <w:shd w:val="clear" w:color="auto" w:fill="auto"/>
                  <w:vAlign w:val="center"/>
                </w:tcPr>
                <w:p w14:paraId="3A84A083">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vAlign w:val="center"/>
                </w:tcPr>
                <w:p w14:paraId="6418B856">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0.5</w:t>
                  </w:r>
                </w:p>
              </w:tc>
              <w:tc>
                <w:tcPr>
                  <w:tcW w:w="1322" w:type="dxa"/>
                  <w:vAlign w:val="center"/>
                </w:tcPr>
                <w:p w14:paraId="1C2FD982">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6E50C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1D595306">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4667F006">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695C1F07">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784E465D">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65500EB8">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38DEE77D">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w:t>
                  </w:r>
                </w:p>
              </w:tc>
              <w:tc>
                <w:tcPr>
                  <w:tcW w:w="1322" w:type="dxa"/>
                  <w:vAlign w:val="center"/>
                </w:tcPr>
                <w:p w14:paraId="312BCECF">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33260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2EE13189">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12</w:t>
                  </w:r>
                </w:p>
              </w:tc>
              <w:tc>
                <w:tcPr>
                  <w:tcW w:w="1499" w:type="dxa"/>
                  <w:vMerge w:val="restart"/>
                  <w:vAlign w:val="center"/>
                </w:tcPr>
                <w:p w14:paraId="69B39270">
                  <w:pPr>
                    <w:jc w:val="center"/>
                    <w:rPr>
                      <w:rFonts w:hint="eastAsia" w:eastAsia="宋体"/>
                      <w:color w:val="000000" w:themeColor="text1"/>
                      <w:sz w:val="21"/>
                      <w:szCs w:val="21"/>
                      <w:vertAlign w:val="baseline"/>
                      <w:lang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面食加工间</w:t>
                  </w:r>
                </w:p>
              </w:tc>
              <w:tc>
                <w:tcPr>
                  <w:tcW w:w="964" w:type="dxa"/>
                  <w:vMerge w:val="restart"/>
                  <w:vAlign w:val="center"/>
                </w:tcPr>
                <w:p w14:paraId="41B71C01">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馒头制作</w:t>
                  </w:r>
                </w:p>
              </w:tc>
              <w:tc>
                <w:tcPr>
                  <w:tcW w:w="1859" w:type="dxa"/>
                  <w:vMerge w:val="restart"/>
                  <w:vAlign w:val="center"/>
                </w:tcPr>
                <w:p w14:paraId="2E76D686">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馒头自动化流水线</w:t>
                  </w:r>
                </w:p>
              </w:tc>
              <w:tc>
                <w:tcPr>
                  <w:tcW w:w="1764" w:type="dxa"/>
                  <w:shd w:val="clear" w:color="auto" w:fill="auto"/>
                  <w:vAlign w:val="center"/>
                </w:tcPr>
                <w:p w14:paraId="4A105EC9">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vAlign w:val="center"/>
                </w:tcPr>
                <w:p w14:paraId="09F4AE93">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1.0</w:t>
                  </w:r>
                </w:p>
              </w:tc>
              <w:tc>
                <w:tcPr>
                  <w:tcW w:w="1322" w:type="dxa"/>
                  <w:vAlign w:val="center"/>
                </w:tcPr>
                <w:p w14:paraId="440A11FE">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1E37A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10D6BD82">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016337F7">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133E7E41">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5B1D1B04">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17601011">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75EEEDD3">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w:t>
                  </w:r>
                </w:p>
              </w:tc>
              <w:tc>
                <w:tcPr>
                  <w:tcW w:w="1322" w:type="dxa"/>
                  <w:vAlign w:val="center"/>
                </w:tcPr>
                <w:p w14:paraId="7B2ED409">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3FE1F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57822A9">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4B3EEC32">
                  <w:pPr>
                    <w:jc w:val="center"/>
                    <w:rPr>
                      <w:rFonts w:hint="eastAsia" w:eastAsia="宋体"/>
                      <w:color w:val="000000" w:themeColor="text1"/>
                      <w:sz w:val="21"/>
                      <w:szCs w:val="21"/>
                      <w:vertAlign w:val="baseline"/>
                      <w:lang w:eastAsia="zh-CN"/>
                      <w14:textFill>
                        <w14:solidFill>
                          <w14:schemeClr w14:val="tx1"/>
                        </w14:solidFill>
                      </w14:textFill>
                    </w:rPr>
                  </w:pPr>
                </w:p>
              </w:tc>
              <w:tc>
                <w:tcPr>
                  <w:tcW w:w="964" w:type="dxa"/>
                  <w:vMerge w:val="restart"/>
                  <w:vAlign w:val="center"/>
                </w:tcPr>
                <w:p w14:paraId="003AC3CB">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摆盘</w:t>
                  </w:r>
                </w:p>
              </w:tc>
              <w:tc>
                <w:tcPr>
                  <w:tcW w:w="1859" w:type="dxa"/>
                  <w:vMerge w:val="restart"/>
                  <w:vAlign w:val="center"/>
                </w:tcPr>
                <w:p w14:paraId="2218E8D9">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自动摆盘机</w:t>
                  </w:r>
                </w:p>
              </w:tc>
              <w:tc>
                <w:tcPr>
                  <w:tcW w:w="1764" w:type="dxa"/>
                  <w:shd w:val="clear" w:color="auto" w:fill="auto"/>
                  <w:vAlign w:val="center"/>
                </w:tcPr>
                <w:p w14:paraId="059AFA1A">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vAlign w:val="center"/>
                </w:tcPr>
                <w:p w14:paraId="25DDA0F9">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1.0</w:t>
                  </w:r>
                </w:p>
              </w:tc>
              <w:tc>
                <w:tcPr>
                  <w:tcW w:w="1322" w:type="dxa"/>
                  <w:vAlign w:val="center"/>
                </w:tcPr>
                <w:p w14:paraId="1FF9C33F">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23812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C1B29AC">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390CE992">
                  <w:pPr>
                    <w:jc w:val="center"/>
                    <w:rPr>
                      <w:rFonts w:hint="eastAsia" w:eastAsia="宋体"/>
                      <w:color w:val="000000" w:themeColor="text1"/>
                      <w:sz w:val="21"/>
                      <w:szCs w:val="21"/>
                      <w:vertAlign w:val="baseline"/>
                      <w:lang w:eastAsia="zh-CN"/>
                      <w14:textFill>
                        <w14:solidFill>
                          <w14:schemeClr w14:val="tx1"/>
                        </w14:solidFill>
                      </w14:textFill>
                    </w:rPr>
                  </w:pPr>
                </w:p>
              </w:tc>
              <w:tc>
                <w:tcPr>
                  <w:tcW w:w="964" w:type="dxa"/>
                  <w:vMerge w:val="continue"/>
                  <w:vAlign w:val="center"/>
                </w:tcPr>
                <w:p w14:paraId="04403AF4">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5D9F2875">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636CAF51">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680C6E6C">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w:t>
                  </w:r>
                </w:p>
              </w:tc>
              <w:tc>
                <w:tcPr>
                  <w:tcW w:w="1322" w:type="dxa"/>
                  <w:vAlign w:val="center"/>
                </w:tcPr>
                <w:p w14:paraId="03E69911">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68C73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64A664C5">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13</w:t>
                  </w:r>
                </w:p>
              </w:tc>
              <w:tc>
                <w:tcPr>
                  <w:tcW w:w="1499" w:type="dxa"/>
                  <w:vAlign w:val="center"/>
                </w:tcPr>
                <w:p w14:paraId="07495FDB">
                  <w:pPr>
                    <w:jc w:val="center"/>
                    <w:rPr>
                      <w:rFonts w:hint="eastAsia" w:eastAsia="宋体"/>
                      <w:color w:val="000000" w:themeColor="text1"/>
                      <w:sz w:val="21"/>
                      <w:szCs w:val="21"/>
                      <w:highlight w:val="none"/>
                      <w:vertAlign w:val="baseline"/>
                      <w:lang w:eastAsia="zh-CN"/>
                      <w14:textFill>
                        <w14:solidFill>
                          <w14:schemeClr w14:val="tx1"/>
                        </w14:solidFill>
                      </w14:textFill>
                    </w:rPr>
                  </w:pPr>
                  <w:r>
                    <w:rPr>
                      <w:rFonts w:hint="eastAsia" w:eastAsia="宋体"/>
                      <w:color w:val="000000" w:themeColor="text1"/>
                      <w:sz w:val="21"/>
                      <w:szCs w:val="21"/>
                      <w:highlight w:val="none"/>
                      <w:vertAlign w:val="baseline"/>
                      <w:lang w:val="en-US" w:eastAsia="zh-CN"/>
                      <w14:textFill>
                        <w14:solidFill>
                          <w14:schemeClr w14:val="tx1"/>
                        </w14:solidFill>
                      </w14:textFill>
                    </w:rPr>
                    <w:t>配料间</w:t>
                  </w:r>
                </w:p>
              </w:tc>
              <w:tc>
                <w:tcPr>
                  <w:tcW w:w="964" w:type="dxa"/>
                  <w:vAlign w:val="center"/>
                </w:tcPr>
                <w:p w14:paraId="25107A50">
                  <w:pPr>
                    <w:jc w:val="center"/>
                    <w:rPr>
                      <w:color w:val="000000" w:themeColor="text1"/>
                      <w:sz w:val="21"/>
                      <w:szCs w:val="21"/>
                      <w:highlight w:val="none"/>
                      <w:vertAlign w:val="baseline"/>
                      <w14:textFill>
                        <w14:solidFill>
                          <w14:schemeClr w14:val="tx1"/>
                        </w14:solidFill>
                      </w14:textFill>
                    </w:rPr>
                  </w:pPr>
                  <w:r>
                    <w:rPr>
                      <w:rFonts w:hint="eastAsia" w:eastAsia="宋体"/>
                      <w:color w:val="000000" w:themeColor="text1"/>
                      <w:sz w:val="21"/>
                      <w:szCs w:val="21"/>
                      <w:highlight w:val="none"/>
                      <w:vertAlign w:val="baseline"/>
                      <w:lang w:val="en-US" w:eastAsia="zh-CN"/>
                      <w14:textFill>
                        <w14:solidFill>
                          <w14:schemeClr w14:val="tx1"/>
                        </w14:solidFill>
                      </w14:textFill>
                    </w:rPr>
                    <w:t>配料</w:t>
                  </w:r>
                </w:p>
              </w:tc>
              <w:tc>
                <w:tcPr>
                  <w:tcW w:w="1859" w:type="dxa"/>
                  <w:vAlign w:val="center"/>
                </w:tcPr>
                <w:p w14:paraId="4CD09AD7">
                  <w:pPr>
                    <w:jc w:val="center"/>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eastAsia="宋体"/>
                      <w:color w:val="000000" w:themeColor="text1"/>
                      <w:sz w:val="21"/>
                      <w:szCs w:val="21"/>
                      <w:highlight w:val="none"/>
                      <w:vertAlign w:val="baseline"/>
                      <w:lang w:val="en-US" w:eastAsia="zh-CN"/>
                      <w14:textFill>
                        <w14:solidFill>
                          <w14:schemeClr w14:val="tx1"/>
                        </w14:solidFill>
                      </w14:textFill>
                    </w:rPr>
                    <w:t>配料间</w:t>
                  </w:r>
                </w:p>
              </w:tc>
              <w:tc>
                <w:tcPr>
                  <w:tcW w:w="1764" w:type="dxa"/>
                  <w:shd w:val="clear" w:color="auto" w:fill="auto"/>
                  <w:vAlign w:val="center"/>
                </w:tcPr>
                <w:p w14:paraId="421C8754">
                  <w:pPr>
                    <w:jc w:val="center"/>
                    <w:rPr>
                      <w:rFonts w:hint="eastAsia"/>
                      <w:color w:val="000000" w:themeColor="text1"/>
                      <w:sz w:val="21"/>
                      <w:szCs w:val="21"/>
                      <w:highlight w:val="none"/>
                      <w:vertAlign w:val="baseline"/>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占地面积</w:t>
                  </w:r>
                </w:p>
              </w:tc>
              <w:tc>
                <w:tcPr>
                  <w:tcW w:w="1289" w:type="dxa"/>
                  <w:vAlign w:val="center"/>
                </w:tcPr>
                <w:p w14:paraId="103E0252">
                  <w:pPr>
                    <w:jc w:val="center"/>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34</w:t>
                  </w:r>
                </w:p>
              </w:tc>
              <w:tc>
                <w:tcPr>
                  <w:tcW w:w="1322" w:type="dxa"/>
                  <w:vAlign w:val="center"/>
                </w:tcPr>
                <w:p w14:paraId="2B4D7B36">
                  <w:pPr>
                    <w:jc w:val="center"/>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m</w:t>
                  </w:r>
                  <w:r>
                    <w:rPr>
                      <w:rFonts w:hint="eastAsia"/>
                      <w:color w:val="000000" w:themeColor="text1"/>
                      <w:sz w:val="21"/>
                      <w:szCs w:val="21"/>
                      <w:highlight w:val="none"/>
                      <w:vertAlign w:val="superscript"/>
                      <w:lang w:val="en-US" w:eastAsia="zh-CN"/>
                      <w14:textFill>
                        <w14:solidFill>
                          <w14:schemeClr w14:val="tx1"/>
                        </w14:solidFill>
                      </w14:textFill>
                    </w:rPr>
                    <w:t>2</w:t>
                  </w:r>
                </w:p>
              </w:tc>
            </w:tr>
            <w:tr w14:paraId="75E40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6D3B4F47">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14</w:t>
                  </w:r>
                </w:p>
              </w:tc>
              <w:tc>
                <w:tcPr>
                  <w:tcW w:w="1499" w:type="dxa"/>
                  <w:vAlign w:val="center"/>
                </w:tcPr>
                <w:p w14:paraId="7CEDAC19">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醒发间</w:t>
                  </w:r>
                </w:p>
              </w:tc>
              <w:tc>
                <w:tcPr>
                  <w:tcW w:w="964" w:type="dxa"/>
                  <w:vAlign w:val="center"/>
                </w:tcPr>
                <w:p w14:paraId="61BB1875">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醒发</w:t>
                  </w:r>
                </w:p>
              </w:tc>
              <w:tc>
                <w:tcPr>
                  <w:tcW w:w="1859" w:type="dxa"/>
                  <w:vAlign w:val="center"/>
                </w:tcPr>
                <w:p w14:paraId="6E3B7871">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醒发间</w:t>
                  </w:r>
                </w:p>
              </w:tc>
              <w:tc>
                <w:tcPr>
                  <w:tcW w:w="1764" w:type="dxa"/>
                  <w:shd w:val="clear" w:color="auto" w:fill="auto"/>
                  <w:vAlign w:val="center"/>
                </w:tcPr>
                <w:p w14:paraId="17C2F8A5">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占地面积</w:t>
                  </w:r>
                </w:p>
              </w:tc>
              <w:tc>
                <w:tcPr>
                  <w:tcW w:w="1289" w:type="dxa"/>
                  <w:vAlign w:val="center"/>
                </w:tcPr>
                <w:p w14:paraId="7139DB90">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29</w:t>
                  </w:r>
                </w:p>
              </w:tc>
              <w:tc>
                <w:tcPr>
                  <w:tcW w:w="1322" w:type="dxa"/>
                  <w:vAlign w:val="center"/>
                </w:tcPr>
                <w:p w14:paraId="1719830B">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2</w:t>
                  </w:r>
                </w:p>
              </w:tc>
            </w:tr>
            <w:tr w14:paraId="5AB0C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2E5FF5EA">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15</w:t>
                  </w:r>
                </w:p>
              </w:tc>
              <w:tc>
                <w:tcPr>
                  <w:tcW w:w="1499" w:type="dxa"/>
                  <w:vMerge w:val="restart"/>
                  <w:vAlign w:val="center"/>
                </w:tcPr>
                <w:p w14:paraId="77E0C087">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热调熟化间</w:t>
                  </w:r>
                </w:p>
              </w:tc>
              <w:tc>
                <w:tcPr>
                  <w:tcW w:w="964" w:type="dxa"/>
                  <w:vMerge w:val="restart"/>
                  <w:vAlign w:val="center"/>
                </w:tcPr>
                <w:p w14:paraId="250B6BEC">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炒制</w:t>
                  </w:r>
                </w:p>
              </w:tc>
              <w:tc>
                <w:tcPr>
                  <w:tcW w:w="1859" w:type="dxa"/>
                  <w:vMerge w:val="restart"/>
                  <w:vAlign w:val="center"/>
                </w:tcPr>
                <w:p w14:paraId="5740E060">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电炒锅</w:t>
                  </w:r>
                </w:p>
              </w:tc>
              <w:tc>
                <w:tcPr>
                  <w:tcW w:w="1764" w:type="dxa"/>
                  <w:shd w:val="clear" w:color="auto" w:fill="auto"/>
                  <w:vAlign w:val="center"/>
                </w:tcPr>
                <w:p w14:paraId="0244C15C">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vAlign w:val="center"/>
                </w:tcPr>
                <w:p w14:paraId="024654C5">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0.5</w:t>
                  </w:r>
                </w:p>
              </w:tc>
              <w:tc>
                <w:tcPr>
                  <w:tcW w:w="1322" w:type="dxa"/>
                  <w:vAlign w:val="center"/>
                </w:tcPr>
                <w:p w14:paraId="784FD122">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44D7C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33B3289">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32C63E45">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46E05F48">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75B8EE00">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2E807A68">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6FCC8608">
                  <w:pPr>
                    <w:jc w:val="center"/>
                    <w:rPr>
                      <w:rFonts w:hint="default"/>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10</w:t>
                  </w:r>
                </w:p>
              </w:tc>
              <w:tc>
                <w:tcPr>
                  <w:tcW w:w="1322" w:type="dxa"/>
                  <w:vAlign w:val="center"/>
                </w:tcPr>
                <w:p w14:paraId="08E432D8">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076B3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E718C47">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036BFC4C">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restart"/>
                  <w:vAlign w:val="center"/>
                </w:tcPr>
                <w:p w14:paraId="73CA6E3E">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炒制</w:t>
                  </w:r>
                </w:p>
              </w:tc>
              <w:tc>
                <w:tcPr>
                  <w:tcW w:w="1859" w:type="dxa"/>
                  <w:vMerge w:val="restart"/>
                  <w:vAlign w:val="center"/>
                </w:tcPr>
                <w:p w14:paraId="46870C72">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燃气炒锅</w:t>
                  </w:r>
                </w:p>
              </w:tc>
              <w:tc>
                <w:tcPr>
                  <w:tcW w:w="1764" w:type="dxa"/>
                  <w:shd w:val="clear" w:color="auto" w:fill="auto"/>
                  <w:vAlign w:val="center"/>
                </w:tcPr>
                <w:p w14:paraId="32FB6818">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vAlign w:val="center"/>
                </w:tcPr>
                <w:p w14:paraId="6F266D1B">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0.5</w:t>
                  </w:r>
                </w:p>
              </w:tc>
              <w:tc>
                <w:tcPr>
                  <w:tcW w:w="1322" w:type="dxa"/>
                  <w:vAlign w:val="center"/>
                </w:tcPr>
                <w:p w14:paraId="3DF0E89C">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05934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137F82B3">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030C302D">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300B818B">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2A6CA7CF">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2471BDC8">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553FCB40">
                  <w:pPr>
                    <w:jc w:val="center"/>
                    <w:rPr>
                      <w:rFonts w:hint="eastAsia"/>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7</w:t>
                  </w:r>
                </w:p>
              </w:tc>
              <w:tc>
                <w:tcPr>
                  <w:tcW w:w="1322" w:type="dxa"/>
                  <w:vAlign w:val="center"/>
                </w:tcPr>
                <w:p w14:paraId="516EBEA9">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23F0A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19DA9125">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2ED02712">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restart"/>
                  <w:vAlign w:val="center"/>
                </w:tcPr>
                <w:p w14:paraId="12994C05">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煲汤</w:t>
                  </w:r>
                </w:p>
              </w:tc>
              <w:tc>
                <w:tcPr>
                  <w:tcW w:w="1859" w:type="dxa"/>
                  <w:vMerge w:val="restart"/>
                  <w:vAlign w:val="center"/>
                </w:tcPr>
                <w:p w14:paraId="0CCB3609">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燃气汤锅</w:t>
                  </w:r>
                </w:p>
              </w:tc>
              <w:tc>
                <w:tcPr>
                  <w:tcW w:w="1764" w:type="dxa"/>
                  <w:shd w:val="clear" w:color="auto" w:fill="auto"/>
                  <w:vAlign w:val="center"/>
                </w:tcPr>
                <w:p w14:paraId="2B5461EC">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vAlign w:val="center"/>
                </w:tcPr>
                <w:p w14:paraId="7373C58F">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0.5</w:t>
                  </w:r>
                </w:p>
              </w:tc>
              <w:tc>
                <w:tcPr>
                  <w:tcW w:w="1322" w:type="dxa"/>
                  <w:vAlign w:val="center"/>
                </w:tcPr>
                <w:p w14:paraId="54C58644">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1282F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413DECE9">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4D888344">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21BEB56F">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0BC368C2">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7C53E6EF">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1B07CC1B">
                  <w:pPr>
                    <w:jc w:val="center"/>
                    <w:rPr>
                      <w:rFonts w:hint="eastAsia"/>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6</w:t>
                  </w:r>
                </w:p>
              </w:tc>
              <w:tc>
                <w:tcPr>
                  <w:tcW w:w="1322" w:type="dxa"/>
                  <w:vAlign w:val="center"/>
                </w:tcPr>
                <w:p w14:paraId="63471EF0">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1B231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EDCA3A7">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0C30DADA">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restart"/>
                  <w:vAlign w:val="center"/>
                </w:tcPr>
                <w:p w14:paraId="2A3C9627">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蒸制</w:t>
                  </w:r>
                </w:p>
              </w:tc>
              <w:tc>
                <w:tcPr>
                  <w:tcW w:w="1859" w:type="dxa"/>
                  <w:vMerge w:val="restart"/>
                  <w:vAlign w:val="center"/>
                </w:tcPr>
                <w:p w14:paraId="2B443D8B">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单开门蒸箱</w:t>
                  </w:r>
                </w:p>
              </w:tc>
              <w:tc>
                <w:tcPr>
                  <w:tcW w:w="1764" w:type="dxa"/>
                  <w:shd w:val="clear" w:color="auto" w:fill="auto"/>
                  <w:vAlign w:val="center"/>
                </w:tcPr>
                <w:p w14:paraId="65B9BBA6">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处理能力</w:t>
                  </w:r>
                </w:p>
              </w:tc>
              <w:tc>
                <w:tcPr>
                  <w:tcW w:w="1289" w:type="dxa"/>
                  <w:vAlign w:val="center"/>
                </w:tcPr>
                <w:p w14:paraId="6CD5C834">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1.0</w:t>
                  </w:r>
                </w:p>
              </w:tc>
              <w:tc>
                <w:tcPr>
                  <w:tcW w:w="1322" w:type="dxa"/>
                  <w:vAlign w:val="center"/>
                </w:tcPr>
                <w:p w14:paraId="23CF09BF">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110D9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262FC859">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25D53E2D">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58408AE4">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2205928A">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02C5CD98">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64B57BCA">
                  <w:pPr>
                    <w:jc w:val="center"/>
                    <w:rPr>
                      <w:rFonts w:hint="default"/>
                      <w:color w:val="000000" w:themeColor="text1"/>
                      <w:sz w:val="21"/>
                      <w:szCs w:val="21"/>
                      <w:vertAlign w:val="baseline"/>
                      <w:lang w:val="en-US" w:eastAsia="zh-CN"/>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11</w:t>
                  </w:r>
                </w:p>
              </w:tc>
              <w:tc>
                <w:tcPr>
                  <w:tcW w:w="1322" w:type="dxa"/>
                  <w:vAlign w:val="center"/>
                </w:tcPr>
                <w:p w14:paraId="3AFDAEAB">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02774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47F3C7EF">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221DD53D">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restart"/>
                  <w:vAlign w:val="center"/>
                </w:tcPr>
                <w:p w14:paraId="56F44963">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清洗</w:t>
                  </w:r>
                </w:p>
              </w:tc>
              <w:tc>
                <w:tcPr>
                  <w:tcW w:w="1859" w:type="dxa"/>
                  <w:vMerge w:val="restart"/>
                  <w:vAlign w:val="center"/>
                </w:tcPr>
                <w:p w14:paraId="2EC7C677">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洗米池</w:t>
                  </w:r>
                </w:p>
              </w:tc>
              <w:tc>
                <w:tcPr>
                  <w:tcW w:w="1764" w:type="dxa"/>
                  <w:shd w:val="clear" w:color="auto" w:fill="auto"/>
                  <w:vAlign w:val="center"/>
                </w:tcPr>
                <w:p w14:paraId="43ED4B98">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容积</w:t>
                  </w:r>
                </w:p>
              </w:tc>
              <w:tc>
                <w:tcPr>
                  <w:tcW w:w="1289" w:type="dxa"/>
                  <w:vAlign w:val="center"/>
                </w:tcPr>
                <w:p w14:paraId="2B457DBE">
                  <w:pPr>
                    <w:tabs>
                      <w:tab w:val="left" w:pos="428"/>
                      <w:tab w:val="center" w:pos="768"/>
                    </w:tabs>
                    <w:jc w:val="center"/>
                    <w:rPr>
                      <w:rFonts w:hint="default"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1.2</w:t>
                  </w:r>
                </w:p>
              </w:tc>
              <w:tc>
                <w:tcPr>
                  <w:tcW w:w="1322" w:type="dxa"/>
                  <w:vAlign w:val="center"/>
                </w:tcPr>
                <w:p w14:paraId="4F0DDE5F">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3</w:t>
                  </w:r>
                </w:p>
              </w:tc>
            </w:tr>
            <w:tr w14:paraId="57D6F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576A5F00">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274C3D6E">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6CEFBF30">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626AE601">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74D2897D">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32F81A26">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vAlign w:val="center"/>
                </w:tcPr>
                <w:p w14:paraId="43A523BC">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722B5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1337979B">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16</w:t>
                  </w:r>
                </w:p>
              </w:tc>
              <w:tc>
                <w:tcPr>
                  <w:tcW w:w="1499" w:type="dxa"/>
                  <w:vMerge w:val="restart"/>
                  <w:vAlign w:val="center"/>
                </w:tcPr>
                <w:p w14:paraId="41E0A23E">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分餐间</w:t>
                  </w:r>
                </w:p>
              </w:tc>
              <w:tc>
                <w:tcPr>
                  <w:tcW w:w="964" w:type="dxa"/>
                  <w:vMerge w:val="restart"/>
                  <w:vAlign w:val="center"/>
                </w:tcPr>
                <w:p w14:paraId="1B74D370">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分餐</w:t>
                  </w:r>
                </w:p>
              </w:tc>
              <w:tc>
                <w:tcPr>
                  <w:tcW w:w="1859" w:type="dxa"/>
                  <w:vMerge w:val="restart"/>
                  <w:vAlign w:val="center"/>
                </w:tcPr>
                <w:p w14:paraId="17AD2B15">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自动分饭机</w:t>
                  </w:r>
                </w:p>
              </w:tc>
              <w:tc>
                <w:tcPr>
                  <w:tcW w:w="1764" w:type="dxa"/>
                  <w:shd w:val="clear" w:color="auto" w:fill="auto"/>
                  <w:vAlign w:val="center"/>
                </w:tcPr>
                <w:p w14:paraId="39CB9180">
                  <w:pPr>
                    <w:jc w:val="center"/>
                    <w:rPr>
                      <w:rFonts w:hint="eastAsia"/>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生产能力</w:t>
                  </w:r>
                </w:p>
              </w:tc>
              <w:tc>
                <w:tcPr>
                  <w:tcW w:w="1289" w:type="dxa"/>
                  <w:vAlign w:val="center"/>
                </w:tcPr>
                <w:p w14:paraId="12D71F49">
                  <w:pPr>
                    <w:jc w:val="center"/>
                    <w:rPr>
                      <w:rFonts w:hint="default"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1.0</w:t>
                  </w:r>
                </w:p>
              </w:tc>
              <w:tc>
                <w:tcPr>
                  <w:tcW w:w="1322" w:type="dxa"/>
                  <w:vAlign w:val="center"/>
                </w:tcPr>
                <w:p w14:paraId="2CB534C4">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606B0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B3C5CDA">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5986AC44">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4BA2D8CC">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70FC60D1">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1F7E7E6D">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2BBB2FC7">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vAlign w:val="center"/>
                </w:tcPr>
                <w:p w14:paraId="45D83432">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4972D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1D079DA1">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2CFDD620">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02AECAF1">
                  <w:pPr>
                    <w:jc w:val="center"/>
                    <w:rPr>
                      <w:color w:val="000000" w:themeColor="text1"/>
                      <w:sz w:val="21"/>
                      <w:szCs w:val="21"/>
                      <w:vertAlign w:val="baseline"/>
                      <w14:textFill>
                        <w14:solidFill>
                          <w14:schemeClr w14:val="tx1"/>
                        </w14:solidFill>
                      </w14:textFill>
                    </w:rPr>
                  </w:pPr>
                </w:p>
              </w:tc>
              <w:tc>
                <w:tcPr>
                  <w:tcW w:w="1859" w:type="dxa"/>
                  <w:vMerge w:val="restart"/>
                  <w:vAlign w:val="center"/>
                </w:tcPr>
                <w:p w14:paraId="5D098D75">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7米配餐台</w:t>
                  </w:r>
                </w:p>
              </w:tc>
              <w:tc>
                <w:tcPr>
                  <w:tcW w:w="1764" w:type="dxa"/>
                  <w:shd w:val="clear" w:color="auto" w:fill="auto"/>
                  <w:vAlign w:val="center"/>
                </w:tcPr>
                <w:p w14:paraId="1DA37B71">
                  <w:pPr>
                    <w:jc w:val="center"/>
                    <w:rPr>
                      <w:rFonts w:hint="eastAsia"/>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生产能力</w:t>
                  </w:r>
                </w:p>
              </w:tc>
              <w:tc>
                <w:tcPr>
                  <w:tcW w:w="1289" w:type="dxa"/>
                  <w:vAlign w:val="center"/>
                </w:tcPr>
                <w:p w14:paraId="0D6F1CDB">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1.0</w:t>
                  </w:r>
                </w:p>
              </w:tc>
              <w:tc>
                <w:tcPr>
                  <w:tcW w:w="1322" w:type="dxa"/>
                  <w:vAlign w:val="center"/>
                </w:tcPr>
                <w:p w14:paraId="663B6A41">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460B8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061A885E">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3E59DC44">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3EBC1267">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0676EAA5">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4037A730">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03116F25">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vAlign w:val="center"/>
                </w:tcPr>
                <w:p w14:paraId="61AB877C">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051D3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26E6BDCB">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4F7E0E10">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0AB3BB49">
                  <w:pPr>
                    <w:jc w:val="center"/>
                    <w:rPr>
                      <w:color w:val="000000" w:themeColor="text1"/>
                      <w:sz w:val="21"/>
                      <w:szCs w:val="21"/>
                      <w:vertAlign w:val="baseline"/>
                      <w14:textFill>
                        <w14:solidFill>
                          <w14:schemeClr w14:val="tx1"/>
                        </w14:solidFill>
                      </w14:textFill>
                    </w:rPr>
                  </w:pPr>
                </w:p>
              </w:tc>
              <w:tc>
                <w:tcPr>
                  <w:tcW w:w="1859" w:type="dxa"/>
                  <w:vMerge w:val="restart"/>
                  <w:vAlign w:val="center"/>
                </w:tcPr>
                <w:p w14:paraId="1B1A0BAF">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桶餐配餐传输机</w:t>
                  </w:r>
                </w:p>
              </w:tc>
              <w:tc>
                <w:tcPr>
                  <w:tcW w:w="1764" w:type="dxa"/>
                  <w:shd w:val="clear" w:color="auto" w:fill="auto"/>
                  <w:vAlign w:val="center"/>
                </w:tcPr>
                <w:p w14:paraId="364DC7C9">
                  <w:pPr>
                    <w:jc w:val="center"/>
                    <w:rPr>
                      <w:rFonts w:hint="eastAsia"/>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生产能力</w:t>
                  </w:r>
                </w:p>
              </w:tc>
              <w:tc>
                <w:tcPr>
                  <w:tcW w:w="1289" w:type="dxa"/>
                  <w:vAlign w:val="center"/>
                </w:tcPr>
                <w:p w14:paraId="5B1AFE18">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1.0</w:t>
                  </w:r>
                </w:p>
              </w:tc>
              <w:tc>
                <w:tcPr>
                  <w:tcW w:w="1322" w:type="dxa"/>
                  <w:vAlign w:val="center"/>
                </w:tcPr>
                <w:p w14:paraId="47AB37A0">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0ABA1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53F19A72">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43450164">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736C48E8">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638E9902">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70DFD435">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18C6EB3E">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vAlign w:val="center"/>
                </w:tcPr>
                <w:p w14:paraId="314694CC">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49B89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44B54FB0">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17</w:t>
                  </w:r>
                </w:p>
              </w:tc>
              <w:tc>
                <w:tcPr>
                  <w:tcW w:w="1499" w:type="dxa"/>
                  <w:vAlign w:val="center"/>
                </w:tcPr>
                <w:p w14:paraId="44F1443D">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发货缓冲间</w:t>
                  </w:r>
                </w:p>
              </w:tc>
              <w:tc>
                <w:tcPr>
                  <w:tcW w:w="964" w:type="dxa"/>
                  <w:vAlign w:val="center"/>
                </w:tcPr>
                <w:p w14:paraId="5F019249">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微波加热</w:t>
                  </w:r>
                </w:p>
              </w:tc>
              <w:tc>
                <w:tcPr>
                  <w:tcW w:w="1859" w:type="dxa"/>
                  <w:vAlign w:val="center"/>
                </w:tcPr>
                <w:p w14:paraId="418F4112">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微波加热隧道</w:t>
                  </w:r>
                </w:p>
              </w:tc>
              <w:tc>
                <w:tcPr>
                  <w:tcW w:w="1764" w:type="dxa"/>
                  <w:shd w:val="clear" w:color="auto" w:fill="auto"/>
                  <w:vAlign w:val="center"/>
                </w:tcPr>
                <w:p w14:paraId="759A82FA">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长宽高</w:t>
                  </w:r>
                </w:p>
              </w:tc>
              <w:tc>
                <w:tcPr>
                  <w:tcW w:w="1289" w:type="dxa"/>
                  <w:vAlign w:val="center"/>
                </w:tcPr>
                <w:p w14:paraId="5B8227CD">
                  <w:pPr>
                    <w:jc w:val="center"/>
                    <w:rPr>
                      <w:rFonts w:hint="default"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8*2*1.5</w:t>
                  </w:r>
                </w:p>
              </w:tc>
              <w:tc>
                <w:tcPr>
                  <w:tcW w:w="1322" w:type="dxa"/>
                  <w:vAlign w:val="center"/>
                </w:tcPr>
                <w:p w14:paraId="1E5F6753">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m</w:t>
                  </w:r>
                </w:p>
              </w:tc>
            </w:tr>
            <w:tr w14:paraId="6C559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17DB230B">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18</w:t>
                  </w:r>
                </w:p>
              </w:tc>
              <w:tc>
                <w:tcPr>
                  <w:tcW w:w="1499" w:type="dxa"/>
                  <w:vMerge w:val="restart"/>
                  <w:vAlign w:val="center"/>
                </w:tcPr>
                <w:p w14:paraId="64ACCA7D">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餐具清洗间</w:t>
                  </w:r>
                </w:p>
              </w:tc>
              <w:tc>
                <w:tcPr>
                  <w:tcW w:w="964" w:type="dxa"/>
                  <w:vMerge w:val="restart"/>
                  <w:vAlign w:val="center"/>
                </w:tcPr>
                <w:p w14:paraId="3CA3416E">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清洗</w:t>
                  </w:r>
                </w:p>
              </w:tc>
              <w:tc>
                <w:tcPr>
                  <w:tcW w:w="1859" w:type="dxa"/>
                  <w:vMerge w:val="restart"/>
                  <w:vAlign w:val="center"/>
                </w:tcPr>
                <w:p w14:paraId="633B7667">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蒸汽洗箱机</w:t>
                  </w:r>
                </w:p>
              </w:tc>
              <w:tc>
                <w:tcPr>
                  <w:tcW w:w="1764" w:type="dxa"/>
                  <w:shd w:val="clear" w:color="auto" w:fill="auto"/>
                  <w:vAlign w:val="center"/>
                </w:tcPr>
                <w:p w14:paraId="2AA4BD6E">
                  <w:pPr>
                    <w:jc w:val="center"/>
                    <w:rPr>
                      <w:rFonts w:hint="eastAsia"/>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生产能力</w:t>
                  </w:r>
                </w:p>
              </w:tc>
              <w:tc>
                <w:tcPr>
                  <w:tcW w:w="1289" w:type="dxa"/>
                  <w:vAlign w:val="center"/>
                </w:tcPr>
                <w:p w14:paraId="775FD74F">
                  <w:pPr>
                    <w:jc w:val="center"/>
                    <w:rPr>
                      <w:rFonts w:hint="default"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1.0</w:t>
                  </w:r>
                </w:p>
              </w:tc>
              <w:tc>
                <w:tcPr>
                  <w:tcW w:w="1322" w:type="dxa"/>
                  <w:vAlign w:val="center"/>
                </w:tcPr>
                <w:p w14:paraId="340B260F">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54690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267C1B87">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7D5EEDE1">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25766287">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14237DDE">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3086DEA9">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20B29071">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vAlign w:val="center"/>
                </w:tcPr>
                <w:p w14:paraId="2C91FEC7">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2EE02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6D28121E">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29DB2BA8">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1ED1C12A">
                  <w:pPr>
                    <w:jc w:val="center"/>
                    <w:rPr>
                      <w:color w:val="000000" w:themeColor="text1"/>
                      <w:sz w:val="21"/>
                      <w:szCs w:val="21"/>
                      <w:vertAlign w:val="baseline"/>
                      <w14:textFill>
                        <w14:solidFill>
                          <w14:schemeClr w14:val="tx1"/>
                        </w14:solidFill>
                      </w14:textFill>
                    </w:rPr>
                  </w:pPr>
                </w:p>
              </w:tc>
              <w:tc>
                <w:tcPr>
                  <w:tcW w:w="1859" w:type="dxa"/>
                  <w:vMerge w:val="restart"/>
                  <w:vAlign w:val="center"/>
                </w:tcPr>
                <w:p w14:paraId="27E58D48">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蒸汽自动提升洗碗机</w:t>
                  </w:r>
                </w:p>
              </w:tc>
              <w:tc>
                <w:tcPr>
                  <w:tcW w:w="1764" w:type="dxa"/>
                  <w:shd w:val="clear" w:color="auto" w:fill="auto"/>
                  <w:vAlign w:val="center"/>
                </w:tcPr>
                <w:p w14:paraId="0FFE04D3">
                  <w:pPr>
                    <w:jc w:val="center"/>
                    <w:rPr>
                      <w:rFonts w:hint="eastAsia"/>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生产能力</w:t>
                  </w:r>
                </w:p>
              </w:tc>
              <w:tc>
                <w:tcPr>
                  <w:tcW w:w="1289" w:type="dxa"/>
                  <w:vAlign w:val="center"/>
                </w:tcPr>
                <w:p w14:paraId="7AA392A5">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1.0</w:t>
                  </w:r>
                </w:p>
              </w:tc>
              <w:tc>
                <w:tcPr>
                  <w:tcW w:w="1322" w:type="dxa"/>
                  <w:vAlign w:val="center"/>
                </w:tcPr>
                <w:p w14:paraId="04CDFC45">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40379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22EB0E12">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01146309">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1ECEA58A">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7BDEFF9A">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0BBF5907">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14F9AAE1">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vAlign w:val="center"/>
                </w:tcPr>
                <w:p w14:paraId="7872E983">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39DE7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3B1871F4">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19</w:t>
                  </w:r>
                </w:p>
              </w:tc>
              <w:tc>
                <w:tcPr>
                  <w:tcW w:w="1499" w:type="dxa"/>
                  <w:vMerge w:val="restart"/>
                  <w:vAlign w:val="center"/>
                </w:tcPr>
                <w:p w14:paraId="08593C60">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净水间</w:t>
                  </w:r>
                </w:p>
              </w:tc>
              <w:tc>
                <w:tcPr>
                  <w:tcW w:w="964" w:type="dxa"/>
                  <w:vMerge w:val="restart"/>
                  <w:vAlign w:val="center"/>
                </w:tcPr>
                <w:p w14:paraId="34DF50DF">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纯水制备</w:t>
                  </w:r>
                </w:p>
              </w:tc>
              <w:tc>
                <w:tcPr>
                  <w:tcW w:w="1859" w:type="dxa"/>
                  <w:vMerge w:val="restart"/>
                  <w:vAlign w:val="center"/>
                </w:tcPr>
                <w:p w14:paraId="70FE1EC8">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2T净水系统</w:t>
                  </w:r>
                </w:p>
                <w:p w14:paraId="5FBA75A8">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（纯水制备系统）</w:t>
                  </w:r>
                </w:p>
              </w:tc>
              <w:tc>
                <w:tcPr>
                  <w:tcW w:w="1764" w:type="dxa"/>
                  <w:shd w:val="clear" w:color="auto" w:fill="auto"/>
                  <w:vAlign w:val="center"/>
                </w:tcPr>
                <w:p w14:paraId="217AF8D7">
                  <w:pPr>
                    <w:jc w:val="center"/>
                    <w:rPr>
                      <w:rFonts w:hint="eastAsia"/>
                      <w:color w:val="000000" w:themeColor="text1"/>
                      <w:sz w:val="21"/>
                      <w:szCs w:val="21"/>
                      <w:vertAlign w:val="baseline"/>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生产能力</w:t>
                  </w:r>
                </w:p>
              </w:tc>
              <w:tc>
                <w:tcPr>
                  <w:tcW w:w="1289" w:type="dxa"/>
                  <w:vAlign w:val="center"/>
                </w:tcPr>
                <w:p w14:paraId="700A21AA">
                  <w:pPr>
                    <w:jc w:val="center"/>
                    <w:rPr>
                      <w:rFonts w:hint="default"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2.0</w:t>
                  </w:r>
                </w:p>
              </w:tc>
              <w:tc>
                <w:tcPr>
                  <w:tcW w:w="1322" w:type="dxa"/>
                  <w:vAlign w:val="center"/>
                </w:tcPr>
                <w:p w14:paraId="47D27400">
                  <w:pPr>
                    <w:jc w:val="center"/>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t/h</w:t>
                  </w:r>
                </w:p>
              </w:tc>
            </w:tr>
            <w:tr w14:paraId="37978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0" w:type="auto"/>
                  <w:vMerge w:val="continue"/>
                  <w:vAlign w:val="center"/>
                </w:tcPr>
                <w:p w14:paraId="44A4200F">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1499" w:type="dxa"/>
                  <w:vMerge w:val="continue"/>
                  <w:vAlign w:val="center"/>
                </w:tcPr>
                <w:p w14:paraId="400460FC">
                  <w:pPr>
                    <w:jc w:val="center"/>
                    <w:rPr>
                      <w:rFonts w:hint="eastAsia" w:eastAsia="宋体"/>
                      <w:color w:val="000000" w:themeColor="text1"/>
                      <w:sz w:val="21"/>
                      <w:szCs w:val="21"/>
                      <w:vertAlign w:val="baseline"/>
                      <w:lang w:val="en-US" w:eastAsia="zh-CN"/>
                      <w14:textFill>
                        <w14:solidFill>
                          <w14:schemeClr w14:val="tx1"/>
                        </w14:solidFill>
                      </w14:textFill>
                    </w:rPr>
                  </w:pPr>
                </w:p>
              </w:tc>
              <w:tc>
                <w:tcPr>
                  <w:tcW w:w="964" w:type="dxa"/>
                  <w:vMerge w:val="continue"/>
                  <w:vAlign w:val="center"/>
                </w:tcPr>
                <w:p w14:paraId="50494EB3">
                  <w:pPr>
                    <w:jc w:val="center"/>
                    <w:rPr>
                      <w:color w:val="000000" w:themeColor="text1"/>
                      <w:sz w:val="21"/>
                      <w:szCs w:val="21"/>
                      <w:vertAlign w:val="baseline"/>
                      <w14:textFill>
                        <w14:solidFill>
                          <w14:schemeClr w14:val="tx1"/>
                        </w14:solidFill>
                      </w14:textFill>
                    </w:rPr>
                  </w:pPr>
                </w:p>
              </w:tc>
              <w:tc>
                <w:tcPr>
                  <w:tcW w:w="1859" w:type="dxa"/>
                  <w:vMerge w:val="continue"/>
                  <w:vAlign w:val="center"/>
                </w:tcPr>
                <w:p w14:paraId="3432A67E">
                  <w:pPr>
                    <w:jc w:val="center"/>
                    <w:rPr>
                      <w:rFonts w:hint="default" w:eastAsia="宋体"/>
                      <w:color w:val="000000" w:themeColor="text1"/>
                      <w:sz w:val="21"/>
                      <w:szCs w:val="21"/>
                      <w:vertAlign w:val="baseline"/>
                      <w:lang w:val="en-US" w:eastAsia="zh-CN"/>
                      <w14:textFill>
                        <w14:solidFill>
                          <w14:schemeClr w14:val="tx1"/>
                        </w14:solidFill>
                      </w14:textFill>
                    </w:rPr>
                  </w:pPr>
                </w:p>
              </w:tc>
              <w:tc>
                <w:tcPr>
                  <w:tcW w:w="1764" w:type="dxa"/>
                  <w:shd w:val="clear" w:color="auto" w:fill="auto"/>
                  <w:vAlign w:val="center"/>
                </w:tcPr>
                <w:p w14:paraId="0F167438">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2A7C317A">
                  <w:pPr>
                    <w:jc w:val="cente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vAlign w:val="center"/>
                </w:tcPr>
                <w:p w14:paraId="6210C23E">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15A7D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40C7EA99">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20</w:t>
                  </w:r>
                </w:p>
              </w:tc>
              <w:tc>
                <w:tcPr>
                  <w:tcW w:w="1499" w:type="dxa"/>
                  <w:vAlign w:val="center"/>
                </w:tcPr>
                <w:p w14:paraId="6B77C207">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智能热风</w:t>
                  </w:r>
                  <w:r>
                    <w:rPr>
                      <w:rFonts w:hint="eastAsia"/>
                      <w:color w:val="000000" w:themeColor="text1"/>
                      <w:sz w:val="21"/>
                      <w:szCs w:val="21"/>
                      <w:vertAlign w:val="baseline"/>
                      <w:lang w:val="en-US" w:eastAsia="zh-CN"/>
                      <w14:textFill>
                        <w14:solidFill>
                          <w14:schemeClr w14:val="tx1"/>
                        </w14:solidFill>
                      </w14:textFill>
                    </w:rPr>
                    <w:t>紫外线</w:t>
                  </w:r>
                  <w:r>
                    <w:rPr>
                      <w:rFonts w:hint="eastAsia" w:eastAsia="宋体"/>
                      <w:color w:val="000000" w:themeColor="text1"/>
                      <w:sz w:val="21"/>
                      <w:szCs w:val="21"/>
                      <w:vertAlign w:val="baseline"/>
                      <w:lang w:val="en-US" w:eastAsia="zh-CN"/>
                      <w14:textFill>
                        <w14:solidFill>
                          <w14:schemeClr w14:val="tx1"/>
                        </w14:solidFill>
                      </w14:textFill>
                    </w:rPr>
                    <w:t>消毒库</w:t>
                  </w:r>
                </w:p>
              </w:tc>
              <w:tc>
                <w:tcPr>
                  <w:tcW w:w="964" w:type="dxa"/>
                  <w:vAlign w:val="center"/>
                </w:tcPr>
                <w:p w14:paraId="2689E3A1">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消毒</w:t>
                  </w:r>
                </w:p>
              </w:tc>
              <w:tc>
                <w:tcPr>
                  <w:tcW w:w="1859" w:type="dxa"/>
                  <w:vAlign w:val="center"/>
                </w:tcPr>
                <w:p w14:paraId="470A9DD5">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智能热风</w:t>
                  </w:r>
                  <w:r>
                    <w:rPr>
                      <w:rFonts w:hint="eastAsia"/>
                      <w:color w:val="000000" w:themeColor="text1"/>
                      <w:sz w:val="21"/>
                      <w:szCs w:val="21"/>
                      <w:vertAlign w:val="baseline"/>
                      <w:lang w:val="en-US" w:eastAsia="zh-CN"/>
                      <w14:textFill>
                        <w14:solidFill>
                          <w14:schemeClr w14:val="tx1"/>
                        </w14:solidFill>
                      </w14:textFill>
                    </w:rPr>
                    <w:t>紫外线</w:t>
                  </w:r>
                  <w:r>
                    <w:rPr>
                      <w:rFonts w:hint="eastAsia" w:eastAsia="宋体"/>
                      <w:color w:val="000000" w:themeColor="text1"/>
                      <w:sz w:val="21"/>
                      <w:szCs w:val="21"/>
                      <w:vertAlign w:val="baseline"/>
                      <w:lang w:val="en-US" w:eastAsia="zh-CN"/>
                      <w14:textFill>
                        <w14:solidFill>
                          <w14:schemeClr w14:val="tx1"/>
                        </w14:solidFill>
                      </w14:textFill>
                    </w:rPr>
                    <w:t>消毒库</w:t>
                  </w:r>
                </w:p>
              </w:tc>
              <w:tc>
                <w:tcPr>
                  <w:tcW w:w="1764" w:type="dxa"/>
                  <w:shd w:val="clear" w:color="auto" w:fill="auto"/>
                  <w:vAlign w:val="center"/>
                </w:tcPr>
                <w:p w14:paraId="76DA193A">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占地面积</w:t>
                  </w:r>
                </w:p>
              </w:tc>
              <w:tc>
                <w:tcPr>
                  <w:tcW w:w="1289" w:type="dxa"/>
                  <w:vAlign w:val="center"/>
                </w:tcPr>
                <w:p w14:paraId="4FBC10B7">
                  <w:pPr>
                    <w:jc w:val="center"/>
                    <w:rPr>
                      <w:rFonts w:hint="default"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40</w:t>
                  </w:r>
                </w:p>
              </w:tc>
              <w:tc>
                <w:tcPr>
                  <w:tcW w:w="1322" w:type="dxa"/>
                  <w:vAlign w:val="center"/>
                </w:tcPr>
                <w:p w14:paraId="32E804A8">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2</w:t>
                  </w:r>
                </w:p>
              </w:tc>
            </w:tr>
            <w:tr w14:paraId="0FC54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1E3103A0">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21</w:t>
                  </w:r>
                </w:p>
              </w:tc>
              <w:tc>
                <w:tcPr>
                  <w:tcW w:w="1499" w:type="dxa"/>
                  <w:vAlign w:val="center"/>
                </w:tcPr>
                <w:p w14:paraId="1CDF5A57">
                  <w:pPr>
                    <w:jc w:val="center"/>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箱体暂存消毒库</w:t>
                  </w:r>
                </w:p>
              </w:tc>
              <w:tc>
                <w:tcPr>
                  <w:tcW w:w="964" w:type="dxa"/>
                  <w:vAlign w:val="center"/>
                </w:tcPr>
                <w:p w14:paraId="43417B29">
                  <w:pPr>
                    <w:jc w:val="center"/>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消毒</w:t>
                  </w:r>
                </w:p>
              </w:tc>
              <w:tc>
                <w:tcPr>
                  <w:tcW w:w="1859" w:type="dxa"/>
                  <w:vAlign w:val="center"/>
                </w:tcPr>
                <w:p w14:paraId="63C9C774">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箱体暂存消毒库</w:t>
                  </w:r>
                </w:p>
              </w:tc>
              <w:tc>
                <w:tcPr>
                  <w:tcW w:w="1764" w:type="dxa"/>
                  <w:shd w:val="clear" w:color="auto" w:fill="auto"/>
                  <w:vAlign w:val="center"/>
                </w:tcPr>
                <w:p w14:paraId="7DAD0B6A">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占地面积</w:t>
                  </w:r>
                </w:p>
              </w:tc>
              <w:tc>
                <w:tcPr>
                  <w:tcW w:w="1289" w:type="dxa"/>
                  <w:vAlign w:val="center"/>
                </w:tcPr>
                <w:p w14:paraId="7BEA9E2E">
                  <w:pPr>
                    <w:jc w:val="center"/>
                    <w:rPr>
                      <w:rFonts w:hint="default"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105</w:t>
                  </w:r>
                </w:p>
              </w:tc>
              <w:tc>
                <w:tcPr>
                  <w:tcW w:w="1322" w:type="dxa"/>
                  <w:vAlign w:val="center"/>
                </w:tcPr>
                <w:p w14:paraId="44409395">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lang w:val="en-US" w:eastAsia="zh-CN"/>
                      <w14:textFill>
                        <w14:solidFill>
                          <w14:schemeClr w14:val="tx1"/>
                        </w14:solidFill>
                      </w14:textFill>
                    </w:rPr>
                    <w:t>2</w:t>
                  </w:r>
                </w:p>
              </w:tc>
            </w:tr>
            <w:tr w14:paraId="06736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2B1792F4">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22</w:t>
                  </w:r>
                </w:p>
              </w:tc>
              <w:tc>
                <w:tcPr>
                  <w:tcW w:w="1499" w:type="dxa"/>
                  <w:vMerge w:val="restart"/>
                  <w:vAlign w:val="center"/>
                </w:tcPr>
                <w:p w14:paraId="2C4A088E">
                  <w:pPr>
                    <w:jc w:val="center"/>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检测留样室</w:t>
                  </w:r>
                </w:p>
              </w:tc>
              <w:tc>
                <w:tcPr>
                  <w:tcW w:w="964" w:type="dxa"/>
                  <w:vMerge w:val="restart"/>
                  <w:vAlign w:val="center"/>
                </w:tcPr>
                <w:p w14:paraId="58372229">
                  <w:pPr>
                    <w:jc w:val="center"/>
                    <w:rPr>
                      <w:color w:val="000000" w:themeColor="text1"/>
                      <w:sz w:val="21"/>
                      <w:szCs w:val="21"/>
                      <w:vertAlign w:val="baseline"/>
                      <w14:textFill>
                        <w14:solidFill>
                          <w14:schemeClr w14:val="tx1"/>
                        </w14:solidFill>
                      </w14:textFill>
                    </w:rPr>
                  </w:pPr>
                  <w:commentRangeStart w:id="49"/>
                  <w:r>
                    <w:rPr>
                      <w:rFonts w:hint="eastAsia"/>
                      <w:color w:val="000000" w:themeColor="text1"/>
                      <w:sz w:val="21"/>
                      <w:szCs w:val="21"/>
                      <w:vertAlign w:val="baseline"/>
                      <w:lang w:val="en-US" w:eastAsia="zh-CN"/>
                      <w14:textFill>
                        <w14:solidFill>
                          <w14:schemeClr w14:val="tx1"/>
                        </w14:solidFill>
                      </w14:textFill>
                    </w:rPr>
                    <w:t>化验</w:t>
                  </w:r>
                  <w:commentRangeEnd w:id="49"/>
                  <w:r>
                    <w:commentReference w:id="49"/>
                  </w:r>
                </w:p>
              </w:tc>
              <w:tc>
                <w:tcPr>
                  <w:tcW w:w="1859" w:type="dxa"/>
                  <w:vAlign w:val="center"/>
                </w:tcPr>
                <w:p w14:paraId="654B460A">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农药残留检测仪</w:t>
                  </w:r>
                </w:p>
              </w:tc>
              <w:tc>
                <w:tcPr>
                  <w:tcW w:w="1764" w:type="dxa"/>
                  <w:shd w:val="clear" w:color="auto" w:fill="auto"/>
                  <w:vAlign w:val="center"/>
                </w:tcPr>
                <w:p w14:paraId="3CF12287">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6BE05E84">
                  <w:pPr>
                    <w:jc w:val="center"/>
                    <w:rPr>
                      <w:rFonts w:hint="default"/>
                      <w:color w:val="000000" w:themeColor="text1"/>
                      <w:sz w:val="21"/>
                      <w:szCs w:val="21"/>
                      <w:lang w:val="en-US" w:eastAsia="zh-CN"/>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vAlign w:val="center"/>
                </w:tcPr>
                <w:p w14:paraId="6D95594A">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r w14:paraId="1F5AA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3543DA78">
                  <w:pPr>
                    <w:jc w:val="center"/>
                    <w:rPr>
                      <w:color w:val="000000" w:themeColor="text1"/>
                      <w:sz w:val="21"/>
                      <w:szCs w:val="21"/>
                      <w:vertAlign w:val="baseline"/>
                      <w14:textFill>
                        <w14:solidFill>
                          <w14:schemeClr w14:val="tx1"/>
                        </w14:solidFill>
                      </w14:textFill>
                    </w:rPr>
                  </w:pPr>
                </w:p>
              </w:tc>
              <w:tc>
                <w:tcPr>
                  <w:tcW w:w="1499" w:type="dxa"/>
                  <w:vMerge w:val="continue"/>
                  <w:vAlign w:val="center"/>
                </w:tcPr>
                <w:p w14:paraId="696BD1E4">
                  <w:pPr>
                    <w:jc w:val="center"/>
                    <w:rPr>
                      <w:color w:val="000000" w:themeColor="text1"/>
                      <w:sz w:val="21"/>
                      <w:szCs w:val="21"/>
                      <w:vertAlign w:val="baseline"/>
                      <w14:textFill>
                        <w14:solidFill>
                          <w14:schemeClr w14:val="tx1"/>
                        </w14:solidFill>
                      </w14:textFill>
                    </w:rPr>
                  </w:pPr>
                </w:p>
              </w:tc>
              <w:tc>
                <w:tcPr>
                  <w:tcW w:w="964" w:type="dxa"/>
                  <w:vMerge w:val="continue"/>
                  <w:vAlign w:val="center"/>
                </w:tcPr>
                <w:p w14:paraId="66ACD291">
                  <w:pPr>
                    <w:jc w:val="center"/>
                    <w:rPr>
                      <w:color w:val="000000" w:themeColor="text1"/>
                      <w:sz w:val="21"/>
                      <w:szCs w:val="21"/>
                      <w:vertAlign w:val="baseline"/>
                      <w14:textFill>
                        <w14:solidFill>
                          <w14:schemeClr w14:val="tx1"/>
                        </w14:solidFill>
                      </w14:textFill>
                    </w:rPr>
                  </w:pPr>
                </w:p>
              </w:tc>
              <w:tc>
                <w:tcPr>
                  <w:tcW w:w="1859" w:type="dxa"/>
                  <w:vAlign w:val="center"/>
                </w:tcPr>
                <w:p w14:paraId="19ED3086">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ATP荧光检测仪</w:t>
                  </w:r>
                </w:p>
              </w:tc>
              <w:tc>
                <w:tcPr>
                  <w:tcW w:w="1764" w:type="dxa"/>
                  <w:shd w:val="clear" w:color="auto" w:fill="auto"/>
                  <w:vAlign w:val="center"/>
                </w:tcPr>
                <w:p w14:paraId="1242FF8D">
                  <w:pPr>
                    <w:jc w:val="center"/>
                    <w:rPr>
                      <w:rFonts w:hint="eastAsia"/>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数量</w:t>
                  </w:r>
                </w:p>
              </w:tc>
              <w:tc>
                <w:tcPr>
                  <w:tcW w:w="1289" w:type="dxa"/>
                  <w:vAlign w:val="center"/>
                </w:tcPr>
                <w:p w14:paraId="1AEEC7EE">
                  <w:pPr>
                    <w:jc w:val="center"/>
                    <w:rPr>
                      <w:rFonts w:hint="eastAsia" w:eastAsia="宋体"/>
                      <w:color w:val="000000" w:themeColor="text1"/>
                      <w:sz w:val="21"/>
                      <w:szCs w:val="21"/>
                      <w:lang w:val="en-US" w:eastAsia="zh-CN"/>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w:t>
                  </w:r>
                </w:p>
              </w:tc>
              <w:tc>
                <w:tcPr>
                  <w:tcW w:w="1322" w:type="dxa"/>
                  <w:vAlign w:val="center"/>
                </w:tcPr>
                <w:p w14:paraId="63E68400">
                  <w:pPr>
                    <w:jc w:val="center"/>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台</w:t>
                  </w:r>
                </w:p>
              </w:tc>
            </w:tr>
          </w:tbl>
          <w:p w14:paraId="16CBB7B2">
            <w:pPr>
              <w:pStyle w:val="33"/>
              <w:widowControl/>
              <w:adjustRightInd/>
              <w:ind w:firstLine="482"/>
              <w:jc w:val="both"/>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5、主要原辅材料及能源消耗</w:t>
            </w:r>
          </w:p>
          <w:p w14:paraId="62F8C30C">
            <w:pPr>
              <w:pStyle w:val="19"/>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t>表2-</w:t>
            </w:r>
            <w:r>
              <w:rPr>
                <w:rFonts w:hint="eastAsia" w:ascii="Times New Roman" w:hAnsi="Times New Roman" w:cs="Times New Roman"/>
                <w:b/>
                <w:color w:val="000000"/>
                <w:sz w:val="24"/>
                <w:szCs w:val="24"/>
                <w:lang w:val="en-US" w:eastAsia="zh-CN"/>
              </w:rPr>
              <w:t xml:space="preserve">5  </w:t>
            </w:r>
            <w:r>
              <w:rPr>
                <w:rFonts w:hint="default" w:ascii="Times New Roman" w:hAnsi="Times New Roman" w:eastAsia="宋体" w:cs="Times New Roman"/>
                <w:b/>
                <w:color w:val="000000"/>
                <w:sz w:val="24"/>
                <w:szCs w:val="24"/>
              </w:rPr>
              <w:t>项目主要原辅材料及能源消耗一览表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9"/>
              <w:gridCol w:w="1954"/>
              <w:gridCol w:w="989"/>
              <w:gridCol w:w="959"/>
              <w:gridCol w:w="2149"/>
              <w:gridCol w:w="1164"/>
              <w:gridCol w:w="1485"/>
            </w:tblGrid>
            <w:tr w14:paraId="13824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1FD9D02D">
                  <w:pPr>
                    <w:jc w:val="center"/>
                    <w:rPr>
                      <w:color w:val="000000" w:themeColor="text1"/>
                      <w:vertAlign w:val="baseline"/>
                      <w14:textFill>
                        <w14:solidFill>
                          <w14:schemeClr w14:val="tx1"/>
                        </w14:solidFill>
                      </w14:textFill>
                    </w:rPr>
                  </w:pPr>
                  <w:r>
                    <w:rPr>
                      <w:color w:val="000000" w:themeColor="text1"/>
                      <w:vertAlign w:val="baseline"/>
                      <w14:textFill>
                        <w14:solidFill>
                          <w14:schemeClr w14:val="tx1"/>
                        </w14:solidFill>
                      </w14:textFill>
                    </w:rPr>
                    <w:t>序号</w:t>
                  </w:r>
                </w:p>
              </w:tc>
              <w:tc>
                <w:tcPr>
                  <w:tcW w:w="1053" w:type="pct"/>
                  <w:shd w:val="clear" w:color="auto" w:fill="auto"/>
                  <w:vAlign w:val="center"/>
                </w:tcPr>
                <w:p w14:paraId="5BB49482">
                  <w:pPr>
                    <w:pStyle w:val="27"/>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原辅料名称</w:t>
                  </w:r>
                </w:p>
              </w:tc>
              <w:tc>
                <w:tcPr>
                  <w:tcW w:w="533" w:type="pct"/>
                  <w:shd w:val="clear" w:color="auto" w:fill="auto"/>
                  <w:vAlign w:val="center"/>
                </w:tcPr>
                <w:p w14:paraId="053738AF">
                  <w:pPr>
                    <w:pStyle w:val="27"/>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color w:val="000000" w:themeColor="text1"/>
                      <w14:textFill>
                        <w14:solidFill>
                          <w14:schemeClr w14:val="tx1"/>
                        </w14:solidFill>
                      </w14:textFill>
                    </w:rPr>
                    <w:t>年用量</w:t>
                  </w:r>
                </w:p>
              </w:tc>
              <w:tc>
                <w:tcPr>
                  <w:tcW w:w="517" w:type="pct"/>
                  <w:vAlign w:val="center"/>
                </w:tcPr>
                <w:p w14:paraId="34A0E640">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单位</w:t>
                  </w:r>
                </w:p>
              </w:tc>
              <w:tc>
                <w:tcPr>
                  <w:tcW w:w="1156" w:type="pct"/>
                  <w:vAlign w:val="center"/>
                </w:tcPr>
                <w:p w14:paraId="1EBAA980">
                  <w:pPr>
                    <w:jc w:val="center"/>
                    <w:rPr>
                      <w:color w:val="000000" w:themeColor="text1"/>
                      <w:vertAlign w:val="baseline"/>
                      <w14:textFill>
                        <w14:solidFill>
                          <w14:schemeClr w14:val="tx1"/>
                        </w14:solidFill>
                      </w14:textFill>
                    </w:rPr>
                  </w:pPr>
                  <w:r>
                    <w:rPr>
                      <w:color w:val="000000" w:themeColor="text1"/>
                      <w:vertAlign w:val="baseline"/>
                      <w14:textFill>
                        <w14:solidFill>
                          <w14:schemeClr w14:val="tx1"/>
                        </w14:solidFill>
                      </w14:textFill>
                    </w:rPr>
                    <w:t>来源，存储位置</w:t>
                  </w:r>
                </w:p>
              </w:tc>
              <w:tc>
                <w:tcPr>
                  <w:tcW w:w="627" w:type="pct"/>
                  <w:vAlign w:val="center"/>
                </w:tcPr>
                <w:p w14:paraId="03462D26">
                  <w:pPr>
                    <w:jc w:val="center"/>
                    <w:rPr>
                      <w:color w:val="000000" w:themeColor="text1"/>
                      <w:vertAlign w:val="baseline"/>
                      <w14:textFill>
                        <w14:solidFill>
                          <w14:schemeClr w14:val="tx1"/>
                        </w14:solidFill>
                      </w14:textFill>
                    </w:rPr>
                  </w:pPr>
                  <w:r>
                    <w:rPr>
                      <w:color w:val="000000" w:themeColor="text1"/>
                      <w:vertAlign w:val="baseline"/>
                      <w14:textFill>
                        <w14:solidFill>
                          <w14:schemeClr w14:val="tx1"/>
                        </w14:solidFill>
                      </w14:textFill>
                    </w:rPr>
                    <w:t>厂区最大存储量</w:t>
                  </w:r>
                </w:p>
              </w:tc>
              <w:tc>
                <w:tcPr>
                  <w:tcW w:w="797" w:type="pct"/>
                  <w:vAlign w:val="center"/>
                </w:tcPr>
                <w:p w14:paraId="010A89B3">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备注</w:t>
                  </w:r>
                </w:p>
              </w:tc>
            </w:tr>
            <w:tr w14:paraId="1272D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4AB874A2">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w:t>
                  </w:r>
                </w:p>
              </w:tc>
              <w:tc>
                <w:tcPr>
                  <w:tcW w:w="1053" w:type="pct"/>
                  <w:shd w:val="clear" w:color="auto" w:fill="auto"/>
                  <w:vAlign w:val="center"/>
                </w:tcPr>
                <w:p w14:paraId="4FD00F51">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面粉</w:t>
                  </w:r>
                </w:p>
              </w:tc>
              <w:tc>
                <w:tcPr>
                  <w:tcW w:w="533" w:type="pct"/>
                  <w:vAlign w:val="center"/>
                </w:tcPr>
                <w:p w14:paraId="5F783AF5">
                  <w:pPr>
                    <w:jc w:val="center"/>
                    <w:rPr>
                      <w:color w:val="000000" w:themeColor="text1"/>
                      <w:sz w:val="21"/>
                      <w:szCs w:val="21"/>
                      <w:vertAlign w:val="baseline"/>
                      <w14:textFill>
                        <w14:solidFill>
                          <w14:schemeClr w14:val="tx1"/>
                        </w14:solidFill>
                      </w14:textFill>
                    </w:rPr>
                  </w:pPr>
                  <w:r>
                    <w:rPr>
                      <w:rFonts w:hint="eastAsia"/>
                      <w:color w:val="000000" w:themeColor="text1"/>
                      <w:szCs w:val="21"/>
                      <w:lang w:val="en-US" w:eastAsia="zh-CN"/>
                      <w14:textFill>
                        <w14:solidFill>
                          <w14:schemeClr w14:val="tx1"/>
                        </w14:solidFill>
                      </w14:textFill>
                    </w:rPr>
                    <w:t>24</w:t>
                  </w:r>
                  <w:r>
                    <w:rPr>
                      <w:rFonts w:hint="eastAsia"/>
                      <w:color w:val="000000" w:themeColor="text1"/>
                      <w:szCs w:val="21"/>
                      <w14:textFill>
                        <w14:solidFill>
                          <w14:schemeClr w14:val="tx1"/>
                        </w14:solidFill>
                      </w14:textFill>
                    </w:rPr>
                    <w:t>0</w:t>
                  </w:r>
                </w:p>
              </w:tc>
              <w:tc>
                <w:tcPr>
                  <w:tcW w:w="517" w:type="pct"/>
                  <w:vAlign w:val="center"/>
                </w:tcPr>
                <w:p w14:paraId="32096642">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156" w:type="pct"/>
                  <w:vAlign w:val="center"/>
                </w:tcPr>
                <w:p w14:paraId="074B016D">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eastAsia="宋体"/>
                      <w:color w:val="000000" w:themeColor="text1"/>
                      <w:sz w:val="21"/>
                      <w:szCs w:val="21"/>
                      <w:vertAlign w:val="baseline"/>
                      <w:lang w:val="en-US" w:eastAsia="zh-CN"/>
                      <w14:textFill>
                        <w14:solidFill>
                          <w14:schemeClr w14:val="tx1"/>
                        </w14:solidFill>
                      </w14:textFill>
                    </w:rPr>
                    <w:t>主食副食库</w:t>
                  </w:r>
                </w:p>
              </w:tc>
              <w:tc>
                <w:tcPr>
                  <w:tcW w:w="627" w:type="pct"/>
                  <w:vAlign w:val="center"/>
                </w:tcPr>
                <w:p w14:paraId="29F185C8">
                  <w:pPr>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30t</w:t>
                  </w:r>
                </w:p>
              </w:tc>
              <w:tc>
                <w:tcPr>
                  <w:tcW w:w="797" w:type="pct"/>
                  <w:vAlign w:val="center"/>
                </w:tcPr>
                <w:p w14:paraId="5BBDAAA3">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493E8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007B42C4">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2</w:t>
                  </w:r>
                </w:p>
              </w:tc>
              <w:tc>
                <w:tcPr>
                  <w:tcW w:w="1053" w:type="pct"/>
                  <w:shd w:val="clear" w:color="auto" w:fill="auto"/>
                  <w:vAlign w:val="center"/>
                </w:tcPr>
                <w:p w14:paraId="3A12EC98">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大米</w:t>
                  </w:r>
                </w:p>
              </w:tc>
              <w:tc>
                <w:tcPr>
                  <w:tcW w:w="533" w:type="pct"/>
                  <w:vAlign w:val="center"/>
                </w:tcPr>
                <w:p w14:paraId="58BB675F">
                  <w:pPr>
                    <w:jc w:val="center"/>
                    <w:rPr>
                      <w:rFonts w:hint="default"/>
                      <w:color w:val="000000" w:themeColor="text1"/>
                      <w:sz w:val="21"/>
                      <w:szCs w:val="21"/>
                      <w:vertAlign w:val="baseline"/>
                      <w:lang w:val="en-US"/>
                      <w14:textFill>
                        <w14:solidFill>
                          <w14:schemeClr w14:val="tx1"/>
                        </w14:solidFill>
                      </w14:textFill>
                    </w:rPr>
                  </w:pPr>
                  <w:r>
                    <w:rPr>
                      <w:rFonts w:hint="eastAsia"/>
                      <w:color w:val="000000" w:themeColor="text1"/>
                      <w:u w:val="none"/>
                      <w:lang w:val="en-US" w:eastAsia="zh-CN"/>
                      <w14:textFill>
                        <w14:solidFill>
                          <w14:schemeClr w14:val="tx1"/>
                        </w14:solidFill>
                      </w14:textFill>
                    </w:rPr>
                    <w:t>660</w:t>
                  </w:r>
                </w:p>
              </w:tc>
              <w:tc>
                <w:tcPr>
                  <w:tcW w:w="517" w:type="pct"/>
                  <w:vAlign w:val="center"/>
                </w:tcPr>
                <w:p w14:paraId="6EF2ADE3">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156" w:type="pct"/>
                  <w:vAlign w:val="center"/>
                </w:tcPr>
                <w:p w14:paraId="17E08CCC">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eastAsia="宋体"/>
                      <w:color w:val="000000" w:themeColor="text1"/>
                      <w:sz w:val="21"/>
                      <w:szCs w:val="21"/>
                      <w:vertAlign w:val="baseline"/>
                      <w:lang w:val="en-US" w:eastAsia="zh-CN"/>
                      <w14:textFill>
                        <w14:solidFill>
                          <w14:schemeClr w14:val="tx1"/>
                        </w14:solidFill>
                      </w14:textFill>
                    </w:rPr>
                    <w:t>主食副食库</w:t>
                  </w:r>
                </w:p>
              </w:tc>
              <w:tc>
                <w:tcPr>
                  <w:tcW w:w="627" w:type="pct"/>
                  <w:vAlign w:val="center"/>
                </w:tcPr>
                <w:p w14:paraId="66ACC7BC">
                  <w:pPr>
                    <w:jc w:val="center"/>
                    <w:rPr>
                      <w:rFonts w:hint="default" w:eastAsia="宋体"/>
                      <w:color w:val="000000" w:themeColor="text1"/>
                      <w:highlight w:val="none"/>
                      <w:vertAlign w:val="baseline"/>
                      <w:lang w:val="en-US" w:eastAsia="zh-CN"/>
                      <w14:textFill>
                        <w14:solidFill>
                          <w14:schemeClr w14:val="tx1"/>
                        </w14:solidFill>
                      </w14:textFill>
                    </w:rPr>
                  </w:pPr>
                  <w:commentRangeStart w:id="50"/>
                  <w:r>
                    <w:rPr>
                      <w:rFonts w:hint="eastAsia"/>
                      <w:color w:val="000000" w:themeColor="text1"/>
                      <w:highlight w:val="none"/>
                      <w:vertAlign w:val="baseline"/>
                      <w:lang w:val="en-US" w:eastAsia="zh-CN"/>
                      <w14:textFill>
                        <w14:solidFill>
                          <w14:schemeClr w14:val="tx1"/>
                        </w14:solidFill>
                      </w14:textFill>
                    </w:rPr>
                    <w:t>80t</w:t>
                  </w:r>
                  <w:commentRangeEnd w:id="50"/>
                  <w:r>
                    <w:commentReference w:id="50"/>
                  </w:r>
                </w:p>
              </w:tc>
              <w:tc>
                <w:tcPr>
                  <w:tcW w:w="797" w:type="pct"/>
                  <w:vAlign w:val="center"/>
                </w:tcPr>
                <w:p w14:paraId="278C7412">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1CAE4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3FA12F49">
                  <w:pPr>
                    <w:jc w:val="center"/>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3</w:t>
                  </w:r>
                </w:p>
              </w:tc>
              <w:tc>
                <w:tcPr>
                  <w:tcW w:w="1053" w:type="pct"/>
                  <w:shd w:val="clear" w:color="auto" w:fill="auto"/>
                  <w:vAlign w:val="center"/>
                </w:tcPr>
                <w:p w14:paraId="2D8A7856">
                  <w:pPr>
                    <w:jc w:val="center"/>
                    <w:rPr>
                      <w:ins w:id="8" w:author="Administrator" w:date="2025-10-03T22:15:55Z"/>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面条</w:t>
                  </w:r>
                </w:p>
                <w:p w14:paraId="59902B47">
                  <w:pPr>
                    <w:jc w:val="center"/>
                    <w:rPr>
                      <w:ins w:id="9" w:author="Administrator" w:date="2025-10-03T22:16:08Z"/>
                      <w:rFonts w:hint="eastAsia"/>
                      <w:color w:val="000000" w:themeColor="text1"/>
                      <w:szCs w:val="21"/>
                      <w:lang w:val="en-US" w:eastAsia="zh-CN"/>
                      <w14:textFill>
                        <w14:solidFill>
                          <w14:schemeClr w14:val="tx1"/>
                        </w14:solidFill>
                      </w14:textFill>
                    </w:rPr>
                  </w:pPr>
                  <w:ins w:id="10" w:author="Administrator" w:date="2025-10-03T22:15:56Z">
                    <w:r>
                      <w:rPr>
                        <w:rFonts w:hint="eastAsia"/>
                        <w:color w:val="000000" w:themeColor="text1"/>
                        <w:szCs w:val="21"/>
                        <w:lang w:val="en-US" w:eastAsia="zh-CN"/>
                        <w14:textFill>
                          <w14:solidFill>
                            <w14:schemeClr w14:val="tx1"/>
                          </w14:solidFill>
                        </w14:textFill>
                      </w:rPr>
                      <w:t>不</w:t>
                    </w:r>
                  </w:ins>
                  <w:ins w:id="11" w:author="Administrator" w:date="2025-10-03T22:16:00Z">
                    <w:r>
                      <w:rPr>
                        <w:rFonts w:hint="eastAsia"/>
                        <w:color w:val="000000" w:themeColor="text1"/>
                        <w:szCs w:val="21"/>
                        <w:lang w:val="en-US" w:eastAsia="zh-CN"/>
                        <w14:textFill>
                          <w14:solidFill>
                            <w14:schemeClr w14:val="tx1"/>
                          </w14:solidFill>
                        </w14:textFill>
                      </w:rPr>
                      <w:t>自己</w:t>
                    </w:r>
                  </w:ins>
                  <w:ins w:id="12" w:author="Administrator" w:date="2025-10-03T22:16:01Z">
                    <w:r>
                      <w:rPr>
                        <w:rFonts w:hint="eastAsia"/>
                        <w:color w:val="000000" w:themeColor="text1"/>
                        <w:szCs w:val="21"/>
                        <w:lang w:val="en-US" w:eastAsia="zh-CN"/>
                        <w14:textFill>
                          <w14:solidFill>
                            <w14:schemeClr w14:val="tx1"/>
                          </w14:solidFill>
                        </w14:textFill>
                      </w:rPr>
                      <w:t>生产，</w:t>
                    </w:r>
                  </w:ins>
                  <w:ins w:id="13" w:author="Administrator" w:date="2025-10-03T22:16:03Z">
                    <w:r>
                      <w:rPr>
                        <w:rFonts w:hint="eastAsia"/>
                        <w:color w:val="000000" w:themeColor="text1"/>
                        <w:szCs w:val="21"/>
                        <w:lang w:val="en-US" w:eastAsia="zh-CN"/>
                        <w14:textFill>
                          <w14:solidFill>
                            <w14:schemeClr w14:val="tx1"/>
                          </w14:solidFill>
                        </w14:textFill>
                      </w:rPr>
                      <w:t>直接</w:t>
                    </w:r>
                  </w:ins>
                  <w:ins w:id="14" w:author="Administrator" w:date="2025-10-03T22:16:04Z">
                    <w:r>
                      <w:rPr>
                        <w:rFonts w:hint="eastAsia"/>
                        <w:color w:val="000000" w:themeColor="text1"/>
                        <w:szCs w:val="21"/>
                        <w:lang w:val="en-US" w:eastAsia="zh-CN"/>
                        <w14:textFill>
                          <w14:solidFill>
                            <w14:schemeClr w14:val="tx1"/>
                          </w14:solidFill>
                        </w14:textFill>
                      </w:rPr>
                      <w:t>外购</w:t>
                    </w:r>
                  </w:ins>
                  <w:ins w:id="15" w:author="Administrator" w:date="2025-10-03T22:16:05Z">
                    <w:r>
                      <w:rPr>
                        <w:rFonts w:hint="eastAsia"/>
                        <w:color w:val="000000" w:themeColor="text1"/>
                        <w:szCs w:val="21"/>
                        <w:lang w:val="en-US" w:eastAsia="zh-CN"/>
                        <w14:textFill>
                          <w14:solidFill>
                            <w14:schemeClr w14:val="tx1"/>
                          </w14:solidFill>
                        </w14:textFill>
                      </w:rPr>
                      <w:t>成品</w:t>
                    </w:r>
                  </w:ins>
                  <w:ins w:id="16" w:author="Administrator" w:date="2025-10-03T22:16:06Z">
                    <w:r>
                      <w:rPr>
                        <w:rFonts w:hint="eastAsia"/>
                        <w:color w:val="000000" w:themeColor="text1"/>
                        <w:szCs w:val="21"/>
                        <w:lang w:val="en-US" w:eastAsia="zh-CN"/>
                        <w14:textFill>
                          <w14:solidFill>
                            <w14:schemeClr w14:val="tx1"/>
                          </w14:solidFill>
                        </w14:textFill>
                      </w:rPr>
                      <w:t>面条</w:t>
                    </w:r>
                  </w:ins>
                  <w:ins w:id="17" w:author="Administrator" w:date="2025-10-03T22:16:07Z">
                    <w:r>
                      <w:rPr>
                        <w:rFonts w:hint="eastAsia"/>
                        <w:color w:val="000000" w:themeColor="text1"/>
                        <w:szCs w:val="21"/>
                        <w:lang w:val="en-US" w:eastAsia="zh-CN"/>
                        <w14:textFill>
                          <w14:solidFill>
                            <w14:schemeClr w14:val="tx1"/>
                          </w14:solidFill>
                        </w14:textFill>
                      </w:rPr>
                      <w:t>吗</w:t>
                    </w:r>
                  </w:ins>
                  <w:ins w:id="18" w:author="Administrator" w:date="2025-10-03T22:16:08Z">
                    <w:r>
                      <w:rPr>
                        <w:rFonts w:hint="eastAsia"/>
                        <w:color w:val="000000" w:themeColor="text1"/>
                        <w:szCs w:val="21"/>
                        <w:lang w:val="en-US" w:eastAsia="zh-CN"/>
                        <w14:textFill>
                          <w14:solidFill>
                            <w14:schemeClr w14:val="tx1"/>
                          </w14:solidFill>
                        </w14:textFill>
                      </w:rPr>
                      <w:t>？</w:t>
                    </w:r>
                  </w:ins>
                </w:p>
                <w:p w14:paraId="7734A3E5">
                  <w:pPr>
                    <w:jc w:val="center"/>
                    <w:rPr>
                      <w:rFonts w:hint="default"/>
                      <w:color w:val="000000" w:themeColor="text1"/>
                      <w:szCs w:val="21"/>
                      <w:lang w:val="en-US" w:eastAsia="zh-CN"/>
                      <w14:textFill>
                        <w14:solidFill>
                          <w14:schemeClr w14:val="tx1"/>
                        </w14:solidFill>
                      </w14:textFill>
                    </w:rPr>
                  </w:pPr>
                  <w:ins w:id="19" w:author="Administrator" w:date="2025-10-03T22:16:09Z">
                    <w:r>
                      <w:rPr>
                        <w:rFonts w:hint="eastAsia"/>
                        <w:color w:val="000000" w:themeColor="text1"/>
                        <w:szCs w:val="21"/>
                        <w:lang w:val="en-US" w:eastAsia="zh-CN"/>
                        <w14:textFill>
                          <w14:solidFill>
                            <w14:schemeClr w14:val="tx1"/>
                          </w14:solidFill>
                        </w14:textFill>
                      </w:rPr>
                      <w:t>干</w:t>
                    </w:r>
                  </w:ins>
                  <w:ins w:id="20" w:author="Administrator" w:date="2025-10-03T22:16:11Z">
                    <w:r>
                      <w:rPr>
                        <w:rFonts w:hint="eastAsia"/>
                        <w:color w:val="000000" w:themeColor="text1"/>
                        <w:szCs w:val="21"/>
                        <w:lang w:val="en-US" w:eastAsia="zh-CN"/>
                        <w14:textFill>
                          <w14:solidFill>
                            <w14:schemeClr w14:val="tx1"/>
                          </w14:solidFill>
                        </w14:textFill>
                      </w:rPr>
                      <w:t>挂面，</w:t>
                    </w:r>
                  </w:ins>
                  <w:ins w:id="21" w:author="Administrator" w:date="2025-10-03T22:16:12Z">
                    <w:r>
                      <w:rPr>
                        <w:rFonts w:hint="eastAsia"/>
                        <w:color w:val="000000" w:themeColor="text1"/>
                        <w:szCs w:val="21"/>
                        <w:lang w:val="en-US" w:eastAsia="zh-CN"/>
                        <w14:textFill>
                          <w14:solidFill>
                            <w14:schemeClr w14:val="tx1"/>
                          </w14:solidFill>
                        </w14:textFill>
                      </w:rPr>
                      <w:t>还是</w:t>
                    </w:r>
                  </w:ins>
                  <w:ins w:id="22" w:author="Administrator" w:date="2025-10-03T22:16:13Z">
                    <w:r>
                      <w:rPr>
                        <w:rFonts w:hint="eastAsia"/>
                        <w:color w:val="000000" w:themeColor="text1"/>
                        <w:szCs w:val="21"/>
                        <w:lang w:val="en-US" w:eastAsia="zh-CN"/>
                        <w14:textFill>
                          <w14:solidFill>
                            <w14:schemeClr w14:val="tx1"/>
                          </w14:solidFill>
                        </w14:textFill>
                      </w:rPr>
                      <w:t>湿</w:t>
                    </w:r>
                  </w:ins>
                  <w:ins w:id="23" w:author="Administrator" w:date="2025-10-03T22:16:15Z">
                    <w:r>
                      <w:rPr>
                        <w:rFonts w:hint="eastAsia"/>
                        <w:color w:val="000000" w:themeColor="text1"/>
                        <w:szCs w:val="21"/>
                        <w:lang w:val="en-US" w:eastAsia="zh-CN"/>
                        <w14:textFill>
                          <w14:solidFill>
                            <w14:schemeClr w14:val="tx1"/>
                          </w14:solidFill>
                        </w14:textFill>
                      </w:rPr>
                      <w:t>面条</w:t>
                    </w:r>
                  </w:ins>
                  <w:ins w:id="24" w:author="Administrator" w:date="2025-10-03T22:16:19Z">
                    <w:r>
                      <w:rPr>
                        <w:rFonts w:hint="eastAsia"/>
                        <w:color w:val="000000" w:themeColor="text1"/>
                        <w:szCs w:val="21"/>
                        <w:lang w:val="en-US" w:eastAsia="zh-CN"/>
                        <w14:textFill>
                          <w14:solidFill>
                            <w14:schemeClr w14:val="tx1"/>
                          </w14:solidFill>
                        </w14:textFill>
                      </w:rPr>
                      <w:t>？？</w:t>
                    </w:r>
                  </w:ins>
                  <w:ins w:id="25" w:author="Administrator" w:date="2025-10-03T22:16:20Z">
                    <w:r>
                      <w:rPr>
                        <w:rFonts w:hint="eastAsia"/>
                        <w:color w:val="000000" w:themeColor="text1"/>
                        <w:szCs w:val="21"/>
                        <w:lang w:val="en-US" w:eastAsia="zh-CN"/>
                        <w14:textFill>
                          <w14:solidFill>
                            <w14:schemeClr w14:val="tx1"/>
                          </w14:solidFill>
                        </w14:textFill>
                      </w:rPr>
                      <w:t>？</w:t>
                    </w:r>
                  </w:ins>
                  <w:ins w:id="26" w:author="Administrator" w:date="2025-10-03T22:16:23Z">
                    <w:r>
                      <w:rPr>
                        <w:rFonts w:hint="eastAsia"/>
                        <w:color w:val="000000" w:themeColor="text1"/>
                        <w:szCs w:val="21"/>
                        <w:lang w:val="en-US" w:eastAsia="zh-CN"/>
                        <w14:textFill>
                          <w14:solidFill>
                            <w14:schemeClr w14:val="tx1"/>
                          </w14:solidFill>
                        </w14:textFill>
                      </w:rPr>
                      <w:t>（</w:t>
                    </w:r>
                  </w:ins>
                  <w:ins w:id="27" w:author="Administrator" w:date="2025-10-03T22:16:25Z">
                    <w:r>
                      <w:rPr>
                        <w:rFonts w:hint="eastAsia"/>
                        <w:color w:val="000000" w:themeColor="text1"/>
                        <w:szCs w:val="21"/>
                        <w:lang w:val="en-US" w:eastAsia="zh-CN"/>
                        <w14:textFill>
                          <w14:solidFill>
                            <w14:schemeClr w14:val="tx1"/>
                          </w14:solidFill>
                        </w14:textFill>
                      </w:rPr>
                      <w:t>如果是</w:t>
                    </w:r>
                  </w:ins>
                  <w:ins w:id="28" w:author="Administrator" w:date="2025-10-03T22:16:29Z">
                    <w:r>
                      <w:rPr>
                        <w:rFonts w:hint="eastAsia"/>
                        <w:color w:val="000000" w:themeColor="text1"/>
                        <w:szCs w:val="21"/>
                        <w:lang w:val="en-US" w:eastAsia="zh-CN"/>
                        <w14:textFill>
                          <w14:solidFill>
                            <w14:schemeClr w14:val="tx1"/>
                          </w14:solidFill>
                        </w14:textFill>
                      </w:rPr>
                      <w:t>湿</w:t>
                    </w:r>
                  </w:ins>
                  <w:ins w:id="29" w:author="Administrator" w:date="2025-10-03T22:16:30Z">
                    <w:r>
                      <w:rPr>
                        <w:rFonts w:hint="eastAsia"/>
                        <w:color w:val="000000" w:themeColor="text1"/>
                        <w:szCs w:val="21"/>
                        <w:lang w:val="en-US" w:eastAsia="zh-CN"/>
                        <w14:textFill>
                          <w14:solidFill>
                            <w14:schemeClr w14:val="tx1"/>
                          </w14:solidFill>
                        </w14:textFill>
                      </w:rPr>
                      <w:t>品，</w:t>
                    </w:r>
                  </w:ins>
                  <w:ins w:id="30" w:author="Administrator" w:date="2025-10-03T22:16:31Z">
                    <w:r>
                      <w:rPr>
                        <w:rFonts w:hint="eastAsia"/>
                        <w:color w:val="000000" w:themeColor="text1"/>
                        <w:szCs w:val="21"/>
                        <w:lang w:val="en-US" w:eastAsia="zh-CN"/>
                        <w14:textFill>
                          <w14:solidFill>
                            <w14:schemeClr w14:val="tx1"/>
                          </w14:solidFill>
                        </w14:textFill>
                      </w:rPr>
                      <w:t>需要</w:t>
                    </w:r>
                  </w:ins>
                  <w:ins w:id="31" w:author="Administrator" w:date="2025-10-03T22:16:32Z">
                    <w:r>
                      <w:rPr>
                        <w:rFonts w:hint="eastAsia"/>
                        <w:color w:val="000000" w:themeColor="text1"/>
                        <w:szCs w:val="21"/>
                        <w:lang w:val="en-US" w:eastAsia="zh-CN"/>
                        <w14:textFill>
                          <w14:solidFill>
                            <w14:schemeClr w14:val="tx1"/>
                          </w14:solidFill>
                        </w14:textFill>
                      </w:rPr>
                      <w:t>考虑</w:t>
                    </w:r>
                  </w:ins>
                  <w:ins w:id="32" w:author="Administrator" w:date="2025-10-03T22:16:33Z">
                    <w:r>
                      <w:rPr>
                        <w:rFonts w:hint="eastAsia"/>
                        <w:color w:val="000000" w:themeColor="text1"/>
                        <w:szCs w:val="21"/>
                        <w:lang w:val="en-US" w:eastAsia="zh-CN"/>
                        <w14:textFill>
                          <w14:solidFill>
                            <w14:schemeClr w14:val="tx1"/>
                          </w14:solidFill>
                        </w14:textFill>
                      </w:rPr>
                      <w:t>含水率</w:t>
                    </w:r>
                  </w:ins>
                  <w:ins w:id="33" w:author="Administrator" w:date="2025-10-03T22:16:34Z">
                    <w:r>
                      <w:rPr>
                        <w:rFonts w:hint="eastAsia"/>
                        <w:color w:val="000000" w:themeColor="text1"/>
                        <w:szCs w:val="21"/>
                        <w:lang w:val="en-US" w:eastAsia="zh-CN"/>
                        <w14:textFill>
                          <w14:solidFill>
                            <w14:schemeClr w14:val="tx1"/>
                          </w14:solidFill>
                        </w14:textFill>
                      </w:rPr>
                      <w:t>问题</w:t>
                    </w:r>
                  </w:ins>
                  <w:ins w:id="34" w:author="Administrator" w:date="2025-10-03T22:16:23Z">
                    <w:r>
                      <w:rPr>
                        <w:rFonts w:hint="eastAsia"/>
                        <w:color w:val="000000" w:themeColor="text1"/>
                        <w:szCs w:val="21"/>
                        <w:lang w:val="en-US" w:eastAsia="zh-CN"/>
                        <w14:textFill>
                          <w14:solidFill>
                            <w14:schemeClr w14:val="tx1"/>
                          </w14:solidFill>
                        </w14:textFill>
                      </w:rPr>
                      <w:t>）</w:t>
                    </w:r>
                  </w:ins>
                </w:p>
              </w:tc>
              <w:tc>
                <w:tcPr>
                  <w:tcW w:w="533" w:type="pct"/>
                  <w:vAlign w:val="center"/>
                </w:tcPr>
                <w:p w14:paraId="4C0ACAC8">
                  <w:pPr>
                    <w:jc w:val="center"/>
                    <w:rPr>
                      <w:rFonts w:hint="default"/>
                      <w:color w:val="000000" w:themeColor="text1"/>
                      <w:u w:val="none"/>
                      <w:lang w:val="en-US" w:eastAsia="zh-CN"/>
                      <w14:textFill>
                        <w14:solidFill>
                          <w14:schemeClr w14:val="tx1"/>
                        </w14:solidFill>
                      </w14:textFill>
                    </w:rPr>
                  </w:pPr>
                  <w:r>
                    <w:rPr>
                      <w:rFonts w:hint="eastAsia"/>
                      <w:color w:val="000000" w:themeColor="text1"/>
                      <w:u w:val="none"/>
                      <w:lang w:val="en-US" w:eastAsia="zh-CN"/>
                      <w14:textFill>
                        <w14:solidFill>
                          <w14:schemeClr w14:val="tx1"/>
                        </w14:solidFill>
                      </w14:textFill>
                    </w:rPr>
                    <w:t>720</w:t>
                  </w:r>
                </w:p>
              </w:tc>
              <w:tc>
                <w:tcPr>
                  <w:tcW w:w="517" w:type="pct"/>
                  <w:vAlign w:val="center"/>
                </w:tcPr>
                <w:p w14:paraId="5724C7D8">
                  <w:pPr>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156" w:type="pct"/>
                  <w:shd w:val="clear" w:color="auto" w:fill="auto"/>
                  <w:vAlign w:val="center"/>
                </w:tcPr>
                <w:p w14:paraId="4DD84F32">
                  <w:pPr>
                    <w:jc w:val="center"/>
                    <w:rPr>
                      <w:rFonts w:hint="eastAsia" w:ascii="Times New Roman" w:hAnsi="Times New Roman" w:eastAsia="宋体" w:cs="Times New Roman"/>
                      <w:color w:val="000000" w:themeColor="text1"/>
                      <w:kern w:val="2"/>
                      <w:sz w:val="21"/>
                      <w:szCs w:val="24"/>
                      <w:vertAlign w:val="baseline"/>
                      <w:lang w:val="en-US" w:eastAsia="zh-CN" w:bidi="ar-SA"/>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eastAsia="宋体"/>
                      <w:color w:val="000000" w:themeColor="text1"/>
                      <w:sz w:val="21"/>
                      <w:szCs w:val="21"/>
                      <w:vertAlign w:val="baseline"/>
                      <w:lang w:val="en-US" w:eastAsia="zh-CN"/>
                      <w14:textFill>
                        <w14:solidFill>
                          <w14:schemeClr w14:val="tx1"/>
                        </w14:solidFill>
                      </w14:textFill>
                    </w:rPr>
                    <w:t>主食副食库</w:t>
                  </w:r>
                </w:p>
              </w:tc>
              <w:tc>
                <w:tcPr>
                  <w:tcW w:w="627" w:type="pct"/>
                  <w:vAlign w:val="center"/>
                </w:tcPr>
                <w:p w14:paraId="1B3149C2">
                  <w:pPr>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90t</w:t>
                  </w:r>
                </w:p>
              </w:tc>
              <w:tc>
                <w:tcPr>
                  <w:tcW w:w="797" w:type="pct"/>
                  <w:vAlign w:val="center"/>
                </w:tcPr>
                <w:p w14:paraId="21C5D790">
                  <w:pPr>
                    <w:jc w:val="center"/>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54F3B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3E01568D">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4</w:t>
                  </w:r>
                </w:p>
              </w:tc>
              <w:tc>
                <w:tcPr>
                  <w:tcW w:w="1053" w:type="pct"/>
                  <w:shd w:val="clear" w:color="auto" w:fill="auto"/>
                  <w:vAlign w:val="center"/>
                </w:tcPr>
                <w:p w14:paraId="53D26741">
                  <w:pPr>
                    <w:jc w:val="center"/>
                    <w:rPr>
                      <w:rFonts w:hint="default"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s="Times New Roman"/>
                      <w:color w:val="000000" w:themeColor="text1"/>
                      <w:kern w:val="0"/>
                      <w:sz w:val="21"/>
                      <w:szCs w:val="20"/>
                      <w:lang w:val="en-US" w:eastAsia="zh-CN" w:bidi="ar-SA"/>
                      <w14:textFill>
                        <w14:solidFill>
                          <w14:schemeClr w14:val="tx1"/>
                        </w14:solidFill>
                      </w14:textFill>
                    </w:rPr>
                    <w:t>肉类（包括猪肉、鸡肉、牛肉及鸭肉）</w:t>
                  </w:r>
                </w:p>
              </w:tc>
              <w:tc>
                <w:tcPr>
                  <w:tcW w:w="533" w:type="pct"/>
                  <w:vAlign w:val="center"/>
                </w:tcPr>
                <w:p w14:paraId="2C88FF71">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2120</w:t>
                  </w:r>
                </w:p>
              </w:tc>
              <w:tc>
                <w:tcPr>
                  <w:tcW w:w="517" w:type="pct"/>
                  <w:vAlign w:val="center"/>
                </w:tcPr>
                <w:p w14:paraId="784F2059">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156" w:type="pct"/>
                  <w:vAlign w:val="center"/>
                </w:tcPr>
                <w:p w14:paraId="170BE701">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color w:val="000000" w:themeColor="text1"/>
                      <w:vertAlign w:val="baseline"/>
                      <w:lang w:val="en-US" w:eastAsia="zh-CN"/>
                      <w14:textFill>
                        <w14:solidFill>
                          <w14:schemeClr w14:val="tx1"/>
                        </w14:solidFill>
                      </w14:textFill>
                    </w:rPr>
                    <w:t>原料冷冻库</w:t>
                  </w:r>
                </w:p>
              </w:tc>
              <w:tc>
                <w:tcPr>
                  <w:tcW w:w="627" w:type="pct"/>
                  <w:vAlign w:val="center"/>
                </w:tcPr>
                <w:p w14:paraId="6BDF84EC">
                  <w:pPr>
                    <w:jc w:val="center"/>
                    <w:rPr>
                      <w:rFonts w:hint="default" w:eastAsia="宋体"/>
                      <w:color w:val="000000" w:themeColor="text1"/>
                      <w:highlight w:val="none"/>
                      <w:vertAlign w:val="baseline"/>
                      <w:lang w:val="en-US" w:eastAsia="zh-CN"/>
                      <w14:textFill>
                        <w14:solidFill>
                          <w14:schemeClr w14:val="tx1"/>
                        </w14:solidFill>
                      </w14:textFill>
                    </w:rPr>
                  </w:pPr>
                  <w:commentRangeStart w:id="51"/>
                  <w:r>
                    <w:rPr>
                      <w:rFonts w:hint="eastAsia"/>
                      <w:color w:val="000000" w:themeColor="text1"/>
                      <w:highlight w:val="none"/>
                      <w:vertAlign w:val="baseline"/>
                      <w:lang w:val="en-US" w:eastAsia="zh-CN"/>
                      <w14:textFill>
                        <w14:solidFill>
                          <w14:schemeClr w14:val="tx1"/>
                        </w14:solidFill>
                      </w14:textFill>
                    </w:rPr>
                    <w:t>265t</w:t>
                  </w:r>
                  <w:commentRangeEnd w:id="51"/>
                  <w:r>
                    <w:commentReference w:id="51"/>
                  </w:r>
                </w:p>
              </w:tc>
              <w:tc>
                <w:tcPr>
                  <w:tcW w:w="797" w:type="pct"/>
                  <w:vAlign w:val="center"/>
                </w:tcPr>
                <w:p w14:paraId="4FB067F0">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11894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5AA7A8CF">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5</w:t>
                  </w:r>
                </w:p>
              </w:tc>
              <w:tc>
                <w:tcPr>
                  <w:tcW w:w="1053" w:type="pct"/>
                  <w:shd w:val="clear" w:color="auto" w:fill="auto"/>
                  <w:vAlign w:val="center"/>
                </w:tcPr>
                <w:p w14:paraId="315FC309">
                  <w:pPr>
                    <w:jc w:val="center"/>
                    <w:rPr>
                      <w:rFonts w:hint="eastAsia"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蔬菜</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主要分为叶类菜和球茎菜</w:t>
                  </w:r>
                  <w:r>
                    <w:rPr>
                      <w:rFonts w:hint="eastAsia"/>
                      <w:color w:val="000000" w:themeColor="text1"/>
                      <w:szCs w:val="21"/>
                      <w:lang w:eastAsia="zh-CN"/>
                      <w14:textFill>
                        <w14:solidFill>
                          <w14:schemeClr w14:val="tx1"/>
                        </w14:solidFill>
                      </w14:textFill>
                    </w:rPr>
                    <w:t>）</w:t>
                  </w:r>
                </w:p>
              </w:tc>
              <w:tc>
                <w:tcPr>
                  <w:tcW w:w="533" w:type="pct"/>
                  <w:vAlign w:val="center"/>
                </w:tcPr>
                <w:p w14:paraId="19BDB182">
                  <w:pPr>
                    <w:jc w:val="center"/>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640</w:t>
                  </w:r>
                </w:p>
              </w:tc>
              <w:tc>
                <w:tcPr>
                  <w:tcW w:w="517" w:type="pct"/>
                  <w:vAlign w:val="center"/>
                </w:tcPr>
                <w:p w14:paraId="200B66AD">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156" w:type="pct"/>
                  <w:vAlign w:val="center"/>
                </w:tcPr>
                <w:p w14:paraId="6756B74F">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color w:val="000000" w:themeColor="text1"/>
                      <w:vertAlign w:val="baseline"/>
                      <w:lang w:val="en-US" w:eastAsia="zh-CN"/>
                      <w14:textFill>
                        <w14:solidFill>
                          <w14:schemeClr w14:val="tx1"/>
                        </w14:solidFill>
                      </w14:textFill>
                    </w:rPr>
                    <w:t>原料冷藏库</w:t>
                  </w:r>
                </w:p>
              </w:tc>
              <w:tc>
                <w:tcPr>
                  <w:tcW w:w="627" w:type="pct"/>
                  <w:vAlign w:val="center"/>
                </w:tcPr>
                <w:p w14:paraId="0217F7AB">
                  <w:pPr>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80t</w:t>
                  </w:r>
                </w:p>
              </w:tc>
              <w:tc>
                <w:tcPr>
                  <w:tcW w:w="797" w:type="pct"/>
                  <w:vAlign w:val="center"/>
                </w:tcPr>
                <w:p w14:paraId="06B82B71">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66F52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5CC51E2B">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6</w:t>
                  </w:r>
                </w:p>
              </w:tc>
              <w:tc>
                <w:tcPr>
                  <w:tcW w:w="1053" w:type="pct"/>
                  <w:shd w:val="clear" w:color="auto" w:fill="auto"/>
                  <w:vAlign w:val="center"/>
                </w:tcPr>
                <w:p w14:paraId="42A43424">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食用油</w:t>
                  </w:r>
                </w:p>
              </w:tc>
              <w:tc>
                <w:tcPr>
                  <w:tcW w:w="533" w:type="pct"/>
                  <w:vAlign w:val="center"/>
                </w:tcPr>
                <w:p w14:paraId="05F485F5">
                  <w:pPr>
                    <w:jc w:val="center"/>
                    <w:rPr>
                      <w:rFonts w:hint="default"/>
                      <w:color w:val="000000" w:themeColor="text1"/>
                      <w:sz w:val="21"/>
                      <w:szCs w:val="21"/>
                      <w:vertAlign w:val="baseline"/>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40</w:t>
                  </w:r>
                </w:p>
              </w:tc>
              <w:tc>
                <w:tcPr>
                  <w:tcW w:w="517" w:type="pct"/>
                  <w:vAlign w:val="center"/>
                </w:tcPr>
                <w:p w14:paraId="35B57C3C">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156" w:type="pct"/>
                  <w:vAlign w:val="center"/>
                </w:tcPr>
                <w:p w14:paraId="4DF70012">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仓储车间</w:t>
                  </w:r>
                </w:p>
              </w:tc>
              <w:tc>
                <w:tcPr>
                  <w:tcW w:w="627" w:type="pct"/>
                  <w:vAlign w:val="center"/>
                </w:tcPr>
                <w:p w14:paraId="7F2EF76B">
                  <w:pPr>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5t</w:t>
                  </w:r>
                </w:p>
              </w:tc>
              <w:tc>
                <w:tcPr>
                  <w:tcW w:w="797" w:type="pct"/>
                  <w:vAlign w:val="center"/>
                </w:tcPr>
                <w:p w14:paraId="37372991">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2F379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4C0E0784">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7</w:t>
                  </w:r>
                </w:p>
              </w:tc>
              <w:tc>
                <w:tcPr>
                  <w:tcW w:w="1053" w:type="pct"/>
                  <w:shd w:val="clear" w:color="auto" w:fill="auto"/>
                  <w:vAlign w:val="center"/>
                </w:tcPr>
                <w:p w14:paraId="1679F955">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调味品（主要包括糖、盐、酱油、耗油、番茄酱以及十三香等）</w:t>
                  </w:r>
                </w:p>
              </w:tc>
              <w:tc>
                <w:tcPr>
                  <w:tcW w:w="533" w:type="pct"/>
                  <w:vAlign w:val="center"/>
                </w:tcPr>
                <w:p w14:paraId="5234E2CF">
                  <w:pPr>
                    <w:jc w:val="center"/>
                    <w:rPr>
                      <w:rFonts w:hint="default"/>
                      <w:color w:val="000000" w:themeColor="text1"/>
                      <w:sz w:val="21"/>
                      <w:szCs w:val="21"/>
                      <w:vertAlign w:val="baseline"/>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60</w:t>
                  </w:r>
                </w:p>
              </w:tc>
              <w:tc>
                <w:tcPr>
                  <w:tcW w:w="517" w:type="pct"/>
                  <w:vAlign w:val="center"/>
                </w:tcPr>
                <w:p w14:paraId="30310BFA">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156" w:type="pct"/>
                  <w:vAlign w:val="center"/>
                </w:tcPr>
                <w:p w14:paraId="36DDD914">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仓储车间</w:t>
                  </w:r>
                </w:p>
              </w:tc>
              <w:tc>
                <w:tcPr>
                  <w:tcW w:w="627" w:type="pct"/>
                  <w:vAlign w:val="center"/>
                </w:tcPr>
                <w:p w14:paraId="51247E09">
                  <w:pPr>
                    <w:jc w:val="center"/>
                    <w:rPr>
                      <w:rFonts w:hint="default"/>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8t</w:t>
                  </w:r>
                </w:p>
              </w:tc>
              <w:tc>
                <w:tcPr>
                  <w:tcW w:w="797" w:type="pct"/>
                  <w:vAlign w:val="center"/>
                </w:tcPr>
                <w:p w14:paraId="6AC177F8">
                  <w:pPr>
                    <w:jc w:val="center"/>
                    <w:rPr>
                      <w:color w:val="000000" w:themeColor="text1"/>
                      <w:vertAlign w:val="baseline"/>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658F6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2CBDE110">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8</w:t>
                  </w:r>
                </w:p>
              </w:tc>
              <w:tc>
                <w:tcPr>
                  <w:tcW w:w="1053" w:type="pct"/>
                  <w:shd w:val="clear" w:color="auto" w:fill="auto"/>
                  <w:vAlign w:val="center"/>
                </w:tcPr>
                <w:p w14:paraId="788F8438">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酵母</w:t>
                  </w:r>
                </w:p>
              </w:tc>
              <w:tc>
                <w:tcPr>
                  <w:tcW w:w="533" w:type="pct"/>
                  <w:vAlign w:val="center"/>
                </w:tcPr>
                <w:p w14:paraId="34BC3AD3">
                  <w:pPr>
                    <w:jc w:val="center"/>
                    <w:rPr>
                      <w:rFonts w:hint="default"/>
                      <w:color w:val="000000" w:themeColor="text1"/>
                      <w:sz w:val="21"/>
                      <w:szCs w:val="21"/>
                      <w:vertAlign w:val="baseline"/>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0.6</w:t>
                  </w:r>
                </w:p>
              </w:tc>
              <w:tc>
                <w:tcPr>
                  <w:tcW w:w="517" w:type="pct"/>
                  <w:vAlign w:val="center"/>
                </w:tcPr>
                <w:p w14:paraId="2C094089">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156" w:type="pct"/>
                  <w:vAlign w:val="center"/>
                </w:tcPr>
                <w:p w14:paraId="285337B8">
                  <w:pPr>
                    <w:jc w:val="center"/>
                    <w:rPr>
                      <w:color w:val="000000" w:themeColor="text1"/>
                      <w:vertAlign w:val="baseline"/>
                      <w14:textFill>
                        <w14:solidFill>
                          <w14:schemeClr w14:val="tx1"/>
                        </w14:solidFill>
                      </w14:textFill>
                    </w:rPr>
                  </w:pPr>
                  <w:r>
                    <w:rPr>
                      <w:rFonts w:hint="eastAsia"/>
                      <w:color w:val="000000" w:themeColor="text1"/>
                      <w:vertAlign w:val="baseline"/>
                      <w14:textFill>
                        <w14:solidFill>
                          <w14:schemeClr w14:val="tx1"/>
                        </w14:solidFill>
                      </w14:textFill>
                    </w:rPr>
                    <w:t>外购，</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仓储车间</w:t>
                  </w:r>
                </w:p>
              </w:tc>
              <w:tc>
                <w:tcPr>
                  <w:tcW w:w="627" w:type="pct"/>
                  <w:vAlign w:val="center"/>
                </w:tcPr>
                <w:p w14:paraId="04B86923">
                  <w:pPr>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0.075t</w:t>
                  </w:r>
                </w:p>
              </w:tc>
              <w:tc>
                <w:tcPr>
                  <w:tcW w:w="797" w:type="pct"/>
                  <w:vAlign w:val="center"/>
                </w:tcPr>
                <w:p w14:paraId="45CC3AC6">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外购</w:t>
                  </w:r>
                </w:p>
              </w:tc>
            </w:tr>
            <w:tr w14:paraId="1C78C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613EDA20">
                  <w:pPr>
                    <w:jc w:val="center"/>
                    <w:rPr>
                      <w:rFonts w:hint="default"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9</w:t>
                  </w:r>
                </w:p>
              </w:tc>
              <w:tc>
                <w:tcPr>
                  <w:tcW w:w="1053" w:type="pct"/>
                  <w:shd w:val="clear" w:color="auto" w:fill="auto"/>
                  <w:vAlign w:val="center"/>
                </w:tcPr>
                <w:p w14:paraId="63BE6B60">
                  <w:pPr>
                    <w:jc w:val="center"/>
                    <w:rPr>
                      <w:rFonts w:ascii="Times New Roman" w:hAnsi="Times New Roman" w:eastAsia="宋体" w:cs="Times New Roman"/>
                      <w:color w:val="000000" w:themeColor="text1"/>
                      <w:kern w:val="0"/>
                      <w:sz w:val="21"/>
                      <w:szCs w:val="20"/>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u w:val="none"/>
                      <w:lang w:val="en-US" w:eastAsia="zh-CN" w:bidi="ar-SA"/>
                      <w14:textFill>
                        <w14:solidFill>
                          <w14:schemeClr w14:val="tx1"/>
                        </w14:solidFill>
                      </w14:textFill>
                    </w:rPr>
                    <w:t>制冷剂（R507）</w:t>
                  </w:r>
                </w:p>
              </w:tc>
              <w:tc>
                <w:tcPr>
                  <w:tcW w:w="533" w:type="pct"/>
                  <w:vAlign w:val="center"/>
                </w:tcPr>
                <w:p w14:paraId="5EF15E7A">
                  <w:pPr>
                    <w:jc w:val="center"/>
                    <w:rPr>
                      <w:color w:val="000000" w:themeColor="text1"/>
                      <w:sz w:val="21"/>
                      <w:szCs w:val="21"/>
                      <w:vertAlign w:val="baseline"/>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517" w:type="pct"/>
                  <w:vAlign w:val="center"/>
                </w:tcPr>
                <w:p w14:paraId="06867080">
                  <w:pPr>
                    <w:jc w:val="center"/>
                    <w:rPr>
                      <w:color w:val="000000" w:themeColor="text1"/>
                      <w:vertAlign w:val="baseline"/>
                      <w14:textFill>
                        <w14:solidFill>
                          <w14:schemeClr w14:val="tx1"/>
                        </w14:solidFill>
                      </w14:textFill>
                    </w:rPr>
                  </w:pPr>
                  <w:r>
                    <w:rPr>
                      <w:rFonts w:hint="eastAsia"/>
                      <w:color w:val="000000" w:themeColor="text1"/>
                      <w14:textFill>
                        <w14:solidFill>
                          <w14:schemeClr w14:val="tx1"/>
                        </w14:solidFill>
                      </w14:textFill>
                    </w:rPr>
                    <w:t>t/a</w:t>
                  </w:r>
                </w:p>
              </w:tc>
              <w:tc>
                <w:tcPr>
                  <w:tcW w:w="1156" w:type="pct"/>
                  <w:vAlign w:val="center"/>
                </w:tcPr>
                <w:p w14:paraId="33D5A9A4">
                  <w:pPr>
                    <w:jc w:val="center"/>
                    <w:rPr>
                      <w:color w:val="000000" w:themeColor="text1"/>
                      <w:vertAlign w:val="baseli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储存于</w:t>
                  </w:r>
                  <w:r>
                    <w:rPr>
                      <w:rFonts w:hint="eastAsia"/>
                      <w:color w:val="000000" w:themeColor="text1"/>
                      <w:kern w:val="0"/>
                      <w:szCs w:val="21"/>
                      <w14:textFill>
                        <w14:solidFill>
                          <w14:schemeClr w14:val="tx1"/>
                        </w14:solidFill>
                      </w14:textFill>
                    </w:rPr>
                    <w:t>冷库</w:t>
                  </w:r>
                  <w:r>
                    <w:rPr>
                      <w:rFonts w:hint="eastAsia"/>
                      <w:color w:val="000000" w:themeColor="text1"/>
                      <w:kern w:val="0"/>
                      <w:szCs w:val="21"/>
                      <w:lang w:val="en-US" w:eastAsia="zh-CN"/>
                      <w14:textFill>
                        <w14:solidFill>
                          <w14:schemeClr w14:val="tx1"/>
                        </w14:solidFill>
                      </w14:textFill>
                    </w:rPr>
                    <w:t>内</w:t>
                  </w:r>
                </w:p>
              </w:tc>
              <w:tc>
                <w:tcPr>
                  <w:tcW w:w="627" w:type="pct"/>
                  <w:vAlign w:val="center"/>
                </w:tcPr>
                <w:p w14:paraId="065C057A">
                  <w:pPr>
                    <w:jc w:val="center"/>
                    <w:rPr>
                      <w:color w:val="000000" w:themeColor="text1"/>
                      <w:highlight w:val="yellow"/>
                      <w:vertAlign w:val="baseli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w:t>
                  </w:r>
                </w:p>
              </w:tc>
              <w:tc>
                <w:tcPr>
                  <w:tcW w:w="797" w:type="pct"/>
                  <w:vAlign w:val="center"/>
                </w:tcPr>
                <w:p w14:paraId="245729E6">
                  <w:pPr>
                    <w:jc w:val="center"/>
                    <w:rPr>
                      <w:color w:val="000000" w:themeColor="text1"/>
                      <w:vertAlign w:val="baseline"/>
                      <w14:textFill>
                        <w14:solidFill>
                          <w14:schemeClr w14:val="tx1"/>
                        </w14:solidFill>
                      </w14:textFill>
                    </w:rPr>
                  </w:pPr>
                  <w:r>
                    <w:rPr>
                      <w:rFonts w:hint="eastAsia"/>
                      <w:color w:val="000000" w:themeColor="text1"/>
                      <w:kern w:val="0"/>
                      <w:szCs w:val="21"/>
                      <w14:textFill>
                        <w14:solidFill>
                          <w14:schemeClr w14:val="tx1"/>
                        </w14:solidFill>
                      </w14:textFill>
                    </w:rPr>
                    <w:t>冷库使用的制冷剂直接由厂家加入，不再厂区内暂存</w:t>
                  </w:r>
                </w:p>
              </w:tc>
            </w:tr>
            <w:tr w14:paraId="604A0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2F91F713">
                  <w:pPr>
                    <w:jc w:val="center"/>
                    <w:rPr>
                      <w:color w:val="000000" w:themeColor="text1"/>
                      <w:vertAlign w:val="baseline"/>
                      <w14:textFill>
                        <w14:solidFill>
                          <w14:schemeClr w14:val="tx1"/>
                        </w14:solidFill>
                      </w14:textFill>
                    </w:rPr>
                  </w:pPr>
                  <w:r>
                    <w:rPr>
                      <w:color w:val="000000" w:themeColor="text1"/>
                      <w:vertAlign w:val="baseline"/>
                      <w14:textFill>
                        <w14:solidFill>
                          <w14:schemeClr w14:val="tx1"/>
                        </w14:solidFill>
                      </w14:textFill>
                    </w:rPr>
                    <w:t>能源消耗</w:t>
                  </w:r>
                </w:p>
              </w:tc>
            </w:tr>
            <w:tr w14:paraId="13CA5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489CEB91">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w:t>
                  </w:r>
                </w:p>
              </w:tc>
              <w:tc>
                <w:tcPr>
                  <w:tcW w:w="1053" w:type="pct"/>
                  <w:shd w:val="clear" w:color="auto" w:fill="auto"/>
                  <w:vAlign w:val="center"/>
                </w:tcPr>
                <w:p w14:paraId="5013866A">
                  <w:pPr>
                    <w:pStyle w:val="27"/>
                    <w:rPr>
                      <w:rFonts w:hint="eastAsia"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水</w:t>
                  </w:r>
                </w:p>
              </w:tc>
              <w:tc>
                <w:tcPr>
                  <w:tcW w:w="2208" w:type="pct"/>
                  <w:gridSpan w:val="3"/>
                  <w:shd w:val="clear" w:color="auto" w:fill="auto"/>
                  <w:vAlign w:val="center"/>
                </w:tcPr>
                <w:p w14:paraId="4C511AB7">
                  <w:pPr>
                    <w:pStyle w:val="27"/>
                    <w:rPr>
                      <w:rFonts w:ascii="Times New Roman" w:hAnsi="Times New Roman" w:eastAsia="宋体" w:cs="Times New Roman"/>
                      <w:b w:val="0"/>
                      <w:bCs/>
                      <w:color w:val="000000" w:themeColor="text1"/>
                      <w:kern w:val="0"/>
                      <w:sz w:val="21"/>
                      <w:szCs w:val="20"/>
                      <w:highlight w:val="yellow"/>
                      <w:lang w:val="en-US" w:eastAsia="zh-CN" w:bidi="ar-SA"/>
                      <w14:textFill>
                        <w14:solidFill>
                          <w14:schemeClr w14:val="tx1"/>
                        </w14:solidFill>
                      </w14:textFill>
                    </w:rPr>
                  </w:pPr>
                  <w:r>
                    <w:rPr>
                      <w:rFonts w:hint="eastAsia"/>
                      <w:b w:val="0"/>
                      <w:bCs/>
                      <w:color w:val="000000" w:themeColor="text1"/>
                      <w:highlight w:val="none"/>
                      <w:lang w:val="en-US" w:eastAsia="zh-CN"/>
                      <w14:textFill>
                        <w14:solidFill>
                          <w14:schemeClr w14:val="tx1"/>
                        </w14:solidFill>
                      </w14:textFill>
                    </w:rPr>
                    <w:t>13782.2</w:t>
                  </w:r>
                  <w:r>
                    <w:rPr>
                      <w:b w:val="0"/>
                      <w:bCs/>
                      <w:color w:val="000000" w:themeColor="text1"/>
                      <w:highlight w:val="none"/>
                      <w14:textFill>
                        <w14:solidFill>
                          <w14:schemeClr w14:val="tx1"/>
                        </w14:solidFill>
                      </w14:textFill>
                    </w:rPr>
                    <w:t>m</w:t>
                  </w:r>
                  <w:r>
                    <w:rPr>
                      <w:b w:val="0"/>
                      <w:bCs/>
                      <w:color w:val="000000" w:themeColor="text1"/>
                      <w:highlight w:val="none"/>
                      <w:vertAlign w:val="superscript"/>
                      <w14:textFill>
                        <w14:solidFill>
                          <w14:schemeClr w14:val="tx1"/>
                        </w14:solidFill>
                      </w14:textFill>
                    </w:rPr>
                    <w:t>3</w:t>
                  </w:r>
                  <w:r>
                    <w:rPr>
                      <w:b w:val="0"/>
                      <w:bCs/>
                      <w:color w:val="000000" w:themeColor="text1"/>
                      <w:highlight w:val="none"/>
                      <w14:textFill>
                        <w14:solidFill>
                          <w14:schemeClr w14:val="tx1"/>
                        </w14:solidFill>
                      </w14:textFill>
                    </w:rPr>
                    <w:t>/a</w:t>
                  </w:r>
                </w:p>
              </w:tc>
              <w:tc>
                <w:tcPr>
                  <w:tcW w:w="1425" w:type="pct"/>
                  <w:gridSpan w:val="2"/>
                  <w:shd w:val="clear" w:color="auto" w:fill="auto"/>
                  <w:vAlign w:val="center"/>
                </w:tcPr>
                <w:p w14:paraId="62273EB3">
                  <w:pPr>
                    <w:pStyle w:val="27"/>
                    <w:rPr>
                      <w:rFonts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由</w:t>
                  </w:r>
                  <w:r>
                    <w:rPr>
                      <w:rFonts w:hint="eastAsia"/>
                      <w:b w:val="0"/>
                      <w:bCs/>
                      <w:color w:val="000000" w:themeColor="text1"/>
                      <w14:textFill>
                        <w14:solidFill>
                          <w14:schemeClr w14:val="tx1"/>
                        </w14:solidFill>
                      </w14:textFill>
                    </w:rPr>
                    <w:t>镇平县</w:t>
                  </w:r>
                  <w:r>
                    <w:rPr>
                      <w:b w:val="0"/>
                      <w:bCs/>
                      <w:color w:val="000000" w:themeColor="text1"/>
                      <w14:textFill>
                        <w14:solidFill>
                          <w14:schemeClr w14:val="tx1"/>
                        </w14:solidFill>
                      </w14:textFill>
                    </w:rPr>
                    <w:t>先进制造业开发区市政供水管网供给</w:t>
                  </w:r>
                </w:p>
              </w:tc>
            </w:tr>
            <w:tr w14:paraId="724D2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1CAAED8C">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2</w:t>
                  </w:r>
                </w:p>
              </w:tc>
              <w:tc>
                <w:tcPr>
                  <w:tcW w:w="1053" w:type="pct"/>
                  <w:shd w:val="clear" w:color="auto" w:fill="auto"/>
                  <w:vAlign w:val="center"/>
                </w:tcPr>
                <w:p w14:paraId="77AEC1E8">
                  <w:pPr>
                    <w:pStyle w:val="27"/>
                    <w:rPr>
                      <w:rFonts w:hint="eastAsia"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电</w:t>
                  </w:r>
                </w:p>
              </w:tc>
              <w:tc>
                <w:tcPr>
                  <w:tcW w:w="2208" w:type="pct"/>
                  <w:gridSpan w:val="3"/>
                  <w:shd w:val="clear" w:color="auto" w:fill="auto"/>
                  <w:vAlign w:val="center"/>
                </w:tcPr>
                <w:p w14:paraId="631E941A">
                  <w:pPr>
                    <w:pStyle w:val="27"/>
                    <w:rPr>
                      <w:rFonts w:ascii="Times New Roman" w:hAnsi="Times New Roman" w:eastAsia="宋体" w:cs="Times New Roman"/>
                      <w:b w:val="0"/>
                      <w:bCs/>
                      <w:color w:val="000000" w:themeColor="text1"/>
                      <w:kern w:val="0"/>
                      <w:sz w:val="21"/>
                      <w:szCs w:val="20"/>
                      <w:highlight w:val="yellow"/>
                      <w:lang w:val="en-US" w:eastAsia="zh-CN" w:bidi="ar-SA"/>
                      <w14:textFill>
                        <w14:solidFill>
                          <w14:schemeClr w14:val="tx1"/>
                        </w14:solidFill>
                      </w14:textFill>
                    </w:rPr>
                  </w:pPr>
                  <w:r>
                    <w:rPr>
                      <w:rFonts w:hint="eastAsia"/>
                      <w:b w:val="0"/>
                      <w:bCs/>
                      <w:color w:val="000000" w:themeColor="text1"/>
                      <w:highlight w:val="none"/>
                      <w:lang w:val="en-US" w:eastAsia="zh-CN"/>
                      <w14:textFill>
                        <w14:solidFill>
                          <w14:schemeClr w14:val="tx1"/>
                        </w14:solidFill>
                      </w14:textFill>
                    </w:rPr>
                    <w:t>10</w:t>
                  </w:r>
                  <w:r>
                    <w:rPr>
                      <w:b w:val="0"/>
                      <w:bCs/>
                      <w:color w:val="000000" w:themeColor="text1"/>
                      <w:highlight w:val="none"/>
                      <w14:textFill>
                        <w14:solidFill>
                          <w14:schemeClr w14:val="tx1"/>
                        </w14:solidFill>
                      </w14:textFill>
                    </w:rPr>
                    <w:t>0万KW﹒h/a</w:t>
                  </w:r>
                </w:p>
              </w:tc>
              <w:tc>
                <w:tcPr>
                  <w:tcW w:w="1425" w:type="pct"/>
                  <w:gridSpan w:val="2"/>
                  <w:shd w:val="clear" w:color="auto" w:fill="auto"/>
                  <w:vAlign w:val="center"/>
                </w:tcPr>
                <w:p w14:paraId="7CF543BC">
                  <w:pPr>
                    <w:pStyle w:val="27"/>
                    <w:rPr>
                      <w:rFonts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由</w:t>
                  </w:r>
                  <w:r>
                    <w:rPr>
                      <w:rFonts w:hint="eastAsia"/>
                      <w:b w:val="0"/>
                      <w:bCs/>
                      <w:color w:val="000000" w:themeColor="text1"/>
                      <w14:textFill>
                        <w14:solidFill>
                          <w14:schemeClr w14:val="tx1"/>
                        </w14:solidFill>
                      </w14:textFill>
                    </w:rPr>
                    <w:t>镇平县</w:t>
                  </w:r>
                  <w:r>
                    <w:rPr>
                      <w:b w:val="0"/>
                      <w:bCs/>
                      <w:color w:val="000000" w:themeColor="text1"/>
                      <w14:textFill>
                        <w14:solidFill>
                          <w14:schemeClr w14:val="tx1"/>
                        </w14:solidFill>
                      </w14:textFill>
                    </w:rPr>
                    <w:t>先进制造业开发区市政供电系统提供</w:t>
                  </w:r>
                </w:p>
              </w:tc>
            </w:tr>
            <w:tr w14:paraId="1D1F5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2" w:type="pct"/>
                  <w:vAlign w:val="center"/>
                </w:tcPr>
                <w:p w14:paraId="1E4F041B">
                  <w:pPr>
                    <w:jc w:val="center"/>
                    <w:rPr>
                      <w:rFonts w:hint="eastAsia" w:eastAsia="宋体"/>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3</w:t>
                  </w:r>
                </w:p>
              </w:tc>
              <w:tc>
                <w:tcPr>
                  <w:tcW w:w="1053" w:type="pct"/>
                  <w:shd w:val="clear" w:color="auto" w:fill="auto"/>
                  <w:vAlign w:val="center"/>
                </w:tcPr>
                <w:p w14:paraId="03BE34E8">
                  <w:pPr>
                    <w:pStyle w:val="27"/>
                    <w:rPr>
                      <w:rFonts w:hint="eastAsia"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b w:val="0"/>
                      <w:bCs/>
                      <w:color w:val="000000" w:themeColor="text1"/>
                      <w14:textFill>
                        <w14:solidFill>
                          <w14:schemeClr w14:val="tx1"/>
                        </w14:solidFill>
                      </w14:textFill>
                    </w:rPr>
                    <w:t>天然气</w:t>
                  </w:r>
                </w:p>
              </w:tc>
              <w:tc>
                <w:tcPr>
                  <w:tcW w:w="2208" w:type="pct"/>
                  <w:gridSpan w:val="3"/>
                  <w:shd w:val="clear" w:color="auto" w:fill="auto"/>
                  <w:vAlign w:val="center"/>
                </w:tcPr>
                <w:p w14:paraId="39EF528F">
                  <w:pPr>
                    <w:pStyle w:val="27"/>
                    <w:rPr>
                      <w:rFonts w:hint="default" w:ascii="Times New Roman" w:hAnsi="Times New Roman" w:eastAsia="宋体" w:cs="Times New Roman"/>
                      <w:b w:val="0"/>
                      <w:bCs/>
                      <w:color w:val="000000" w:themeColor="text1"/>
                      <w:kern w:val="0"/>
                      <w:sz w:val="21"/>
                      <w:szCs w:val="20"/>
                      <w:highlight w:val="yellow"/>
                      <w:lang w:val="en-US" w:eastAsia="zh-CN" w:bidi="ar-SA"/>
                      <w14:textFill>
                        <w14:solidFill>
                          <w14:schemeClr w14:val="tx1"/>
                        </w14:solidFill>
                      </w14:textFill>
                    </w:rPr>
                  </w:pPr>
                  <w:r>
                    <w:rPr>
                      <w:rFonts w:hint="eastAsia" w:cs="Times New Roman"/>
                      <w:b w:val="0"/>
                      <w:bCs/>
                      <w:color w:val="000000" w:themeColor="text1"/>
                      <w:sz w:val="21"/>
                      <w:szCs w:val="21"/>
                      <w:highlight w:val="none"/>
                      <w:lang w:val="en-US" w:eastAsia="zh-CN"/>
                      <w14:textFill>
                        <w14:solidFill>
                          <w14:schemeClr w14:val="tx1"/>
                        </w14:solidFill>
                      </w14:textFill>
                    </w:rPr>
                    <w:t>162797.4</w:t>
                  </w:r>
                  <w:r>
                    <w:rPr>
                      <w:rFonts w:hint="eastAsia" w:cs="Times New Roman"/>
                      <w:b w:val="0"/>
                      <w:bCs/>
                      <w:color w:val="000000" w:themeColor="text1"/>
                      <w:sz w:val="21"/>
                      <w:szCs w:val="21"/>
                      <w:highlight w:val="none"/>
                      <w:lang w:eastAsia="zh-CN"/>
                      <w14:textFill>
                        <w14:solidFill>
                          <w14:schemeClr w14:val="tx1"/>
                        </w14:solidFill>
                      </w14:textFill>
                    </w:rPr>
                    <w:t>m</w:t>
                  </w:r>
                  <w:r>
                    <w:rPr>
                      <w:rFonts w:hint="eastAsia" w:cs="Times New Roman"/>
                      <w:b w:val="0"/>
                      <w:bCs/>
                      <w:color w:val="000000" w:themeColor="text1"/>
                      <w:sz w:val="21"/>
                      <w:szCs w:val="21"/>
                      <w:highlight w:val="none"/>
                      <w:vertAlign w:val="superscript"/>
                      <w:lang w:eastAsia="zh-CN"/>
                      <w14:textFill>
                        <w14:solidFill>
                          <w14:schemeClr w14:val="tx1"/>
                        </w14:solidFill>
                      </w14:textFill>
                    </w:rPr>
                    <w:t>3</w:t>
                  </w:r>
                  <w:r>
                    <w:rPr>
                      <w:rFonts w:hint="eastAsia" w:ascii="Times New Roman" w:hAnsi="Times New Roman" w:cs="Times New Roman"/>
                      <w:b w:val="0"/>
                      <w:bCs/>
                      <w:color w:val="000000" w:themeColor="text1"/>
                      <w:sz w:val="21"/>
                      <w:szCs w:val="21"/>
                      <w:highlight w:val="none"/>
                      <w:lang w:val="en-US" w:eastAsia="zh-CN"/>
                      <w14:textFill>
                        <w14:solidFill>
                          <w14:schemeClr w14:val="tx1"/>
                        </w14:solidFill>
                      </w14:textFill>
                    </w:rPr>
                    <w:t>/a</w:t>
                  </w:r>
                </w:p>
              </w:tc>
              <w:tc>
                <w:tcPr>
                  <w:tcW w:w="1425" w:type="pct"/>
                  <w:gridSpan w:val="2"/>
                  <w:shd w:val="clear" w:color="auto" w:fill="auto"/>
                  <w:vAlign w:val="center"/>
                </w:tcPr>
                <w:p w14:paraId="0B12B9EF">
                  <w:pPr>
                    <w:pStyle w:val="27"/>
                    <w:rPr>
                      <w:rFonts w:ascii="Times New Roman" w:hAnsi="Times New Roman" w:eastAsia="宋体" w:cs="Times New Roman"/>
                      <w:b w:val="0"/>
                      <w:bCs/>
                      <w:color w:val="000000" w:themeColor="text1"/>
                      <w:kern w:val="0"/>
                      <w:sz w:val="21"/>
                      <w:szCs w:val="20"/>
                      <w:lang w:val="en-US" w:eastAsia="zh-CN" w:bidi="ar-SA"/>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由</w:t>
                  </w:r>
                  <w:r>
                    <w:rPr>
                      <w:rFonts w:hint="eastAsia"/>
                      <w:b w:val="0"/>
                      <w:bCs/>
                      <w:color w:val="000000" w:themeColor="text1"/>
                      <w14:textFill>
                        <w14:solidFill>
                          <w14:schemeClr w14:val="tx1"/>
                        </w14:solidFill>
                      </w14:textFill>
                    </w:rPr>
                    <w:t>镇平县</w:t>
                  </w:r>
                  <w:r>
                    <w:rPr>
                      <w:b w:val="0"/>
                      <w:bCs/>
                      <w:color w:val="000000" w:themeColor="text1"/>
                      <w14:textFill>
                        <w14:solidFill>
                          <w14:schemeClr w14:val="tx1"/>
                        </w14:solidFill>
                      </w14:textFill>
                    </w:rPr>
                    <w:t>先进制造业开发区</w:t>
                  </w:r>
                  <w:r>
                    <w:rPr>
                      <w:rFonts w:hint="default" w:ascii="Times New Roman" w:hAnsi="Times New Roman" w:cs="Times New Roman"/>
                      <w:b w:val="0"/>
                      <w:bCs/>
                      <w:color w:val="000000" w:themeColor="text1"/>
                      <w:sz w:val="21"/>
                      <w:szCs w:val="21"/>
                      <w14:textFill>
                        <w14:solidFill>
                          <w14:schemeClr w14:val="tx1"/>
                        </w14:solidFill>
                      </w14:textFill>
                    </w:rPr>
                    <w:t>市政天然气管网提供</w:t>
                  </w:r>
                </w:p>
              </w:tc>
            </w:tr>
          </w:tbl>
          <w:p w14:paraId="11B620E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cs="Times New Roman"/>
                <w:b/>
                <w:bCs/>
                <w:color w:val="000000" w:themeColor="text1"/>
                <w:sz w:val="24"/>
                <w:szCs w:val="24"/>
                <w:lang w:val="en-US" w:eastAsia="zh-CN"/>
                <w14:textFill>
                  <w14:solidFill>
                    <w14:schemeClr w14:val="tx1"/>
                  </w14:solidFill>
                </w14:textFill>
              </w:rPr>
            </w:pPr>
            <w:r>
              <w:rPr>
                <w:rFonts w:hint="eastAsia" w:cs="Times New Roman"/>
                <w:b/>
                <w:bCs/>
                <w:color w:val="000000" w:themeColor="text1"/>
                <w:sz w:val="24"/>
                <w:szCs w:val="24"/>
                <w:lang w:val="en-US" w:eastAsia="zh-CN"/>
                <w14:textFill>
                  <w14:solidFill>
                    <w14:schemeClr w14:val="tx1"/>
                  </w14:solidFill>
                </w14:textFill>
              </w:rPr>
              <w:t>原辅料理化性质：</w:t>
            </w:r>
          </w:p>
          <w:p w14:paraId="3C0E20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b w:val="0"/>
                <w:bCs w:val="0"/>
                <w:color w:val="000000" w:themeColor="text1"/>
                <w:sz w:val="24"/>
                <w:szCs w:val="24"/>
                <w:lang w:val="en-US" w:eastAsia="zh-CN"/>
                <w14:textFill>
                  <w14:solidFill>
                    <w14:schemeClr w14:val="tx1"/>
                  </w14:solidFill>
                </w14:textFill>
              </w:rPr>
            </w:pPr>
            <w:r>
              <w:rPr>
                <w:rFonts w:hint="default" w:cs="Times New Roman"/>
                <w:b w:val="0"/>
                <w:bCs w:val="0"/>
                <w:color w:val="000000" w:themeColor="text1"/>
                <w:sz w:val="24"/>
                <w:szCs w:val="24"/>
                <w:lang w:val="en-US" w:eastAsia="zh-CN"/>
                <w14:textFill>
                  <w14:solidFill>
                    <w14:schemeClr w14:val="tx1"/>
                  </w14:solidFill>
                </w14:textFill>
              </w:rPr>
              <w:t>制冷剂R507</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分子式为CHF</w:t>
            </w:r>
            <w:r>
              <w:rPr>
                <w:rFonts w:hint="default" w:cs="Times New Roman"/>
                <w:b w:val="0"/>
                <w:bCs w:val="0"/>
                <w:color w:val="000000" w:themeColor="text1"/>
                <w:sz w:val="24"/>
                <w:szCs w:val="24"/>
                <w:vertAlign w:val="subscript"/>
                <w:lang w:val="en-US" w:eastAsia="zh-CN"/>
                <w14:textFill>
                  <w14:solidFill>
                    <w14:schemeClr w14:val="tx1"/>
                  </w14:solidFill>
                </w14:textFill>
              </w:rPr>
              <w:t>2</w:t>
            </w:r>
            <w:r>
              <w:rPr>
                <w:rFonts w:hint="default" w:cs="Times New Roman"/>
                <w:b w:val="0"/>
                <w:bCs w:val="0"/>
                <w:color w:val="000000" w:themeColor="text1"/>
                <w:sz w:val="24"/>
                <w:szCs w:val="24"/>
                <w:lang w:val="en-US" w:eastAsia="zh-CN"/>
                <w14:textFill>
                  <w14:solidFill>
                    <w14:schemeClr w14:val="tx1"/>
                  </w14:solidFill>
                </w14:textFill>
              </w:rPr>
              <w:t>CF</w:t>
            </w:r>
            <w:r>
              <w:rPr>
                <w:rFonts w:hint="default" w:cs="Times New Roman"/>
                <w:b w:val="0"/>
                <w:bCs w:val="0"/>
                <w:color w:val="000000" w:themeColor="text1"/>
                <w:sz w:val="24"/>
                <w:szCs w:val="24"/>
                <w:vertAlign w:val="subscript"/>
                <w:lang w:val="en-US" w:eastAsia="zh-CN"/>
                <w14:textFill>
                  <w14:solidFill>
                    <w14:schemeClr w14:val="tx1"/>
                  </w14:solidFill>
                </w14:textFill>
              </w:rPr>
              <w:t>3</w:t>
            </w:r>
            <w:r>
              <w:rPr>
                <w:rFonts w:hint="default" w:cs="Times New Roman"/>
                <w:b w:val="0"/>
                <w:bCs w:val="0"/>
                <w:color w:val="000000" w:themeColor="text1"/>
                <w:sz w:val="24"/>
                <w:szCs w:val="24"/>
                <w:lang w:val="en-US" w:eastAsia="zh-CN"/>
                <w14:textFill>
                  <w14:solidFill>
                    <w14:schemeClr w14:val="tx1"/>
                  </w14:solidFill>
                </w14:textFill>
              </w:rPr>
              <w:t>、CH</w:t>
            </w:r>
            <w:r>
              <w:rPr>
                <w:rFonts w:hint="default" w:cs="Times New Roman"/>
                <w:b w:val="0"/>
                <w:bCs w:val="0"/>
                <w:color w:val="000000" w:themeColor="text1"/>
                <w:sz w:val="24"/>
                <w:szCs w:val="24"/>
                <w:vertAlign w:val="subscript"/>
                <w:lang w:val="en-US" w:eastAsia="zh-CN"/>
                <w14:textFill>
                  <w14:solidFill>
                    <w14:schemeClr w14:val="tx1"/>
                  </w14:solidFill>
                </w14:textFill>
              </w:rPr>
              <w:t>3</w:t>
            </w:r>
            <w:r>
              <w:rPr>
                <w:rFonts w:hint="default" w:cs="Times New Roman"/>
                <w:b w:val="0"/>
                <w:bCs w:val="0"/>
                <w:color w:val="000000" w:themeColor="text1"/>
                <w:sz w:val="24"/>
                <w:szCs w:val="24"/>
                <w:lang w:val="en-US" w:eastAsia="zh-CN"/>
                <w14:textFill>
                  <w14:solidFill>
                    <w14:schemeClr w14:val="tx1"/>
                  </w14:solidFill>
                </w14:textFill>
              </w:rPr>
              <w:t>CF，主要成分为HFC-125、HFC-143a</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50/50</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。根据《中国受控消耗臭氧层物质清单》，R507不属于禁止使用或淘汰的制冷剂类型。R507臭氧消耗潜势</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ODP值</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为零，不含任何破坏臭氧层的物质，并且具有优异的传热性能和低毒性。适合中低温冷冻领域应用，包括中低温的新型商用制冷设备</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冷冻冷藏柜、冷库、陈列展示柜、运输</w:t>
            </w:r>
            <w:r>
              <w:rPr>
                <w:rFonts w:hint="eastAsia" w:cs="Times New Roman"/>
                <w:b w:val="0"/>
                <w:bCs w:val="0"/>
                <w:color w:val="000000" w:themeColor="text1"/>
                <w:sz w:val="24"/>
                <w:szCs w:val="24"/>
                <w:lang w:val="en-US" w:eastAsia="zh-CN"/>
                <w14:textFill>
                  <w14:solidFill>
                    <w14:schemeClr w14:val="tx1"/>
                  </w14:solidFill>
                </w14:textFill>
              </w:rPr>
              <w:t>）</w:t>
            </w:r>
            <w:r>
              <w:rPr>
                <w:rFonts w:hint="default" w:cs="Times New Roman"/>
                <w:b w:val="0"/>
                <w:bCs w:val="0"/>
                <w:color w:val="000000" w:themeColor="text1"/>
                <w:sz w:val="24"/>
                <w:szCs w:val="24"/>
                <w:lang w:val="en-US" w:eastAsia="zh-CN"/>
                <w14:textFill>
                  <w14:solidFill>
                    <w14:schemeClr w14:val="tx1"/>
                  </w14:solidFill>
                </w14:textFill>
              </w:rPr>
              <w:t>、制冰设备、交通运输制冷设备、船用制冷设备等。</w:t>
            </w:r>
          </w:p>
          <w:p w14:paraId="45CEF82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蒸汽发生器</w:t>
            </w:r>
            <w:r>
              <w:rPr>
                <w:rFonts w:hint="default" w:ascii="Times New Roman" w:hAnsi="Times New Roman" w:cs="Times New Roman"/>
                <w:b/>
                <w:bCs/>
                <w:color w:val="000000" w:themeColor="text1"/>
                <w:sz w:val="24"/>
                <w:szCs w:val="24"/>
                <w:highlight w:val="none"/>
                <w:lang w:eastAsia="zh-CN"/>
                <w14:textFill>
                  <w14:solidFill>
                    <w14:schemeClr w14:val="tx1"/>
                  </w14:solidFill>
                </w14:textFill>
              </w:rPr>
              <w:t>天然气耗量</w:t>
            </w:r>
            <w:r>
              <w:rPr>
                <w:rFonts w:hint="eastAsia" w:ascii="Times New Roman" w:hAnsi="Times New Roman" w:cs="Times New Roman"/>
                <w:b/>
                <w:bCs/>
                <w:color w:val="000000" w:themeColor="text1"/>
                <w:sz w:val="24"/>
                <w:szCs w:val="24"/>
                <w:highlight w:val="none"/>
                <w:lang w:eastAsia="zh-CN"/>
                <w14:textFill>
                  <w14:solidFill>
                    <w14:schemeClr w14:val="tx1"/>
                  </w14:solidFill>
                </w14:textFill>
              </w:rPr>
              <w:t>：</w:t>
            </w:r>
          </w:p>
          <w:p w14:paraId="26561C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蒸汽发生器</w:t>
            </w:r>
            <w:r>
              <w:rPr>
                <w:rFonts w:hint="default" w:ascii="Times New Roman" w:hAnsi="Times New Roman" w:cs="Times New Roman"/>
                <w:color w:val="000000" w:themeColor="text1"/>
                <w:sz w:val="24"/>
                <w:szCs w:val="24"/>
                <w:highlight w:val="none"/>
                <w14:textFill>
                  <w14:solidFill>
                    <w14:schemeClr w14:val="tx1"/>
                  </w14:solidFill>
                </w14:textFill>
              </w:rPr>
              <w:t>天然气消耗量计算公式如下：</w:t>
            </w:r>
          </w:p>
          <w:p w14:paraId="7D823E3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position w:val="-30"/>
                <w:sz w:val="24"/>
                <w:szCs w:val="24"/>
                <w:highlight w:val="none"/>
                <w14:textFill>
                  <w14:solidFill>
                    <w14:schemeClr w14:val="tx1"/>
                  </w14:solidFill>
                </w14:textFill>
              </w:rPr>
              <w:object>
                <v:shape id="_x0000_i1025" o:spt="75" type="#_x0000_t75" style="height:31.15pt;width:82.65pt;" o:ole="t" filled="f" o:preferrelative="t" stroked="f" coordsize="21600,21600">
                  <v:path/>
                  <v:fill on="f" focussize="0,0"/>
                  <v:stroke on="f"/>
                  <v:imagedata r:id="rId12" o:title=""/>
                  <o:lock v:ext="edit" aspectratio="t"/>
                  <w10:wrap type="none"/>
                  <w10:anchorlock/>
                </v:shape>
                <o:OLEObject Type="Embed" ProgID="Equation.DSMT4" ShapeID="_x0000_i1025" DrawAspect="Content" ObjectID="_1468075725" r:id="rId11">
                  <o:LockedField>false</o:LockedField>
                </o:OLEObject>
              </w:object>
            </w:r>
          </w:p>
          <w:p w14:paraId="39FF4E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式中：B—</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蒸汽发生器</w:t>
            </w:r>
            <w:r>
              <w:rPr>
                <w:rFonts w:hint="default" w:ascii="Times New Roman" w:hAnsi="Times New Roman" w:cs="Times New Roman"/>
                <w:color w:val="000000" w:themeColor="text1"/>
                <w:sz w:val="24"/>
                <w:szCs w:val="24"/>
                <w:highlight w:val="none"/>
                <w14:textFill>
                  <w14:solidFill>
                    <w14:schemeClr w14:val="tx1"/>
                  </w14:solidFill>
                </w14:textFill>
              </w:rPr>
              <w:t>耗气量，</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p>
          <w:p w14:paraId="6E201011">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D—</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蒸汽发生器</w:t>
            </w:r>
            <w:r>
              <w:rPr>
                <w:rFonts w:hint="default" w:ascii="Times New Roman" w:hAnsi="Times New Roman" w:cs="Times New Roman"/>
                <w:color w:val="000000" w:themeColor="text1"/>
                <w:sz w:val="24"/>
                <w:szCs w:val="24"/>
                <w:highlight w:val="none"/>
                <w14:textFill>
                  <w14:solidFill>
                    <w14:schemeClr w14:val="tx1"/>
                  </w14:solidFill>
                </w14:textFill>
              </w:rPr>
              <w:t>每小时的产汽量，kg/h；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项目设置</w:t>
            </w:r>
            <w:r>
              <w:rPr>
                <w:rFonts w:hint="eastAsia"/>
                <w:color w:val="000000"/>
                <w:sz w:val="24"/>
                <w:highlight w:val="none"/>
                <w:lang w:val="en-US" w:eastAsia="zh-CN"/>
              </w:rPr>
              <w:t>8</w:t>
            </w:r>
            <w:r>
              <w:rPr>
                <w:color w:val="000000"/>
                <w:sz w:val="24"/>
                <w:highlight w:val="none"/>
              </w:rPr>
              <w:t>台</w:t>
            </w:r>
            <w:r>
              <w:rPr>
                <w:rFonts w:hint="eastAsia"/>
                <w:color w:val="000000"/>
                <w:sz w:val="24"/>
                <w:highlight w:val="none"/>
                <w:lang w:val="en-US" w:eastAsia="zh-CN"/>
              </w:rPr>
              <w:t>0.1</w:t>
            </w:r>
            <w:r>
              <w:rPr>
                <w:rFonts w:hint="eastAsia"/>
                <w:color w:val="000000"/>
                <w:sz w:val="24"/>
                <w:highlight w:val="none"/>
              </w:rPr>
              <w:t>t</w:t>
            </w:r>
            <w:r>
              <w:rPr>
                <w:color w:val="000000"/>
                <w:sz w:val="24"/>
                <w:highlight w:val="none"/>
              </w:rPr>
              <w:t>/h</w:t>
            </w:r>
            <w:r>
              <w:rPr>
                <w:rFonts w:hint="eastAsia"/>
                <w:color w:val="000000"/>
                <w:sz w:val="24"/>
                <w:highlight w:val="none"/>
                <w:lang w:eastAsia="zh-CN"/>
              </w:rPr>
              <w:t>、</w:t>
            </w:r>
            <w:r>
              <w:rPr>
                <w:rFonts w:hint="eastAsia"/>
                <w:color w:val="000000"/>
                <w:sz w:val="24"/>
                <w:highlight w:val="none"/>
                <w:lang w:val="en-US" w:eastAsia="zh-CN"/>
              </w:rPr>
              <w:t>6台0.15t/h以及1台0.2t/h蒸汽发生器</w:t>
            </w:r>
            <w:r>
              <w:rPr>
                <w:rFonts w:hint="eastAsia"/>
                <w:color w:val="000000" w:themeColor="text1"/>
                <w:kern w:val="0"/>
                <w:sz w:val="24"/>
                <w:highlight w:val="none"/>
                <w:lang w:eastAsia="zh-CN" w:bidi="ar"/>
                <w14:textFill>
                  <w14:solidFill>
                    <w14:schemeClr w14:val="tx1"/>
                  </w14:solidFill>
                </w14:textFill>
              </w:rPr>
              <w:t>；</w:t>
            </w:r>
          </w:p>
          <w:p w14:paraId="0EB864EC">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Q</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L</w:t>
            </w:r>
            <w:r>
              <w:rPr>
                <w:rFonts w:hint="default" w:ascii="Times New Roman" w:hAnsi="Times New Roman" w:cs="Times New Roman"/>
                <w:color w:val="000000" w:themeColor="text1"/>
                <w:sz w:val="24"/>
                <w:szCs w:val="24"/>
                <w:highlight w:val="none"/>
                <w14:textFill>
                  <w14:solidFill>
                    <w14:schemeClr w14:val="tx1"/>
                  </w14:solidFill>
                </w14:textFill>
              </w:rPr>
              <w:t>—燃料的低位发热值，kJ/</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，项目用气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态</w:t>
            </w:r>
            <w:r>
              <w:rPr>
                <w:rFonts w:hint="default" w:ascii="Times New Roman" w:hAnsi="Times New Roman" w:cs="Times New Roman"/>
                <w:color w:val="000000" w:themeColor="text1"/>
                <w:sz w:val="24"/>
                <w:szCs w:val="24"/>
                <w:highlight w:val="none"/>
                <w14:textFill>
                  <w14:solidFill>
                    <w14:schemeClr w14:val="tx1"/>
                  </w14:solidFill>
                </w14:textFill>
              </w:rPr>
              <w:t>天然气的低位发热值为35544kJ/</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w:t>
            </w:r>
          </w:p>
          <w:p w14:paraId="678A8BAF">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η—蒸汽发生器</w:t>
            </w:r>
            <w:r>
              <w:rPr>
                <w:rFonts w:hint="eastAsia" w:cs="Times New Roman"/>
                <w:color w:val="000000" w:themeColor="text1"/>
                <w:sz w:val="24"/>
                <w:szCs w:val="24"/>
                <w:highlight w:val="none"/>
                <w:lang w:val="en-US" w:eastAsia="zh-CN"/>
                <w14:textFill>
                  <w14:solidFill>
                    <w14:schemeClr w14:val="tx1"/>
                  </w14:solidFill>
                </w14:textFill>
              </w:rPr>
              <w:t>新</w:t>
            </w:r>
            <w:r>
              <w:rPr>
                <w:rFonts w:hint="default" w:ascii="Times New Roman" w:hAnsi="Times New Roman" w:cs="Times New Roman"/>
                <w:color w:val="000000" w:themeColor="text1"/>
                <w:sz w:val="24"/>
                <w:szCs w:val="24"/>
                <w:highlight w:val="none"/>
                <w14:textFill>
                  <w14:solidFill>
                    <w14:schemeClr w14:val="tx1"/>
                  </w14:solidFill>
                </w14:textFill>
              </w:rPr>
              <w:t>的热效率，%，取</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98</w:t>
            </w:r>
            <w:r>
              <w:rPr>
                <w:rFonts w:hint="default" w:ascii="Times New Roman" w:hAnsi="Times New Roman" w:cs="Times New Roman"/>
                <w:color w:val="000000" w:themeColor="text1"/>
                <w:sz w:val="24"/>
                <w:szCs w:val="24"/>
                <w:highlight w:val="none"/>
                <w14:textFill>
                  <w14:solidFill>
                    <w14:schemeClr w14:val="tx1"/>
                  </w14:solidFill>
                </w14:textFill>
              </w:rPr>
              <w:t>%；</w:t>
            </w:r>
          </w:p>
          <w:p w14:paraId="63AA3BCD">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i″—</w:t>
            </w:r>
            <w:r>
              <w:rPr>
                <w:rFonts w:hint="eastAsia"/>
                <w:color w:val="000000" w:themeColor="text1"/>
                <w:kern w:val="0"/>
                <w:sz w:val="24"/>
                <w:highlight w:val="none"/>
                <w:lang w:bidi="ar"/>
                <w14:textFill>
                  <w14:solidFill>
                    <w14:schemeClr w14:val="tx1"/>
                  </w14:solidFill>
                </w14:textFill>
              </w:rPr>
              <w:t>蒸汽发生器</w:t>
            </w:r>
            <w:r>
              <w:rPr>
                <w:rFonts w:hint="default" w:ascii="Times New Roman" w:hAnsi="Times New Roman" w:cs="Times New Roman"/>
                <w:color w:val="000000" w:themeColor="text1"/>
                <w:sz w:val="24"/>
                <w:szCs w:val="24"/>
                <w:highlight w:val="none"/>
                <w14:textFill>
                  <w14:solidFill>
                    <w14:schemeClr w14:val="tx1"/>
                  </w14:solidFill>
                </w14:textFill>
              </w:rPr>
              <w:t>在某绝对工作压力下的饱和蒸汽热焓值，kJ/kg。查饱和蒸汽表；</w:t>
            </w:r>
          </w:p>
          <w:p w14:paraId="2131946E">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i′—</w:t>
            </w:r>
            <w:r>
              <w:rPr>
                <w:rFonts w:hint="eastAsia"/>
                <w:color w:val="000000" w:themeColor="text1"/>
                <w:kern w:val="0"/>
                <w:sz w:val="24"/>
                <w:highlight w:val="none"/>
                <w:lang w:bidi="ar"/>
                <w14:textFill>
                  <w14:solidFill>
                    <w14:schemeClr w14:val="tx1"/>
                  </w14:solidFill>
                </w14:textFill>
              </w:rPr>
              <w:t>蒸汽发生器</w:t>
            </w:r>
            <w:r>
              <w:rPr>
                <w:rFonts w:hint="default" w:ascii="Times New Roman" w:hAnsi="Times New Roman" w:cs="Times New Roman"/>
                <w:color w:val="000000" w:themeColor="text1"/>
                <w:sz w:val="24"/>
                <w:szCs w:val="24"/>
                <w:highlight w:val="none"/>
                <w14:textFill>
                  <w14:solidFill>
                    <w14:schemeClr w14:val="tx1"/>
                  </w14:solidFill>
                </w14:textFill>
              </w:rPr>
              <w:t>给水热焓值，kJ/kg。一般来说，给水温度为20℃时，给水热焓值i′=20kCal/kg=83.74kJ/kg。</w:t>
            </w:r>
          </w:p>
          <w:p w14:paraId="722BEF22">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项目</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蒸汽发生器</w:t>
            </w:r>
            <w:r>
              <w:rPr>
                <w:rFonts w:hint="default" w:ascii="Times New Roman" w:hAnsi="Times New Roman" w:cs="Times New Roman"/>
                <w:color w:val="000000" w:themeColor="text1"/>
                <w:sz w:val="24"/>
                <w:szCs w:val="24"/>
                <w:highlight w:val="none"/>
                <w14:textFill>
                  <w14:solidFill>
                    <w14:schemeClr w14:val="tx1"/>
                  </w14:solidFill>
                </w14:textFill>
              </w:rPr>
              <w:t>工作压力为</w:t>
            </w:r>
            <w:r>
              <w:rPr>
                <w:rFonts w:hint="eastAsia" w:cs="Times New Roman"/>
                <w:color w:val="000000" w:themeColor="text1"/>
                <w:sz w:val="24"/>
                <w:szCs w:val="24"/>
                <w:highlight w:val="none"/>
                <w:lang w:val="en-US" w:eastAsia="zh-CN"/>
                <w14:textFill>
                  <w14:solidFill>
                    <w14:schemeClr w14:val="tx1"/>
                  </w14:solidFill>
                </w14:textFill>
              </w:rPr>
              <w:t>0.7</w:t>
            </w:r>
            <w:r>
              <w:rPr>
                <w:rFonts w:hint="default" w:ascii="Times New Roman" w:hAnsi="Times New Roman" w:cs="Times New Roman"/>
                <w:color w:val="000000" w:themeColor="text1"/>
                <w:sz w:val="24"/>
                <w:szCs w:val="24"/>
                <w:highlight w:val="none"/>
                <w14:textFill>
                  <w14:solidFill>
                    <w14:schemeClr w14:val="tx1"/>
                  </w14:solidFill>
                </w14:textFill>
              </w:rPr>
              <w:t>MPa（1MPa=10.19kgf/c</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），通过饱和蒸汽表查得i″=27</w:t>
            </w:r>
            <w:r>
              <w:rPr>
                <w:rFonts w:hint="eastAsia" w:cs="Times New Roman"/>
                <w:color w:val="000000" w:themeColor="text1"/>
                <w:sz w:val="24"/>
                <w:szCs w:val="24"/>
                <w:highlight w:val="none"/>
                <w:lang w:val="en-US" w:eastAsia="zh-CN"/>
                <w14:textFill>
                  <w14:solidFill>
                    <w14:schemeClr w14:val="tx1"/>
                  </w14:solidFill>
                </w14:textFill>
              </w:rPr>
              <w:t>62</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w:t>
            </w:r>
            <w:r>
              <w:rPr>
                <w:rFonts w:hint="default" w:ascii="Times New Roman" w:hAnsi="Times New Roman" w:cs="Times New Roman"/>
                <w:color w:val="000000" w:themeColor="text1"/>
                <w:sz w:val="24"/>
                <w:szCs w:val="24"/>
                <w:highlight w:val="none"/>
                <w14:textFill>
                  <w14:solidFill>
                    <w14:schemeClr w14:val="tx1"/>
                  </w14:solidFill>
                </w14:textFill>
              </w:rPr>
              <w:t>kJ/kg；D（</w:t>
            </w:r>
            <w:r>
              <w:rPr>
                <w:rFonts w:hint="eastAsia" w:cs="Times New Roman"/>
                <w:color w:val="000000" w:themeColor="text1"/>
                <w:sz w:val="24"/>
                <w:szCs w:val="24"/>
                <w:highlight w:val="none"/>
                <w:lang w:val="en-US" w:eastAsia="zh-CN"/>
                <w14:textFill>
                  <w14:solidFill>
                    <w14:schemeClr w14:val="tx1"/>
                  </w14:solidFill>
                </w14:textFill>
              </w:rPr>
              <w:t>0.1</w:t>
            </w:r>
            <w:r>
              <w:rPr>
                <w:rFonts w:hint="default" w:ascii="Times New Roman" w:hAnsi="Times New Roman" w:cs="Times New Roman"/>
                <w:color w:val="000000" w:themeColor="text1"/>
                <w:sz w:val="24"/>
                <w:szCs w:val="24"/>
                <w:highlight w:val="none"/>
                <w14:textFill>
                  <w14:solidFill>
                    <w14:schemeClr w14:val="tx1"/>
                  </w14:solidFill>
                </w14:textFill>
              </w:rPr>
              <w:t>t/h）=</w:t>
            </w:r>
            <w:r>
              <w:rPr>
                <w:rFonts w:hint="eastAsia"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szCs w:val="24"/>
                <w:highlight w:val="none"/>
                <w14:textFill>
                  <w14:solidFill>
                    <w14:schemeClr w14:val="tx1"/>
                  </w14:solidFill>
                </w14:textFill>
              </w:rPr>
              <w:t>00kg/h</w:t>
            </w:r>
            <w:r>
              <w:rPr>
                <w:rFonts w:hint="eastAsia"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D（</w:t>
            </w:r>
            <w:r>
              <w:rPr>
                <w:rFonts w:hint="eastAsia" w:cs="Times New Roman"/>
                <w:color w:val="000000" w:themeColor="text1"/>
                <w:sz w:val="24"/>
                <w:szCs w:val="24"/>
                <w:highlight w:val="none"/>
                <w:lang w:val="en-US" w:eastAsia="zh-CN"/>
                <w14:textFill>
                  <w14:solidFill>
                    <w14:schemeClr w14:val="tx1"/>
                  </w14:solidFill>
                </w14:textFill>
              </w:rPr>
              <w:t>0.15</w:t>
            </w:r>
            <w:r>
              <w:rPr>
                <w:rFonts w:hint="default" w:ascii="Times New Roman" w:hAnsi="Times New Roman" w:cs="Times New Roman"/>
                <w:color w:val="000000" w:themeColor="text1"/>
                <w:sz w:val="24"/>
                <w:szCs w:val="24"/>
                <w:highlight w:val="none"/>
                <w14:textFill>
                  <w14:solidFill>
                    <w14:schemeClr w14:val="tx1"/>
                  </w14:solidFill>
                </w14:textFill>
              </w:rPr>
              <w:t>t/h）=</w:t>
            </w:r>
            <w:r>
              <w:rPr>
                <w:rFonts w:hint="eastAsia" w:cs="Times New Roman"/>
                <w:color w:val="000000" w:themeColor="text1"/>
                <w:sz w:val="24"/>
                <w:szCs w:val="24"/>
                <w:highlight w:val="none"/>
                <w:lang w:val="en-US" w:eastAsia="zh-CN"/>
                <w14:textFill>
                  <w14:solidFill>
                    <w14:schemeClr w14:val="tx1"/>
                  </w14:solidFill>
                </w14:textFill>
              </w:rPr>
              <w:t>15</w:t>
            </w:r>
            <w:r>
              <w:rPr>
                <w:rFonts w:hint="default" w:ascii="Times New Roman" w:hAnsi="Times New Roman" w:cs="Times New Roman"/>
                <w:color w:val="000000" w:themeColor="text1"/>
                <w:sz w:val="24"/>
                <w:szCs w:val="24"/>
                <w:highlight w:val="none"/>
                <w14:textFill>
                  <w14:solidFill>
                    <w14:schemeClr w14:val="tx1"/>
                  </w14:solidFill>
                </w14:textFill>
              </w:rPr>
              <w:t>0kg/h</w:t>
            </w:r>
            <w:r>
              <w:rPr>
                <w:rFonts w:hint="eastAsia"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D（</w:t>
            </w:r>
            <w:r>
              <w:rPr>
                <w:rFonts w:hint="eastAsia" w:cs="Times New Roman"/>
                <w:color w:val="000000" w:themeColor="text1"/>
                <w:sz w:val="24"/>
                <w:szCs w:val="24"/>
                <w:highlight w:val="none"/>
                <w:lang w:val="en-US" w:eastAsia="zh-CN"/>
                <w14:textFill>
                  <w14:solidFill>
                    <w14:schemeClr w14:val="tx1"/>
                  </w14:solidFill>
                </w14:textFill>
              </w:rPr>
              <w:t>0.2</w:t>
            </w:r>
            <w:r>
              <w:rPr>
                <w:rFonts w:hint="default" w:ascii="Times New Roman" w:hAnsi="Times New Roman" w:cs="Times New Roman"/>
                <w:color w:val="000000" w:themeColor="text1"/>
                <w:sz w:val="24"/>
                <w:szCs w:val="24"/>
                <w:highlight w:val="none"/>
                <w14:textFill>
                  <w14:solidFill>
                    <w14:schemeClr w14:val="tx1"/>
                  </w14:solidFill>
                </w14:textFill>
              </w:rPr>
              <w:t>t/h）=</w:t>
            </w:r>
            <w:r>
              <w:rPr>
                <w:rFonts w:hint="eastAsia" w:cs="Times New Roman"/>
                <w:color w:val="000000" w:themeColor="text1"/>
                <w:sz w:val="24"/>
                <w:szCs w:val="24"/>
                <w:highlight w:val="none"/>
                <w:lang w:val="en-US" w:eastAsia="zh-CN"/>
                <w14:textFill>
                  <w14:solidFill>
                    <w14:schemeClr w14:val="tx1"/>
                  </w14:solidFill>
                </w14:textFill>
              </w:rPr>
              <w:t>20</w:t>
            </w:r>
            <w:r>
              <w:rPr>
                <w:rFonts w:hint="default" w:ascii="Times New Roman" w:hAnsi="Times New Roman" w:cs="Times New Roman"/>
                <w:color w:val="000000" w:themeColor="text1"/>
                <w:sz w:val="24"/>
                <w:szCs w:val="24"/>
                <w:highlight w:val="none"/>
                <w14:textFill>
                  <w14:solidFill>
                    <w14:schemeClr w14:val="tx1"/>
                  </w14:solidFill>
                </w14:textFill>
              </w:rPr>
              <w:t>0kg/h。</w:t>
            </w:r>
          </w:p>
          <w:p w14:paraId="473CB0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themeColor="text1"/>
                <w:sz w:val="24"/>
                <w:szCs w:val="24"/>
                <w:highlight w:val="none"/>
                <w:lang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经</w:t>
            </w:r>
            <w:r>
              <w:rPr>
                <w:rFonts w:hint="default" w:ascii="Times New Roman" w:hAnsi="Times New Roman" w:cs="Times New Roman"/>
                <w:color w:val="000000" w:themeColor="text1"/>
                <w:sz w:val="24"/>
                <w:szCs w:val="24"/>
                <w:highlight w:val="none"/>
                <w14:textFill>
                  <w14:solidFill>
                    <w14:schemeClr w14:val="tx1"/>
                  </w14:solidFill>
                </w14:textFill>
              </w:rPr>
              <w:t>计算</w:t>
            </w:r>
            <w:r>
              <w:rPr>
                <w:rFonts w:hint="eastAsia" w:cs="Times New Roman"/>
                <w:color w:val="000000" w:themeColor="text1"/>
                <w:sz w:val="24"/>
                <w:szCs w:val="24"/>
                <w:highlight w:val="none"/>
                <w:lang w:val="en-US" w:eastAsia="zh-CN"/>
                <w14:textFill>
                  <w14:solidFill>
                    <w14:schemeClr w14:val="tx1"/>
                  </w14:solidFill>
                </w14:textFill>
              </w:rPr>
              <w:t>可知</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单台</w:t>
            </w:r>
            <w:r>
              <w:rPr>
                <w:rFonts w:hint="eastAsia" w:cs="Times New Roman"/>
                <w:color w:val="000000" w:themeColor="text1"/>
                <w:sz w:val="24"/>
                <w:szCs w:val="24"/>
                <w:highlight w:val="none"/>
                <w:lang w:val="en-US" w:eastAsia="zh-CN"/>
                <w14:textFill>
                  <w14:solidFill>
                    <w14:schemeClr w14:val="tx1"/>
                  </w14:solidFill>
                </w14:textFill>
              </w:rPr>
              <w:t>0.1</w:t>
            </w:r>
            <w:r>
              <w:rPr>
                <w:rFonts w:hint="default" w:ascii="Times New Roman" w:hAnsi="Times New Roman" w:cs="Times New Roman"/>
                <w:color w:val="000000" w:themeColor="text1"/>
                <w:sz w:val="24"/>
                <w:szCs w:val="24"/>
                <w:highlight w:val="none"/>
                <w14:textFill>
                  <w14:solidFill>
                    <w14:schemeClr w14:val="tx1"/>
                  </w14:solidFill>
                </w14:textFill>
              </w:rPr>
              <w:t>t/h</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的</w:t>
            </w:r>
            <w:r>
              <w:rPr>
                <w:rFonts w:hint="eastAsia"/>
                <w:color w:val="000000" w:themeColor="text1"/>
                <w:kern w:val="0"/>
                <w:sz w:val="24"/>
                <w:highlight w:val="none"/>
                <w:lang w:bidi="ar"/>
                <w14:textFill>
                  <w14:solidFill>
                    <w14:schemeClr w14:val="tx1"/>
                  </w14:solidFill>
                </w14:textFill>
              </w:rPr>
              <w:t>蒸汽发生器</w:t>
            </w:r>
            <w:r>
              <w:rPr>
                <w:rFonts w:hint="default" w:ascii="Times New Roman" w:hAnsi="Times New Roman" w:cs="Times New Roman"/>
                <w:color w:val="000000" w:themeColor="text1"/>
                <w:sz w:val="24"/>
                <w:szCs w:val="24"/>
                <w:highlight w:val="none"/>
                <w14:textFill>
                  <w14:solidFill>
                    <w14:schemeClr w14:val="tx1"/>
                  </w14:solidFill>
                </w14:textFill>
              </w:rPr>
              <w:t>耗气量为</w:t>
            </w:r>
            <w:r>
              <w:rPr>
                <w:rFonts w:hint="eastAsia" w:cs="Times New Roman"/>
                <w:color w:val="000000" w:themeColor="text1"/>
                <w:sz w:val="24"/>
                <w:szCs w:val="24"/>
                <w:highlight w:val="none"/>
                <w:lang w:val="en-US" w:eastAsia="zh-CN"/>
                <w14:textFill>
                  <w14:solidFill>
                    <w14:schemeClr w14:val="tx1"/>
                  </w14:solidFill>
                </w14:textFill>
              </w:rPr>
              <w:t>7.689</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eastAsia"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单台</w:t>
            </w:r>
            <w:r>
              <w:rPr>
                <w:rFonts w:hint="eastAsia" w:cs="Times New Roman"/>
                <w:color w:val="000000" w:themeColor="text1"/>
                <w:sz w:val="24"/>
                <w:szCs w:val="24"/>
                <w:highlight w:val="none"/>
                <w:lang w:val="en-US" w:eastAsia="zh-CN"/>
                <w14:textFill>
                  <w14:solidFill>
                    <w14:schemeClr w14:val="tx1"/>
                  </w14:solidFill>
                </w14:textFill>
              </w:rPr>
              <w:t>0.15</w:t>
            </w:r>
            <w:r>
              <w:rPr>
                <w:rFonts w:hint="default" w:ascii="Times New Roman" w:hAnsi="Times New Roman" w:cs="Times New Roman"/>
                <w:color w:val="000000" w:themeColor="text1"/>
                <w:sz w:val="24"/>
                <w:szCs w:val="24"/>
                <w:highlight w:val="none"/>
                <w14:textFill>
                  <w14:solidFill>
                    <w14:schemeClr w14:val="tx1"/>
                  </w14:solidFill>
                </w14:textFill>
              </w:rPr>
              <w:t>t/h</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的</w:t>
            </w:r>
            <w:r>
              <w:rPr>
                <w:rFonts w:hint="eastAsia"/>
                <w:color w:val="000000" w:themeColor="text1"/>
                <w:kern w:val="0"/>
                <w:sz w:val="24"/>
                <w:highlight w:val="none"/>
                <w:lang w:bidi="ar"/>
                <w14:textFill>
                  <w14:solidFill>
                    <w14:schemeClr w14:val="tx1"/>
                  </w14:solidFill>
                </w14:textFill>
              </w:rPr>
              <w:t>蒸汽发生器</w:t>
            </w:r>
            <w:r>
              <w:rPr>
                <w:rFonts w:hint="default" w:ascii="Times New Roman" w:hAnsi="Times New Roman" w:cs="Times New Roman"/>
                <w:color w:val="000000" w:themeColor="text1"/>
                <w:sz w:val="24"/>
                <w:szCs w:val="24"/>
                <w:highlight w:val="none"/>
                <w14:textFill>
                  <w14:solidFill>
                    <w14:schemeClr w14:val="tx1"/>
                  </w14:solidFill>
                </w14:textFill>
              </w:rPr>
              <w:t>耗气量为</w:t>
            </w:r>
            <w:r>
              <w:rPr>
                <w:rFonts w:hint="eastAsia" w:cs="Times New Roman"/>
                <w:color w:val="000000" w:themeColor="text1"/>
                <w:sz w:val="24"/>
                <w:szCs w:val="24"/>
                <w:highlight w:val="none"/>
                <w:lang w:val="en-US" w:eastAsia="zh-CN"/>
                <w14:textFill>
                  <w14:solidFill>
                    <w14:schemeClr w14:val="tx1"/>
                  </w14:solidFill>
                </w14:textFill>
              </w:rPr>
              <w:t>11.533</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eastAsia"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单台</w:t>
            </w:r>
            <w:r>
              <w:rPr>
                <w:rFonts w:hint="eastAsia" w:cs="Times New Roman"/>
                <w:color w:val="000000" w:themeColor="text1"/>
                <w:sz w:val="24"/>
                <w:szCs w:val="24"/>
                <w:highlight w:val="none"/>
                <w:lang w:val="en-US" w:eastAsia="zh-CN"/>
                <w14:textFill>
                  <w14:solidFill>
                    <w14:schemeClr w14:val="tx1"/>
                  </w14:solidFill>
                </w14:textFill>
              </w:rPr>
              <w:t>0.2</w:t>
            </w:r>
            <w:r>
              <w:rPr>
                <w:rFonts w:hint="default" w:ascii="Times New Roman" w:hAnsi="Times New Roman" w:cs="Times New Roman"/>
                <w:color w:val="000000" w:themeColor="text1"/>
                <w:sz w:val="24"/>
                <w:szCs w:val="24"/>
                <w:highlight w:val="none"/>
                <w14:textFill>
                  <w14:solidFill>
                    <w14:schemeClr w14:val="tx1"/>
                  </w14:solidFill>
                </w14:textFill>
              </w:rPr>
              <w:t>t/h</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的</w:t>
            </w:r>
            <w:r>
              <w:rPr>
                <w:rFonts w:hint="eastAsia"/>
                <w:color w:val="000000" w:themeColor="text1"/>
                <w:kern w:val="0"/>
                <w:sz w:val="24"/>
                <w:highlight w:val="none"/>
                <w:lang w:bidi="ar"/>
                <w14:textFill>
                  <w14:solidFill>
                    <w14:schemeClr w14:val="tx1"/>
                  </w14:solidFill>
                </w14:textFill>
              </w:rPr>
              <w:t>蒸汽发生器</w:t>
            </w:r>
            <w:r>
              <w:rPr>
                <w:rFonts w:hint="default" w:ascii="Times New Roman" w:hAnsi="Times New Roman" w:cs="Times New Roman"/>
                <w:color w:val="000000" w:themeColor="text1"/>
                <w:sz w:val="24"/>
                <w:szCs w:val="24"/>
                <w:highlight w:val="none"/>
                <w14:textFill>
                  <w14:solidFill>
                    <w14:schemeClr w14:val="tx1"/>
                  </w14:solidFill>
                </w14:textFill>
              </w:rPr>
              <w:t>耗气量为</w:t>
            </w:r>
            <w:r>
              <w:rPr>
                <w:rFonts w:hint="eastAsia" w:cs="Times New Roman"/>
                <w:color w:val="000000" w:themeColor="text1"/>
                <w:sz w:val="24"/>
                <w:szCs w:val="24"/>
                <w:highlight w:val="none"/>
                <w:lang w:val="en-US" w:eastAsia="zh-CN"/>
                <w14:textFill>
                  <w14:solidFill>
                    <w14:schemeClr w14:val="tx1"/>
                  </w14:solidFill>
                </w14:textFill>
              </w:rPr>
              <w:t>15.378</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本项目</w:t>
            </w:r>
            <w:r>
              <w:rPr>
                <w:rFonts w:hint="eastAsia"/>
                <w:color w:val="000000"/>
                <w:sz w:val="24"/>
                <w:highlight w:val="none"/>
                <w:lang w:val="en-US" w:eastAsia="zh-CN"/>
              </w:rPr>
              <w:t>8</w:t>
            </w:r>
            <w:r>
              <w:rPr>
                <w:color w:val="000000"/>
                <w:sz w:val="24"/>
                <w:highlight w:val="none"/>
              </w:rPr>
              <w:t>台</w:t>
            </w:r>
            <w:r>
              <w:rPr>
                <w:rFonts w:hint="eastAsia"/>
                <w:color w:val="000000"/>
                <w:sz w:val="24"/>
                <w:highlight w:val="none"/>
                <w:lang w:val="en-US" w:eastAsia="zh-CN"/>
              </w:rPr>
              <w:t>0.1</w:t>
            </w:r>
            <w:r>
              <w:rPr>
                <w:rFonts w:hint="eastAsia"/>
                <w:color w:val="000000"/>
                <w:sz w:val="24"/>
                <w:highlight w:val="none"/>
              </w:rPr>
              <w:t>t</w:t>
            </w:r>
            <w:r>
              <w:rPr>
                <w:color w:val="000000"/>
                <w:sz w:val="24"/>
                <w:highlight w:val="none"/>
              </w:rPr>
              <w:t>/h</w:t>
            </w:r>
            <w:r>
              <w:rPr>
                <w:rFonts w:hint="eastAsia"/>
                <w:color w:val="000000"/>
                <w:sz w:val="24"/>
                <w:highlight w:val="none"/>
                <w:lang w:eastAsia="zh-CN"/>
              </w:rPr>
              <w:t>、</w:t>
            </w:r>
            <w:r>
              <w:rPr>
                <w:rFonts w:hint="eastAsia"/>
                <w:color w:val="000000"/>
                <w:sz w:val="24"/>
                <w:highlight w:val="none"/>
                <w:lang w:val="en-US" w:eastAsia="zh-CN"/>
              </w:rPr>
              <w:t>6台0.15t/h以及1台0.2t/h</w:t>
            </w:r>
            <w:r>
              <w:rPr>
                <w:rFonts w:hint="eastAsia"/>
                <w:color w:val="000000" w:themeColor="text1"/>
                <w:kern w:val="0"/>
                <w:sz w:val="24"/>
                <w:highlight w:val="none"/>
                <w:lang w:bidi="ar"/>
                <w14:textFill>
                  <w14:solidFill>
                    <w14:schemeClr w14:val="tx1"/>
                  </w14:solidFill>
                </w14:textFill>
              </w:rPr>
              <w:t>蒸汽发生器</w:t>
            </w:r>
            <w:r>
              <w:rPr>
                <w:rFonts w:hint="eastAsia"/>
                <w:color w:val="000000" w:themeColor="text1"/>
                <w:kern w:val="0"/>
                <w:sz w:val="24"/>
                <w:highlight w:val="none"/>
                <w:lang w:val="en-US" w:eastAsia="zh-CN" w:bidi="ar"/>
                <w14:textFill>
                  <w14:solidFill>
                    <w14:schemeClr w14:val="tx1"/>
                  </w14:solidFill>
                </w14:textFill>
              </w:rPr>
              <w:t>天然气年</w:t>
            </w:r>
            <w:r>
              <w:rPr>
                <w:rFonts w:hint="eastAsia" w:cs="Times New Roman"/>
                <w:color w:val="000000" w:themeColor="text1"/>
                <w:sz w:val="24"/>
                <w:szCs w:val="24"/>
                <w:highlight w:val="none"/>
                <w:lang w:eastAsia="zh-CN"/>
                <w14:textFill>
                  <w14:solidFill>
                    <w14:schemeClr w14:val="tx1"/>
                  </w14:solidFill>
                </w14:textFill>
              </w:rPr>
              <w:t>用气量为（</w:t>
            </w:r>
            <w:r>
              <w:rPr>
                <w:rFonts w:hint="eastAsia" w:cs="Times New Roman"/>
                <w:color w:val="000000" w:themeColor="text1"/>
                <w:sz w:val="24"/>
                <w:szCs w:val="24"/>
                <w:highlight w:val="none"/>
                <w:lang w:val="en-US" w:eastAsia="zh-CN"/>
                <w14:textFill>
                  <w14:solidFill>
                    <w14:schemeClr w14:val="tx1"/>
                  </w14:solidFill>
                </w14:textFill>
              </w:rPr>
              <w:t>7.689*8+11.533*6+15.378）</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4</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h*2</w:t>
            </w:r>
            <w:r>
              <w:rPr>
                <w:rFonts w:hint="eastAsia" w:cs="Times New Roman"/>
                <w:color w:val="000000" w:themeColor="text1"/>
                <w:sz w:val="24"/>
                <w:szCs w:val="24"/>
                <w:highlight w:val="none"/>
                <w:lang w:val="en-US" w:eastAsia="zh-CN"/>
                <w14:textFill>
                  <w14:solidFill>
                    <w14:schemeClr w14:val="tx1"/>
                  </w14:solidFill>
                </w14:textFill>
              </w:rPr>
              <w:t>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0d=</w:t>
            </w:r>
            <w:r>
              <w:rPr>
                <w:rFonts w:hint="eastAsia" w:cs="Times New Roman"/>
                <w:color w:val="000000" w:themeColor="text1"/>
                <w:sz w:val="24"/>
                <w:szCs w:val="24"/>
                <w:highlight w:val="none"/>
                <w:lang w:val="en-US" w:eastAsia="zh-CN"/>
                <w14:textFill>
                  <w14:solidFill>
                    <w14:schemeClr w14:val="tx1"/>
                  </w14:solidFill>
                </w14:textFill>
              </w:rPr>
              <w:t>116870.4</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p>
          <w:p w14:paraId="4DC551B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eastAsia" w:ascii="Times New Roman" w:hAnsi="Times New Roman" w:cs="Times New Roman"/>
                <w:b/>
                <w:bCs/>
                <w:color w:val="000000" w:themeColor="text1"/>
                <w:sz w:val="24"/>
                <w:szCs w:val="24"/>
                <w:highlight w:val="none"/>
                <w:lang w:val="en-US" w:eastAsia="zh-CN"/>
                <w14:textFill>
                  <w14:solidFill>
                    <w14:schemeClr w14:val="tx1"/>
                  </w14:solidFill>
                </w14:textFill>
              </w:rPr>
              <w:t>燃气炒锅、燃气汤锅</w:t>
            </w:r>
            <w:r>
              <w:rPr>
                <w:rFonts w:hint="default" w:ascii="Times New Roman" w:hAnsi="Times New Roman" w:cs="Times New Roman"/>
                <w:b/>
                <w:bCs/>
                <w:color w:val="000000" w:themeColor="text1"/>
                <w:sz w:val="24"/>
                <w:szCs w:val="24"/>
                <w:highlight w:val="none"/>
                <w:lang w:eastAsia="zh-CN"/>
                <w14:textFill>
                  <w14:solidFill>
                    <w14:schemeClr w14:val="tx1"/>
                  </w14:solidFill>
                </w14:textFill>
              </w:rPr>
              <w:t>天然气耗量</w:t>
            </w:r>
            <w:r>
              <w:rPr>
                <w:rFonts w:hint="eastAsia" w:ascii="Times New Roman" w:hAnsi="Times New Roman" w:cs="Times New Roman"/>
                <w:b/>
                <w:bCs/>
                <w:color w:val="000000" w:themeColor="text1"/>
                <w:sz w:val="24"/>
                <w:szCs w:val="24"/>
                <w:highlight w:val="none"/>
                <w:lang w:eastAsia="zh-CN"/>
                <w14:textFill>
                  <w14:solidFill>
                    <w14:schemeClr w14:val="tx1"/>
                  </w14:solidFill>
                </w14:textFill>
              </w:rPr>
              <w:t>：</w:t>
            </w:r>
          </w:p>
          <w:p w14:paraId="57D617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燃气炒锅</w:t>
            </w:r>
            <w:r>
              <w:rPr>
                <w:rFonts w:hint="default" w:ascii="Times New Roman" w:hAnsi="Times New Roman" w:cs="Times New Roman"/>
                <w:color w:val="000000" w:themeColor="text1"/>
                <w:sz w:val="24"/>
                <w:szCs w:val="24"/>
                <w:highlight w:val="none"/>
                <w14:textFill>
                  <w14:solidFill>
                    <w14:schemeClr w14:val="tx1"/>
                  </w14:solidFill>
                </w14:textFill>
              </w:rPr>
              <w:t>天然气消耗量</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项目使用的燃气炒锅燃气量为38000kcal/</w:t>
            </w:r>
            <w:r>
              <w:rPr>
                <w:rFonts w:hint="eastAsia" w:cs="Times New Roman"/>
                <w:color w:val="000000" w:themeColor="text1"/>
                <w:sz w:val="24"/>
                <w:szCs w:val="24"/>
                <w:highlight w:val="none"/>
                <w:lang w:val="en-US" w:eastAsia="zh-CN"/>
                <w14:textFill>
                  <w14:solidFill>
                    <w14:schemeClr w14:val="tx1"/>
                  </w14:solidFill>
                </w14:textFill>
              </w:rPr>
              <w:t>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，天然气平均低位发热量为7700kcal/</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~9310kcal/</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，则本项目燃气炒锅天然气用气量约为4.082~4.935</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燃气炒锅</w:t>
            </w:r>
            <w:r>
              <w:rPr>
                <w:rFonts w:hint="eastAsia" w:cs="Times New Roman"/>
                <w:color w:val="000000" w:themeColor="text1"/>
                <w:sz w:val="24"/>
                <w:szCs w:val="24"/>
                <w:highlight w:val="none"/>
                <w:lang w:val="en-US" w:eastAsia="zh-CN"/>
                <w14:textFill>
                  <w14:solidFill>
                    <w14:schemeClr w14:val="tx1"/>
                  </w14:solidFill>
                </w14:textFill>
              </w:rPr>
              <w:t>天然气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用气量取最大值4.935</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项目燃气炒锅每天运行3h，年运行200d，项目共配备7台燃气炒锅，则7台燃气炒锅</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天然气</w:t>
            </w:r>
            <w:r>
              <w:rPr>
                <w:rFonts w:hint="eastAsia"/>
                <w:color w:val="000000" w:themeColor="text1"/>
                <w:kern w:val="0"/>
                <w:sz w:val="24"/>
                <w:highlight w:val="none"/>
                <w:lang w:val="en-US" w:eastAsia="zh-CN" w:bidi="ar"/>
                <w14:textFill>
                  <w14:solidFill>
                    <w14:schemeClr w14:val="tx1"/>
                  </w14:solidFill>
                </w14:textFill>
              </w:rPr>
              <w:t>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用气量4.935</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h*2</w:t>
            </w:r>
            <w:r>
              <w:rPr>
                <w:rFonts w:hint="eastAsia" w:cs="Times New Roman"/>
                <w:color w:val="000000" w:themeColor="text1"/>
                <w:sz w:val="24"/>
                <w:szCs w:val="24"/>
                <w:highlight w:val="none"/>
                <w:lang w:val="en-US" w:eastAsia="zh-CN"/>
                <w14:textFill>
                  <w14:solidFill>
                    <w14:schemeClr w14:val="tx1"/>
                  </w14:solidFill>
                </w14:textFill>
              </w:rPr>
              <w:t>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0d*7=20727</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p>
          <w:p w14:paraId="64A1FA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燃气汤锅</w:t>
            </w:r>
            <w:r>
              <w:rPr>
                <w:rFonts w:hint="default" w:ascii="Times New Roman" w:hAnsi="Times New Roman" w:cs="Times New Roman"/>
                <w:color w:val="000000" w:themeColor="text1"/>
                <w:sz w:val="24"/>
                <w:szCs w:val="24"/>
                <w:highlight w:val="none"/>
                <w14:textFill>
                  <w14:solidFill>
                    <w14:schemeClr w14:val="tx1"/>
                  </w14:solidFill>
                </w14:textFill>
              </w:rPr>
              <w:t>天然气消耗量</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项目使用的</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燃气汤锅</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燃气量为7.0</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项目</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燃气汤锅</w:t>
            </w:r>
            <w:r>
              <w:rPr>
                <w:rFonts w:hint="eastAsia" w:cs="Times New Roman"/>
                <w:color w:val="000000" w:themeColor="text1"/>
                <w:sz w:val="24"/>
                <w:szCs w:val="24"/>
                <w:highlight w:val="none"/>
                <w:lang w:val="en-US" w:eastAsia="zh-CN"/>
                <w14:textFill>
                  <w14:solidFill>
                    <w14:schemeClr w14:val="tx1"/>
                  </w14:solidFill>
                </w14:textFill>
              </w:rPr>
              <w:t>每天运行3h，年运行200d，项目共配备6台</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燃气汤锅</w:t>
            </w:r>
            <w:r>
              <w:rPr>
                <w:rFonts w:hint="eastAsia" w:cs="Times New Roman"/>
                <w:color w:val="000000" w:themeColor="text1"/>
                <w:sz w:val="24"/>
                <w:szCs w:val="24"/>
                <w:highlight w:val="none"/>
                <w:lang w:val="en-US" w:eastAsia="zh-CN"/>
                <w14:textFill>
                  <w14:solidFill>
                    <w14:schemeClr w14:val="tx1"/>
                  </w14:solidFill>
                </w14:textFill>
              </w:rPr>
              <w:t>，则6台</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燃气汤锅</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天然气</w:t>
            </w:r>
            <w:r>
              <w:rPr>
                <w:rFonts w:hint="eastAsia"/>
                <w:color w:val="000000" w:themeColor="text1"/>
                <w:kern w:val="0"/>
                <w:sz w:val="24"/>
                <w:highlight w:val="none"/>
                <w:lang w:val="en-US" w:eastAsia="zh-CN" w:bidi="ar"/>
                <w14:textFill>
                  <w14:solidFill>
                    <w14:schemeClr w14:val="tx1"/>
                  </w14:solidFill>
                </w14:textFill>
              </w:rPr>
              <w:t>年</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用气量7.0</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/h</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h*2</w:t>
            </w:r>
            <w:r>
              <w:rPr>
                <w:rFonts w:hint="eastAsia" w:cs="Times New Roman"/>
                <w:color w:val="000000" w:themeColor="text1"/>
                <w:sz w:val="24"/>
                <w:szCs w:val="24"/>
                <w:highlight w:val="none"/>
                <w:lang w:val="en-US" w:eastAsia="zh-CN"/>
                <w14:textFill>
                  <w14:solidFill>
                    <w14:schemeClr w14:val="tx1"/>
                  </w14:solidFill>
                </w14:textFill>
              </w:rPr>
              <w:t>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0d*6=25200</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p>
          <w:p w14:paraId="21ED51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综上所述，本项目全厂天然气年用量为162797.4</w:t>
            </w:r>
            <w:r>
              <w:rPr>
                <w:rFonts w:hint="eastAsia" w:cs="Times New Roman"/>
                <w:color w:val="000000" w:themeColor="text1"/>
                <w:sz w:val="24"/>
                <w:szCs w:val="24"/>
                <w:highlight w:val="none"/>
                <w:lang w:eastAsia="zh-CN"/>
                <w14:textFill>
                  <w14:solidFill>
                    <w14:schemeClr w14:val="tx1"/>
                  </w14:solidFill>
                </w14:textFill>
              </w:rPr>
              <w:t>m</w:t>
            </w:r>
            <w:r>
              <w:rPr>
                <w:rFonts w:hint="eastAsia" w:cs="Times New Roman"/>
                <w:color w:val="000000" w:themeColor="text1"/>
                <w:sz w:val="24"/>
                <w:szCs w:val="24"/>
                <w:highlight w:val="none"/>
                <w:vertAlign w:val="superscript"/>
                <w:lang w:eastAsia="zh-CN"/>
                <w14:textFill>
                  <w14:solidFill>
                    <w14:schemeClr w14:val="tx1"/>
                  </w14:solidFill>
                </w14:textFill>
              </w:rPr>
              <w:t>3</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p>
          <w:p w14:paraId="2399FA1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6、水平衡分析</w:t>
            </w:r>
          </w:p>
          <w:p w14:paraId="409E675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本项目营运期用水主要为职工生活用水</w:t>
            </w:r>
            <w:r>
              <w:rPr>
                <w:rFonts w:hint="eastAsia" w:ascii="Times New Roman" w:hAnsi="Times New Roman" w:eastAsia="宋体" w:cs="Times New Roman"/>
                <w:color w:val="auto"/>
                <w:sz w:val="24"/>
                <w:szCs w:val="24"/>
                <w:highlight w:val="none"/>
                <w:u w:val="none"/>
                <w:lang w:val="en-US" w:eastAsia="zh-CN"/>
              </w:rPr>
              <w:t>、</w:t>
            </w:r>
            <w:r>
              <w:rPr>
                <w:rFonts w:hint="eastAsia"/>
                <w:b w:val="0"/>
                <w:bCs/>
                <w:sz w:val="24"/>
                <w:szCs w:val="24"/>
                <w:highlight w:val="none"/>
                <w:lang w:eastAsia="zh-CN"/>
              </w:rPr>
              <w:t>肉类解冻清洗用水、</w:t>
            </w:r>
            <w:r>
              <w:rPr>
                <w:rFonts w:hint="eastAsia" w:ascii="Times New Roman" w:hAnsi="Times New Roman" w:eastAsia="宋体" w:cs="Times New Roman"/>
                <w:color w:val="auto"/>
                <w:sz w:val="24"/>
                <w:szCs w:val="24"/>
                <w:highlight w:val="none"/>
                <w:u w:val="none"/>
                <w:lang w:val="en-US" w:eastAsia="zh-CN"/>
              </w:rPr>
              <w:t>蔬菜清洗用水、和面用水</w:t>
            </w:r>
            <w:r>
              <w:rPr>
                <w:rFonts w:hint="eastAsia" w:ascii="Times New Roman" w:hAnsi="Times New Roman" w:eastAsia="宋体" w:cs="Times New Roman"/>
                <w:color w:val="auto"/>
                <w:sz w:val="24"/>
                <w:szCs w:val="24"/>
                <w:highlight w:val="none"/>
                <w:u w:val="none"/>
                <w:lang w:eastAsia="zh-CN"/>
              </w:rPr>
              <w:t>、</w:t>
            </w:r>
            <w:r>
              <w:rPr>
                <w:rFonts w:hint="eastAsia" w:ascii="Times New Roman" w:hAnsi="Times New Roman"/>
                <w:color w:val="000000" w:themeColor="text1"/>
                <w:sz w:val="24"/>
                <w:szCs w:val="24"/>
                <w:highlight w:val="none"/>
                <w:lang w:val="en-US" w:eastAsia="zh-CN"/>
                <w14:textFill>
                  <w14:solidFill>
                    <w14:schemeClr w14:val="tx1"/>
                  </w14:solidFill>
                </w14:textFill>
              </w:rPr>
              <w:t>洗米用水、蒸米用水、</w:t>
            </w:r>
            <w:r>
              <w:rPr>
                <w:rFonts w:hint="eastAsia" w:ascii="Times New Roman" w:hAnsi="Times New Roman" w:eastAsia="宋体" w:cs="Times New Roman"/>
                <w:color w:val="auto"/>
                <w:sz w:val="24"/>
                <w:szCs w:val="24"/>
                <w:highlight w:val="none"/>
                <w:u w:val="none"/>
                <w:lang w:val="en-US" w:eastAsia="zh-CN"/>
              </w:rPr>
              <w:t>设备清洗用水、</w:t>
            </w:r>
            <w:r>
              <w:rPr>
                <w:rFonts w:hint="eastAsia"/>
                <w:sz w:val="24"/>
                <w:szCs w:val="24"/>
                <w:highlight w:val="none"/>
                <w:lang w:eastAsia="zh-CN"/>
              </w:rPr>
              <w:t>餐具回收清洗用水、</w:t>
            </w:r>
            <w:r>
              <w:rPr>
                <w:rFonts w:hint="eastAsia" w:ascii="Times New Roman" w:hAnsi="Times New Roman" w:eastAsia="宋体" w:cs="Times New Roman"/>
                <w:color w:val="auto"/>
                <w:sz w:val="24"/>
                <w:szCs w:val="24"/>
                <w:highlight w:val="none"/>
                <w:u w:val="none"/>
                <w:lang w:val="en-US" w:eastAsia="zh-CN"/>
              </w:rPr>
              <w:t>地面清洗用水、</w:t>
            </w:r>
            <w:r>
              <w:rPr>
                <w:rFonts w:hint="eastAsia" w:hAnsi="宋体"/>
                <w:color w:val="000000"/>
                <w:sz w:val="24"/>
                <w:highlight w:val="none"/>
                <w:lang w:val="en-US" w:eastAsia="zh-CN"/>
              </w:rPr>
              <w:t>蒸汽发生器用</w:t>
            </w:r>
            <w:r>
              <w:rPr>
                <w:rFonts w:hint="eastAsia" w:hAnsi="宋体"/>
                <w:color w:val="000000"/>
                <w:sz w:val="24"/>
                <w:highlight w:val="none"/>
              </w:rPr>
              <w:t>水</w:t>
            </w:r>
            <w:r>
              <w:rPr>
                <w:rFonts w:hint="eastAsia" w:hAnsi="宋体"/>
                <w:color w:val="000000"/>
                <w:sz w:val="24"/>
                <w:highlight w:val="none"/>
                <w:lang w:eastAsia="zh-CN"/>
              </w:rPr>
              <w:t>、</w:t>
            </w:r>
            <w:r>
              <w:rPr>
                <w:rFonts w:hint="eastAsia" w:hAnsi="宋体"/>
                <w:color w:val="000000"/>
                <w:sz w:val="24"/>
                <w:highlight w:val="none"/>
                <w:lang w:val="en-US" w:eastAsia="zh-CN"/>
              </w:rPr>
              <w:t>纯</w:t>
            </w:r>
            <w:r>
              <w:rPr>
                <w:rFonts w:hint="eastAsia" w:hAnsi="宋体"/>
                <w:color w:val="000000"/>
                <w:sz w:val="24"/>
                <w:highlight w:val="none"/>
              </w:rPr>
              <w:t>水制备用水</w:t>
            </w:r>
            <w:r>
              <w:rPr>
                <w:rFonts w:hint="eastAsia" w:hAnsi="宋体"/>
                <w:color w:val="000000"/>
                <w:sz w:val="24"/>
                <w:highlight w:val="none"/>
                <w:lang w:val="en-US" w:eastAsia="zh-CN"/>
              </w:rPr>
              <w:t>以及</w:t>
            </w:r>
            <w:r>
              <w:rPr>
                <w:rFonts w:hint="eastAsia"/>
                <w:color w:val="000000" w:themeColor="text1"/>
                <w:kern w:val="0"/>
                <w:sz w:val="24"/>
                <w:highlight w:val="none"/>
                <w:lang w:val="en-US" w:eastAsia="zh-CN" w:bidi="ar"/>
                <w14:textFill>
                  <w14:solidFill>
                    <w14:schemeClr w14:val="tx1"/>
                  </w14:solidFill>
                </w14:textFill>
              </w:rPr>
              <w:t>化</w:t>
            </w:r>
            <w:r>
              <w:rPr>
                <w:rFonts w:hint="eastAsia"/>
                <w:color w:val="000000" w:themeColor="text1"/>
                <w:kern w:val="0"/>
                <w:sz w:val="24"/>
                <w:highlight w:val="none"/>
                <w:lang w:bidi="ar"/>
                <w14:textFill>
                  <w14:solidFill>
                    <w14:schemeClr w14:val="tx1"/>
                  </w14:solidFill>
                </w14:textFill>
              </w:rPr>
              <w:t>验室</w:t>
            </w:r>
            <w:r>
              <w:rPr>
                <w:rFonts w:hint="eastAsia"/>
                <w:color w:val="000000" w:themeColor="text1"/>
                <w:kern w:val="0"/>
                <w:sz w:val="24"/>
                <w:highlight w:val="none"/>
                <w:lang w:val="en-US" w:eastAsia="zh-CN" w:bidi="ar"/>
                <w14:textFill>
                  <w14:solidFill>
                    <w14:schemeClr w14:val="tx1"/>
                  </w14:solidFill>
                </w14:textFill>
              </w:rPr>
              <w:t>用</w:t>
            </w:r>
            <w:r>
              <w:rPr>
                <w:rFonts w:hint="eastAsia"/>
                <w:color w:val="000000" w:themeColor="text1"/>
                <w:kern w:val="0"/>
                <w:sz w:val="24"/>
                <w:highlight w:val="none"/>
                <w:lang w:bidi="ar"/>
                <w14:textFill>
                  <w14:solidFill>
                    <w14:schemeClr w14:val="tx1"/>
                  </w14:solidFill>
                </w14:textFill>
              </w:rPr>
              <w:t>水</w:t>
            </w:r>
            <w:r>
              <w:rPr>
                <w:rFonts w:hint="default" w:ascii="Times New Roman" w:hAnsi="Times New Roman" w:eastAsia="宋体" w:cs="Times New Roman"/>
                <w:color w:val="auto"/>
                <w:sz w:val="24"/>
                <w:szCs w:val="24"/>
                <w:highlight w:val="none"/>
                <w:u w:val="none"/>
              </w:rPr>
              <w:t>；废水主要为职工生活污水</w:t>
            </w:r>
            <w:r>
              <w:rPr>
                <w:rFonts w:hint="eastAsia" w:ascii="Times New Roman" w:hAnsi="Times New Roman" w:eastAsia="宋体" w:cs="Times New Roman"/>
                <w:color w:val="auto"/>
                <w:sz w:val="24"/>
                <w:szCs w:val="24"/>
                <w:highlight w:val="none"/>
                <w:u w:val="none"/>
                <w:lang w:eastAsia="zh-CN"/>
              </w:rPr>
              <w:t>、</w:t>
            </w:r>
            <w:r>
              <w:rPr>
                <w:rFonts w:hint="eastAsia"/>
                <w:b w:val="0"/>
                <w:bCs/>
                <w:sz w:val="24"/>
                <w:szCs w:val="24"/>
                <w:highlight w:val="none"/>
                <w:lang w:eastAsia="zh-CN"/>
              </w:rPr>
              <w:t>肉类解冻清洗</w:t>
            </w:r>
            <w:r>
              <w:rPr>
                <w:rFonts w:hint="eastAsia" w:ascii="Times New Roman" w:hAnsi="Times New Roman" w:eastAsia="宋体" w:cs="Times New Roman"/>
                <w:color w:val="auto"/>
                <w:sz w:val="24"/>
                <w:szCs w:val="24"/>
                <w:highlight w:val="none"/>
                <w:u w:val="none"/>
                <w:lang w:val="en-US" w:eastAsia="zh-CN"/>
              </w:rPr>
              <w:t>废水、蔬菜清洗废水、</w:t>
            </w:r>
            <w:r>
              <w:rPr>
                <w:rFonts w:hint="eastAsia" w:ascii="Times New Roman" w:hAnsi="Times New Roman"/>
                <w:color w:val="000000" w:themeColor="text1"/>
                <w:sz w:val="24"/>
                <w:szCs w:val="24"/>
                <w:highlight w:val="none"/>
                <w:lang w:val="en-US" w:eastAsia="zh-CN"/>
                <w14:textFill>
                  <w14:solidFill>
                    <w14:schemeClr w14:val="tx1"/>
                  </w14:solidFill>
                </w14:textFill>
              </w:rPr>
              <w:t>洗米废水、</w:t>
            </w:r>
            <w:r>
              <w:rPr>
                <w:rFonts w:hint="eastAsia" w:ascii="Times New Roman" w:hAnsi="Times New Roman" w:eastAsia="宋体" w:cs="Times New Roman"/>
                <w:color w:val="auto"/>
                <w:sz w:val="24"/>
                <w:szCs w:val="24"/>
                <w:highlight w:val="none"/>
                <w:u w:val="none"/>
                <w:lang w:val="en-US" w:eastAsia="zh-CN"/>
              </w:rPr>
              <w:t>设备清洗废水、</w:t>
            </w:r>
            <w:r>
              <w:rPr>
                <w:rFonts w:hint="eastAsia"/>
                <w:sz w:val="24"/>
                <w:szCs w:val="24"/>
                <w:highlight w:val="none"/>
                <w:lang w:eastAsia="zh-CN"/>
              </w:rPr>
              <w:t>餐具回收清洗</w:t>
            </w:r>
            <w:r>
              <w:rPr>
                <w:rFonts w:hint="eastAsia"/>
                <w:sz w:val="24"/>
                <w:szCs w:val="24"/>
                <w:highlight w:val="none"/>
                <w:lang w:val="en-US" w:eastAsia="zh-CN"/>
              </w:rPr>
              <w:t>废</w:t>
            </w:r>
            <w:r>
              <w:rPr>
                <w:rFonts w:hint="eastAsia"/>
                <w:sz w:val="24"/>
                <w:szCs w:val="24"/>
                <w:highlight w:val="none"/>
                <w:lang w:eastAsia="zh-CN"/>
              </w:rPr>
              <w:t>水、</w:t>
            </w:r>
            <w:r>
              <w:rPr>
                <w:rFonts w:hint="eastAsia" w:ascii="Times New Roman" w:hAnsi="Times New Roman" w:eastAsia="宋体" w:cs="Times New Roman"/>
                <w:color w:val="auto"/>
                <w:sz w:val="24"/>
                <w:szCs w:val="24"/>
                <w:highlight w:val="none"/>
                <w:u w:val="none"/>
                <w:lang w:val="en-US" w:eastAsia="zh-CN"/>
              </w:rPr>
              <w:t>地面清洗废水</w:t>
            </w:r>
            <w:r>
              <w:rPr>
                <w:rFonts w:hint="eastAsia" w:cs="Times New Roman"/>
                <w:color w:val="auto"/>
                <w:sz w:val="24"/>
                <w:szCs w:val="24"/>
                <w:highlight w:val="none"/>
                <w:u w:val="none"/>
                <w:lang w:val="en-US" w:eastAsia="zh-CN"/>
              </w:rPr>
              <w:t>、</w:t>
            </w:r>
            <w:r>
              <w:rPr>
                <w:rFonts w:hint="eastAsia" w:hAnsi="宋体"/>
                <w:color w:val="000000"/>
                <w:sz w:val="24"/>
                <w:highlight w:val="none"/>
                <w:lang w:val="en-US" w:eastAsia="zh-CN"/>
              </w:rPr>
              <w:t>蒸汽发生器</w:t>
            </w:r>
            <w:r>
              <w:rPr>
                <w:rFonts w:hint="eastAsia" w:cs="Times New Roman"/>
                <w:color w:val="auto"/>
                <w:sz w:val="24"/>
                <w:szCs w:val="24"/>
                <w:highlight w:val="none"/>
                <w:u w:val="none"/>
                <w:lang w:val="en-US" w:eastAsia="zh-CN"/>
              </w:rPr>
              <w:t>排污水、</w:t>
            </w:r>
            <w:r>
              <w:rPr>
                <w:rFonts w:hint="eastAsia" w:hAnsi="宋体"/>
                <w:color w:val="000000"/>
                <w:sz w:val="24"/>
                <w:highlight w:val="none"/>
                <w:lang w:val="en-US" w:eastAsia="zh-CN"/>
              </w:rPr>
              <w:t>纯</w:t>
            </w:r>
            <w:r>
              <w:rPr>
                <w:rFonts w:hint="eastAsia" w:hAnsi="宋体"/>
                <w:color w:val="000000"/>
                <w:sz w:val="24"/>
                <w:highlight w:val="none"/>
              </w:rPr>
              <w:t>水制备</w:t>
            </w:r>
            <w:r>
              <w:rPr>
                <w:rFonts w:hint="eastAsia" w:hAnsi="宋体"/>
                <w:color w:val="000000"/>
                <w:sz w:val="24"/>
                <w:highlight w:val="none"/>
                <w:lang w:val="en-US" w:eastAsia="zh-CN"/>
              </w:rPr>
              <w:t>浓</w:t>
            </w:r>
            <w:r>
              <w:rPr>
                <w:rFonts w:hint="eastAsia" w:hAnsi="宋体"/>
                <w:color w:val="000000"/>
                <w:sz w:val="24"/>
                <w:highlight w:val="none"/>
              </w:rPr>
              <w:t>水</w:t>
            </w:r>
            <w:r>
              <w:rPr>
                <w:rFonts w:hint="eastAsia" w:hAnsi="宋体"/>
                <w:color w:val="000000"/>
                <w:sz w:val="24"/>
                <w:highlight w:val="none"/>
                <w:lang w:val="en-US" w:eastAsia="zh-CN"/>
              </w:rPr>
              <w:t>以及</w:t>
            </w:r>
            <w:r>
              <w:rPr>
                <w:rFonts w:hint="eastAsia"/>
                <w:color w:val="000000" w:themeColor="text1"/>
                <w:kern w:val="0"/>
                <w:sz w:val="24"/>
                <w:highlight w:val="none"/>
                <w:lang w:val="en-US" w:eastAsia="zh-CN" w:bidi="ar"/>
                <w14:textFill>
                  <w14:solidFill>
                    <w14:schemeClr w14:val="tx1"/>
                  </w14:solidFill>
                </w14:textFill>
              </w:rPr>
              <w:t>化</w:t>
            </w:r>
            <w:r>
              <w:rPr>
                <w:rFonts w:hint="eastAsia"/>
                <w:color w:val="000000" w:themeColor="text1"/>
                <w:kern w:val="0"/>
                <w:sz w:val="24"/>
                <w:highlight w:val="none"/>
                <w:lang w:bidi="ar"/>
                <w14:textFill>
                  <w14:solidFill>
                    <w14:schemeClr w14:val="tx1"/>
                  </w14:solidFill>
                </w14:textFill>
              </w:rPr>
              <w:t>验室</w:t>
            </w:r>
            <w:r>
              <w:rPr>
                <w:rFonts w:hint="eastAsia"/>
                <w:color w:val="000000" w:themeColor="text1"/>
                <w:kern w:val="0"/>
                <w:sz w:val="24"/>
                <w:highlight w:val="none"/>
                <w:lang w:val="en-US" w:eastAsia="zh-CN" w:bidi="ar"/>
                <w14:textFill>
                  <w14:solidFill>
                    <w14:schemeClr w14:val="tx1"/>
                  </w14:solidFill>
                </w14:textFill>
              </w:rPr>
              <w:t>废</w:t>
            </w:r>
            <w:r>
              <w:rPr>
                <w:rFonts w:hint="eastAsia"/>
                <w:color w:val="000000" w:themeColor="text1"/>
                <w:kern w:val="0"/>
                <w:sz w:val="24"/>
                <w:highlight w:val="none"/>
                <w:lang w:bidi="ar"/>
                <w14:textFill>
                  <w14:solidFill>
                    <w14:schemeClr w14:val="tx1"/>
                  </w14:solidFill>
                </w14:textFill>
              </w:rPr>
              <w:t>水</w:t>
            </w:r>
            <w:r>
              <w:rPr>
                <w:rFonts w:hint="default" w:ascii="Times New Roman" w:hAnsi="Times New Roman" w:eastAsia="宋体" w:cs="Times New Roman"/>
                <w:color w:val="auto"/>
                <w:sz w:val="24"/>
                <w:szCs w:val="24"/>
                <w:highlight w:val="none"/>
                <w:u w:val="none"/>
              </w:rPr>
              <w:t>。</w:t>
            </w:r>
          </w:p>
          <w:p w14:paraId="345A72F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color w:val="auto"/>
                <w:kern w:val="0"/>
                <w:sz w:val="24"/>
                <w:szCs w:val="24"/>
                <w:u w:val="none"/>
              </w:rPr>
              <w:t>（1）</w:t>
            </w:r>
            <w:r>
              <w:rPr>
                <w:rFonts w:hint="default" w:ascii="Times New Roman" w:hAnsi="Times New Roman" w:eastAsia="宋体" w:cs="Times New Roman"/>
                <w:bCs/>
                <w:color w:val="auto"/>
                <w:sz w:val="24"/>
                <w:szCs w:val="24"/>
                <w:u w:val="none"/>
              </w:rPr>
              <w:t>职工生活用水</w:t>
            </w:r>
          </w:p>
          <w:p w14:paraId="5FE745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项目劳动定员为</w:t>
            </w:r>
            <w:r>
              <w:rPr>
                <w:rFonts w:hint="eastAsia" w:cs="Times New Roman"/>
                <w:bCs/>
                <w:color w:val="000000" w:themeColor="text1"/>
                <w:sz w:val="24"/>
                <w:szCs w:val="24"/>
                <w:u w:val="none"/>
                <w:lang w:val="en-US" w:eastAsia="zh-CN"/>
                <w14:textFill>
                  <w14:solidFill>
                    <w14:schemeClr w14:val="tx1"/>
                  </w14:solidFill>
                </w14:textFill>
              </w:rPr>
              <w:t>150</w:t>
            </w:r>
            <w:r>
              <w:rPr>
                <w:rFonts w:hint="default" w:ascii="Times New Roman" w:hAnsi="Times New Roman" w:eastAsia="宋体" w:cs="Times New Roman"/>
                <w:bCs/>
                <w:color w:val="auto"/>
                <w:sz w:val="24"/>
                <w:szCs w:val="24"/>
                <w:u w:val="none"/>
              </w:rPr>
              <w:t>人，不在厂区</w:t>
            </w:r>
            <w:r>
              <w:rPr>
                <w:rFonts w:hint="eastAsia" w:cs="Times New Roman"/>
                <w:bCs/>
                <w:color w:val="auto"/>
                <w:sz w:val="24"/>
                <w:szCs w:val="24"/>
                <w:u w:val="none"/>
                <w:lang w:val="en-US" w:eastAsia="zh-CN"/>
              </w:rPr>
              <w:t>食</w:t>
            </w:r>
            <w:r>
              <w:rPr>
                <w:rFonts w:hint="default" w:ascii="Times New Roman" w:hAnsi="Times New Roman" w:eastAsia="宋体" w:cs="Times New Roman"/>
                <w:bCs/>
                <w:color w:val="auto"/>
                <w:sz w:val="24"/>
                <w:szCs w:val="24"/>
                <w:u w:val="none"/>
              </w:rPr>
              <w:t>宿，根据河南省地方标准《工业及城镇生活用水定额》（DB41/T385-2020），</w:t>
            </w:r>
            <w:r>
              <w:rPr>
                <w:rFonts w:hint="default" w:ascii="Times New Roman" w:hAnsi="Times New Roman" w:eastAsia="宋体" w:cs="Times New Roman"/>
                <w:color w:val="auto"/>
                <w:kern w:val="0"/>
                <w:sz w:val="24"/>
                <w:szCs w:val="24"/>
                <w:u w:val="none"/>
              </w:rPr>
              <w:t>职工生活用水量取</w:t>
            </w:r>
            <w:r>
              <w:rPr>
                <w:rFonts w:hint="eastAsia" w:cs="Times New Roman"/>
                <w:color w:val="auto"/>
                <w:kern w:val="0"/>
                <w:sz w:val="24"/>
                <w:szCs w:val="24"/>
                <w:u w:val="none"/>
                <w:lang w:val="en-US" w:eastAsia="zh-CN"/>
              </w:rPr>
              <w:t>5</w:t>
            </w:r>
            <w:r>
              <w:rPr>
                <w:rFonts w:hint="default" w:ascii="Times New Roman" w:hAnsi="Times New Roman" w:eastAsia="宋体" w:cs="Times New Roman"/>
                <w:color w:val="auto"/>
                <w:kern w:val="0"/>
                <w:sz w:val="24"/>
                <w:szCs w:val="24"/>
                <w:u w:val="none"/>
              </w:rPr>
              <w:t>0L/人·d</w:t>
            </w:r>
            <w:r>
              <w:rPr>
                <w:rFonts w:hint="default" w:ascii="Times New Roman" w:hAnsi="Times New Roman" w:eastAsia="宋体" w:cs="Times New Roman"/>
                <w:bCs/>
                <w:color w:val="auto"/>
                <w:sz w:val="24"/>
                <w:szCs w:val="24"/>
                <w:u w:val="none"/>
              </w:rPr>
              <w:t>，则生活用水量为</w:t>
            </w:r>
            <w:r>
              <w:rPr>
                <w:rFonts w:hint="eastAsia" w:cs="Times New Roman"/>
                <w:bCs/>
                <w:color w:val="auto"/>
                <w:sz w:val="24"/>
                <w:szCs w:val="24"/>
                <w:u w:val="none"/>
                <w:lang w:val="en-US" w:eastAsia="zh-CN"/>
              </w:rPr>
              <w:t>7.5</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1</w:t>
            </w:r>
            <w:r>
              <w:rPr>
                <w:rFonts w:hint="eastAsia" w:cs="Times New Roman"/>
                <w:bCs/>
                <w:color w:val="auto"/>
                <w:sz w:val="24"/>
                <w:szCs w:val="24"/>
                <w:u w:val="none"/>
                <w:lang w:val="en-US" w:eastAsia="zh-CN"/>
              </w:rPr>
              <w:t>50</w:t>
            </w:r>
            <w:r>
              <w:rPr>
                <w:rFonts w:hint="eastAsia" w:ascii="Times New Roman" w:hAnsi="Times New Roman" w:eastAsia="宋体" w:cs="Times New Roman"/>
                <w:bCs/>
                <w:color w:val="auto"/>
                <w:sz w:val="24"/>
                <w:szCs w:val="24"/>
                <w:u w:val="none"/>
                <w:lang w:val="en-US" w:eastAsia="zh-CN"/>
              </w:rPr>
              <w:t>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Cs/>
                <w:color w:val="auto"/>
                <w:sz w:val="24"/>
                <w:szCs w:val="24"/>
                <w:u w:val="none"/>
              </w:rPr>
              <w:t>，废水产生系数取0.8，则生活污水产生量为</w:t>
            </w:r>
            <w:r>
              <w:rPr>
                <w:rFonts w:hint="eastAsia" w:cs="Times New Roman"/>
                <w:bCs/>
                <w:color w:val="auto"/>
                <w:sz w:val="24"/>
                <w:szCs w:val="24"/>
                <w:u w:val="none"/>
                <w:lang w:val="en-US" w:eastAsia="zh-CN"/>
              </w:rPr>
              <w:t>6.0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1</w:t>
            </w:r>
            <w:r>
              <w:rPr>
                <w:rFonts w:hint="eastAsia" w:cs="Times New Roman"/>
                <w:bCs/>
                <w:color w:val="auto"/>
                <w:sz w:val="24"/>
                <w:szCs w:val="24"/>
                <w:u w:val="none"/>
                <w:lang w:val="en-US" w:eastAsia="zh-CN"/>
              </w:rPr>
              <w:t>200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Cs/>
                <w:color w:val="auto"/>
                <w:sz w:val="24"/>
                <w:szCs w:val="24"/>
                <w:u w:val="none"/>
              </w:rPr>
              <w:t>，</w:t>
            </w:r>
            <w:r>
              <w:rPr>
                <w:rFonts w:hint="default" w:ascii="Times New Roman" w:hAnsi="Times New Roman" w:eastAsia="宋体" w:cs="Times New Roman"/>
                <w:color w:val="auto"/>
                <w:sz w:val="24"/>
                <w:szCs w:val="24"/>
                <w:u w:val="none"/>
              </w:rPr>
              <w:t>污水中主要污染物浓度分别为COD350mg/L、BOD</w:t>
            </w:r>
            <w:r>
              <w:rPr>
                <w:rFonts w:hint="default" w:ascii="Times New Roman" w:hAnsi="Times New Roman" w:eastAsia="宋体" w:cs="Times New Roman"/>
                <w:color w:val="auto"/>
                <w:sz w:val="24"/>
                <w:szCs w:val="24"/>
                <w:u w:val="none"/>
                <w:vertAlign w:val="subscript"/>
              </w:rPr>
              <w:t>5</w:t>
            </w:r>
            <w:r>
              <w:rPr>
                <w:rFonts w:hint="default" w:ascii="Times New Roman" w:hAnsi="Times New Roman" w:eastAsia="宋体" w:cs="Times New Roman"/>
                <w:color w:val="auto"/>
                <w:sz w:val="24"/>
                <w:szCs w:val="24"/>
                <w:u w:val="none"/>
              </w:rPr>
              <w:t>250mg/L、SS280mg/L、NH</w:t>
            </w:r>
            <w:r>
              <w:rPr>
                <w:rFonts w:hint="default" w:ascii="Times New Roman" w:hAnsi="Times New Roman" w:eastAsia="宋体" w:cs="Times New Roman"/>
                <w:color w:val="auto"/>
                <w:sz w:val="24"/>
                <w:szCs w:val="24"/>
                <w:u w:val="none"/>
                <w:vertAlign w:val="subscript"/>
              </w:rPr>
              <w:t>3</w:t>
            </w:r>
            <w:r>
              <w:rPr>
                <w:rFonts w:hint="default" w:ascii="Times New Roman" w:hAnsi="Times New Roman" w:eastAsia="宋体" w:cs="Times New Roman"/>
                <w:color w:val="auto"/>
                <w:sz w:val="24"/>
                <w:szCs w:val="24"/>
                <w:u w:val="none"/>
              </w:rPr>
              <w:t>-N30mg/L</w:t>
            </w:r>
            <w:r>
              <w:rPr>
                <w:rFonts w:hint="default" w:ascii="Times New Roman" w:hAnsi="Times New Roman" w:eastAsia="宋体" w:cs="Times New Roman"/>
                <w:bCs/>
                <w:color w:val="auto"/>
                <w:sz w:val="24"/>
                <w:szCs w:val="24"/>
                <w:u w:val="none"/>
              </w:rPr>
              <w:t>。</w:t>
            </w:r>
          </w:p>
          <w:p w14:paraId="52E9E7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sz w:val="24"/>
                <w:szCs w:val="24"/>
                <w:lang w:eastAsia="zh-CN"/>
              </w:rPr>
            </w:pPr>
            <w:r>
              <w:rPr>
                <w:rFonts w:hint="eastAsia"/>
                <w:b w:val="0"/>
                <w:bCs/>
                <w:sz w:val="24"/>
                <w:szCs w:val="24"/>
                <w:lang w:eastAsia="zh-CN"/>
              </w:rPr>
              <w:t>（</w:t>
            </w:r>
            <w:r>
              <w:rPr>
                <w:rFonts w:hint="eastAsia"/>
                <w:b w:val="0"/>
                <w:bCs/>
                <w:sz w:val="24"/>
                <w:szCs w:val="24"/>
                <w:lang w:val="en-US" w:eastAsia="zh-CN"/>
              </w:rPr>
              <w:t>2</w:t>
            </w:r>
            <w:r>
              <w:rPr>
                <w:rFonts w:hint="eastAsia"/>
                <w:b w:val="0"/>
                <w:bCs/>
                <w:sz w:val="24"/>
                <w:szCs w:val="24"/>
                <w:lang w:eastAsia="zh-CN"/>
              </w:rPr>
              <w:t>）肉类解冻清洗用水</w:t>
            </w:r>
          </w:p>
          <w:p w14:paraId="1E52AFB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sz w:val="24"/>
                <w:szCs w:val="24"/>
                <w:lang w:eastAsia="zh-CN"/>
              </w:rPr>
            </w:pPr>
            <w:r>
              <w:rPr>
                <w:rFonts w:hint="eastAsia"/>
                <w:b w:val="0"/>
                <w:bCs/>
                <w:sz w:val="24"/>
                <w:szCs w:val="24"/>
                <w:lang w:eastAsia="zh-CN"/>
              </w:rPr>
              <w:t>本项目需对采购回来的</w:t>
            </w:r>
            <w:r>
              <w:rPr>
                <w:rFonts w:hint="eastAsia"/>
                <w:b w:val="0"/>
                <w:bCs/>
                <w:sz w:val="24"/>
                <w:szCs w:val="24"/>
                <w:lang w:val="en-US" w:eastAsia="zh-CN"/>
              </w:rPr>
              <w:t>肉类</w:t>
            </w:r>
            <w:r>
              <w:rPr>
                <w:rFonts w:hint="eastAsia"/>
                <w:b w:val="0"/>
                <w:bCs/>
                <w:sz w:val="24"/>
                <w:szCs w:val="24"/>
                <w:lang w:eastAsia="zh-CN"/>
              </w:rPr>
              <w:t>食材进行</w:t>
            </w:r>
            <w:r>
              <w:rPr>
                <w:rFonts w:hint="eastAsia"/>
                <w:b w:val="0"/>
                <w:bCs/>
                <w:sz w:val="24"/>
                <w:szCs w:val="24"/>
                <w:lang w:val="en-US" w:eastAsia="zh-CN"/>
              </w:rPr>
              <w:t>解冻、</w:t>
            </w:r>
            <w:r>
              <w:rPr>
                <w:rFonts w:hint="eastAsia"/>
                <w:b w:val="0"/>
                <w:bCs/>
                <w:sz w:val="24"/>
                <w:szCs w:val="24"/>
                <w:lang w:eastAsia="zh-CN"/>
              </w:rPr>
              <w:t>清洗，解冻清洗用水量为</w:t>
            </w:r>
            <w:r>
              <w:rPr>
                <w:rFonts w:hint="eastAsia"/>
                <w:b w:val="0"/>
                <w:bCs/>
                <w:sz w:val="24"/>
                <w:szCs w:val="24"/>
                <w:lang w:val="en-US" w:eastAsia="zh-CN"/>
              </w:rPr>
              <w:t>1.5</w:t>
            </w:r>
            <w:r>
              <w:rPr>
                <w:rFonts w:hint="eastAsia"/>
                <w:b w:val="0"/>
                <w:bCs/>
                <w:sz w:val="24"/>
                <w:szCs w:val="24"/>
                <w:lang w:eastAsia="zh-CN"/>
              </w:rPr>
              <w:t>t/t</w:t>
            </w:r>
            <w:r>
              <w:rPr>
                <w:rFonts w:hint="eastAsia"/>
                <w:b w:val="0"/>
                <w:bCs/>
                <w:sz w:val="24"/>
                <w:szCs w:val="24"/>
                <w:lang w:val="en-US" w:eastAsia="zh-CN"/>
              </w:rPr>
              <w:t>原料</w:t>
            </w:r>
            <w:r>
              <w:rPr>
                <w:rFonts w:hint="eastAsia"/>
                <w:b w:val="0"/>
                <w:bCs/>
                <w:sz w:val="24"/>
                <w:szCs w:val="24"/>
                <w:lang w:eastAsia="zh-CN"/>
              </w:rPr>
              <w:t>，本项目肉类原料用量</w:t>
            </w:r>
            <w:r>
              <w:rPr>
                <w:rFonts w:hint="eastAsia"/>
                <w:b w:val="0"/>
                <w:bCs/>
                <w:sz w:val="24"/>
                <w:szCs w:val="24"/>
                <w:lang w:val="en-US" w:eastAsia="zh-CN"/>
              </w:rPr>
              <w:t>212</w:t>
            </w:r>
            <w:r>
              <w:rPr>
                <w:rFonts w:hint="eastAsia"/>
                <w:b w:val="0"/>
                <w:bCs/>
                <w:sz w:val="24"/>
                <w:szCs w:val="24"/>
                <w:lang w:eastAsia="zh-CN"/>
              </w:rPr>
              <w:t>0t/a，则本项目解冻清洗用水量约</w:t>
            </w:r>
            <w:r>
              <w:rPr>
                <w:rFonts w:hint="eastAsia" w:cs="Times New Roman"/>
                <w:bCs/>
                <w:color w:val="auto"/>
                <w:sz w:val="24"/>
                <w:szCs w:val="24"/>
                <w:u w:val="none"/>
                <w:lang w:val="en-US" w:eastAsia="zh-CN"/>
              </w:rPr>
              <w:t>15.9</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3180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commentRangeStart w:id="52"/>
            <w:r>
              <w:rPr>
                <w:rFonts w:hint="eastAsia"/>
                <w:b w:val="0"/>
                <w:bCs/>
                <w:sz w:val="24"/>
                <w:szCs w:val="24"/>
                <w:lang w:eastAsia="zh-CN"/>
              </w:rPr>
              <w:t>，废水产生量按用水量的0.</w:t>
            </w:r>
            <w:r>
              <w:rPr>
                <w:rFonts w:hint="eastAsia"/>
                <w:b w:val="0"/>
                <w:bCs/>
                <w:sz w:val="24"/>
                <w:szCs w:val="24"/>
                <w:lang w:val="en-US" w:eastAsia="zh-CN"/>
              </w:rPr>
              <w:t>9</w:t>
            </w:r>
            <w:r>
              <w:rPr>
                <w:rFonts w:hint="eastAsia"/>
                <w:b w:val="0"/>
                <w:bCs/>
                <w:sz w:val="24"/>
                <w:szCs w:val="24"/>
                <w:lang w:eastAsia="zh-CN"/>
              </w:rPr>
              <w:t>计，</w:t>
            </w:r>
            <w:commentRangeEnd w:id="52"/>
            <w:r>
              <w:commentReference w:id="52"/>
            </w:r>
            <w:r>
              <w:rPr>
                <w:rFonts w:hint="eastAsia"/>
                <w:b w:val="0"/>
                <w:bCs/>
                <w:sz w:val="24"/>
                <w:szCs w:val="24"/>
                <w:lang w:eastAsia="zh-CN"/>
              </w:rPr>
              <w:t>则本项目肉类原料解冻清洗废水量约</w:t>
            </w:r>
            <w:r>
              <w:rPr>
                <w:rFonts w:hint="eastAsia" w:cs="Times New Roman"/>
                <w:bCs/>
                <w:color w:val="auto"/>
                <w:sz w:val="24"/>
                <w:szCs w:val="24"/>
                <w:u w:val="none"/>
                <w:lang w:val="en-US" w:eastAsia="zh-CN"/>
              </w:rPr>
              <w:t>14.31</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2862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p>
          <w:p w14:paraId="1BF60D3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b w:val="0"/>
                <w:bCs/>
                <w:sz w:val="24"/>
                <w:szCs w:val="24"/>
                <w:lang w:val="en-US" w:eastAsia="zh-CN"/>
              </w:rPr>
            </w:pPr>
            <w:r>
              <w:rPr>
                <w:rFonts w:hint="eastAsia"/>
                <w:b w:val="0"/>
                <w:bCs/>
                <w:sz w:val="24"/>
                <w:szCs w:val="24"/>
                <w:lang w:eastAsia="zh-CN"/>
              </w:rPr>
              <w:t>（</w:t>
            </w:r>
            <w:r>
              <w:rPr>
                <w:rFonts w:hint="eastAsia"/>
                <w:b w:val="0"/>
                <w:bCs/>
                <w:sz w:val="24"/>
                <w:szCs w:val="24"/>
                <w:lang w:val="en-US" w:eastAsia="zh-CN"/>
              </w:rPr>
              <w:t>3</w:t>
            </w:r>
            <w:r>
              <w:rPr>
                <w:rFonts w:hint="eastAsia"/>
                <w:b w:val="0"/>
                <w:bCs/>
                <w:sz w:val="24"/>
                <w:szCs w:val="24"/>
                <w:lang w:eastAsia="zh-CN"/>
              </w:rPr>
              <w:t>）</w:t>
            </w:r>
            <w:r>
              <w:rPr>
                <w:rFonts w:hint="eastAsia"/>
                <w:b w:val="0"/>
                <w:bCs/>
                <w:sz w:val="24"/>
                <w:szCs w:val="24"/>
                <w:lang w:val="en-US" w:eastAsia="zh-CN"/>
              </w:rPr>
              <w:t>蔬菜清洗用水</w:t>
            </w:r>
          </w:p>
          <w:p w14:paraId="03A1A79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sz w:val="24"/>
                <w:szCs w:val="24"/>
                <w:lang w:eastAsia="zh-CN"/>
              </w:rPr>
            </w:pPr>
            <w:r>
              <w:rPr>
                <w:rFonts w:hint="eastAsia"/>
                <w:b w:val="0"/>
                <w:bCs/>
                <w:sz w:val="24"/>
                <w:szCs w:val="24"/>
                <w:lang w:eastAsia="zh-CN"/>
              </w:rPr>
              <w:t>本项目需对采购回来的</w:t>
            </w:r>
            <w:r>
              <w:rPr>
                <w:rFonts w:hint="eastAsia"/>
                <w:b w:val="0"/>
                <w:bCs/>
                <w:sz w:val="24"/>
                <w:szCs w:val="24"/>
                <w:lang w:val="en-US" w:eastAsia="zh-CN"/>
              </w:rPr>
              <w:t>蔬菜</w:t>
            </w:r>
            <w:r>
              <w:rPr>
                <w:rFonts w:hint="eastAsia"/>
                <w:b w:val="0"/>
                <w:bCs/>
                <w:sz w:val="24"/>
                <w:szCs w:val="24"/>
                <w:lang w:eastAsia="zh-CN"/>
              </w:rPr>
              <w:t>进行清洗，清洗用水量为</w:t>
            </w:r>
            <w:r>
              <w:rPr>
                <w:rFonts w:hint="eastAsia"/>
                <w:b w:val="0"/>
                <w:bCs/>
                <w:sz w:val="24"/>
                <w:szCs w:val="24"/>
                <w:lang w:val="en-US" w:eastAsia="zh-CN"/>
              </w:rPr>
              <w:t>1.0</w:t>
            </w:r>
            <w:r>
              <w:rPr>
                <w:rFonts w:hint="eastAsia"/>
                <w:b w:val="0"/>
                <w:bCs/>
                <w:sz w:val="24"/>
                <w:szCs w:val="24"/>
                <w:lang w:eastAsia="zh-CN"/>
              </w:rPr>
              <w:t>t/t</w:t>
            </w:r>
            <w:r>
              <w:rPr>
                <w:rFonts w:hint="eastAsia"/>
                <w:b w:val="0"/>
                <w:bCs/>
                <w:sz w:val="24"/>
                <w:szCs w:val="24"/>
                <w:lang w:val="en-US" w:eastAsia="zh-CN"/>
              </w:rPr>
              <w:t>原料</w:t>
            </w:r>
            <w:r>
              <w:rPr>
                <w:rFonts w:hint="eastAsia"/>
                <w:b w:val="0"/>
                <w:bCs/>
                <w:sz w:val="24"/>
                <w:szCs w:val="24"/>
                <w:lang w:eastAsia="zh-CN"/>
              </w:rPr>
              <w:t>，本项目</w:t>
            </w:r>
            <w:r>
              <w:rPr>
                <w:rFonts w:hint="eastAsia"/>
                <w:b w:val="0"/>
                <w:bCs/>
                <w:sz w:val="24"/>
                <w:szCs w:val="24"/>
                <w:lang w:val="en-US" w:eastAsia="zh-CN"/>
              </w:rPr>
              <w:t>蔬菜</w:t>
            </w:r>
            <w:r>
              <w:rPr>
                <w:rFonts w:hint="eastAsia"/>
                <w:b w:val="0"/>
                <w:bCs/>
                <w:sz w:val="24"/>
                <w:szCs w:val="24"/>
                <w:lang w:eastAsia="zh-CN"/>
              </w:rPr>
              <w:t>用量</w:t>
            </w:r>
            <w:r>
              <w:rPr>
                <w:rFonts w:hint="eastAsia"/>
                <w:b w:val="0"/>
                <w:bCs/>
                <w:sz w:val="24"/>
                <w:szCs w:val="24"/>
                <w:lang w:val="en-US" w:eastAsia="zh-CN"/>
              </w:rPr>
              <w:t>640</w:t>
            </w:r>
            <w:r>
              <w:rPr>
                <w:rFonts w:hint="eastAsia"/>
                <w:b w:val="0"/>
                <w:bCs/>
                <w:sz w:val="24"/>
                <w:szCs w:val="24"/>
                <w:lang w:eastAsia="zh-CN"/>
              </w:rPr>
              <w:t>t/a，则本项目</w:t>
            </w:r>
            <w:r>
              <w:rPr>
                <w:rFonts w:hint="eastAsia"/>
                <w:b w:val="0"/>
                <w:bCs/>
                <w:sz w:val="24"/>
                <w:szCs w:val="24"/>
                <w:lang w:val="en-US" w:eastAsia="zh-CN"/>
              </w:rPr>
              <w:t>蔬菜清洗</w:t>
            </w:r>
            <w:r>
              <w:rPr>
                <w:rFonts w:hint="eastAsia"/>
                <w:b w:val="0"/>
                <w:bCs/>
                <w:sz w:val="24"/>
                <w:szCs w:val="24"/>
                <w:lang w:eastAsia="zh-CN"/>
              </w:rPr>
              <w:t>用水量约</w:t>
            </w:r>
            <w:r>
              <w:rPr>
                <w:rFonts w:hint="eastAsia" w:cs="Times New Roman"/>
                <w:bCs/>
                <w:color w:val="auto"/>
                <w:sz w:val="24"/>
                <w:szCs w:val="24"/>
                <w:u w:val="none"/>
                <w:lang w:val="en-US" w:eastAsia="zh-CN"/>
              </w:rPr>
              <w:t>3.2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640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b w:val="0"/>
                <w:bCs/>
                <w:sz w:val="24"/>
                <w:szCs w:val="24"/>
                <w:lang w:eastAsia="zh-CN"/>
              </w:rPr>
              <w:t>，废水产生量按用水</w:t>
            </w:r>
            <w:commentRangeStart w:id="53"/>
            <w:r>
              <w:rPr>
                <w:rFonts w:hint="eastAsia"/>
                <w:b w:val="0"/>
                <w:bCs/>
                <w:sz w:val="24"/>
                <w:szCs w:val="24"/>
                <w:lang w:eastAsia="zh-CN"/>
              </w:rPr>
              <w:t>量的0.</w:t>
            </w:r>
            <w:r>
              <w:rPr>
                <w:rFonts w:hint="eastAsia"/>
                <w:b w:val="0"/>
                <w:bCs/>
                <w:sz w:val="24"/>
                <w:szCs w:val="24"/>
                <w:lang w:val="en-US" w:eastAsia="zh-CN"/>
              </w:rPr>
              <w:t>9</w:t>
            </w:r>
            <w:r>
              <w:rPr>
                <w:rFonts w:hint="eastAsia"/>
                <w:b w:val="0"/>
                <w:bCs/>
                <w:sz w:val="24"/>
                <w:szCs w:val="24"/>
                <w:lang w:eastAsia="zh-CN"/>
              </w:rPr>
              <w:t>计，</w:t>
            </w:r>
            <w:commentRangeEnd w:id="53"/>
            <w:r>
              <w:commentReference w:id="53"/>
            </w:r>
            <w:r>
              <w:rPr>
                <w:rFonts w:hint="eastAsia"/>
                <w:b w:val="0"/>
                <w:bCs/>
                <w:sz w:val="24"/>
                <w:szCs w:val="24"/>
                <w:lang w:eastAsia="zh-CN"/>
              </w:rPr>
              <w:t>则本项目肉类</w:t>
            </w:r>
            <w:ins w:id="35" w:author="Administrator" w:date="2025-10-03T22:31:20Z">
              <w:r>
                <w:rPr>
                  <w:rFonts w:hint="eastAsia"/>
                  <w:b w:val="0"/>
                  <w:bCs/>
                  <w:sz w:val="24"/>
                  <w:szCs w:val="24"/>
                  <w:lang w:eastAsia="zh-CN"/>
                </w:rPr>
                <w:t>？？</w:t>
              </w:r>
            </w:ins>
            <w:ins w:id="36" w:author="Administrator" w:date="2025-10-03T22:31:21Z">
              <w:r>
                <w:rPr>
                  <w:rFonts w:hint="eastAsia"/>
                  <w:b w:val="0"/>
                  <w:bCs/>
                  <w:sz w:val="24"/>
                  <w:szCs w:val="24"/>
                  <w:lang w:eastAsia="zh-CN"/>
                </w:rPr>
                <w:t>？？</w:t>
              </w:r>
            </w:ins>
            <w:r>
              <w:rPr>
                <w:rFonts w:hint="eastAsia"/>
                <w:b w:val="0"/>
                <w:bCs/>
                <w:sz w:val="24"/>
                <w:szCs w:val="24"/>
                <w:lang w:eastAsia="zh-CN"/>
              </w:rPr>
              <w:t>原料解冻清洗废水量约</w:t>
            </w:r>
            <w:r>
              <w:rPr>
                <w:rFonts w:hint="eastAsia" w:cs="Times New Roman"/>
                <w:bCs/>
                <w:color w:val="auto"/>
                <w:sz w:val="24"/>
                <w:szCs w:val="24"/>
                <w:u w:val="none"/>
                <w:lang w:val="en-US" w:eastAsia="zh-CN"/>
              </w:rPr>
              <w:t>2.88</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576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p>
          <w:p w14:paraId="54EC51A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sz w:val="24"/>
                <w:szCs w:val="24"/>
                <w:lang w:val="en-US" w:eastAsia="zh-CN"/>
              </w:rPr>
            </w:pPr>
            <w:r>
              <w:rPr>
                <w:rFonts w:hint="eastAsia"/>
                <w:b w:val="0"/>
                <w:bCs/>
                <w:sz w:val="24"/>
                <w:szCs w:val="24"/>
                <w:lang w:eastAsia="zh-CN"/>
              </w:rPr>
              <w:t>（</w:t>
            </w:r>
            <w:r>
              <w:rPr>
                <w:rFonts w:hint="eastAsia"/>
                <w:b w:val="0"/>
                <w:bCs/>
                <w:sz w:val="24"/>
                <w:szCs w:val="24"/>
                <w:lang w:val="en-US" w:eastAsia="zh-CN"/>
              </w:rPr>
              <w:t>4</w:t>
            </w:r>
            <w:r>
              <w:rPr>
                <w:rFonts w:hint="eastAsia"/>
                <w:b w:val="0"/>
                <w:bCs/>
                <w:sz w:val="24"/>
                <w:szCs w:val="24"/>
                <w:lang w:eastAsia="zh-CN"/>
              </w:rPr>
              <w:t>）</w:t>
            </w:r>
            <w:r>
              <w:rPr>
                <w:rFonts w:hint="eastAsia"/>
                <w:b w:val="0"/>
                <w:bCs/>
                <w:sz w:val="24"/>
                <w:szCs w:val="24"/>
                <w:lang w:val="en-US" w:eastAsia="zh-CN"/>
              </w:rPr>
              <w:t>和面用水</w:t>
            </w:r>
          </w:p>
          <w:p w14:paraId="4F1098B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b w:val="0"/>
                <w:bCs/>
                <w:sz w:val="24"/>
                <w:szCs w:val="24"/>
                <w:lang w:val="en-US" w:eastAsia="zh-CN"/>
              </w:rPr>
            </w:pPr>
            <w:r>
              <w:rPr>
                <w:rFonts w:hint="eastAsia"/>
                <w:sz w:val="24"/>
                <w:szCs w:val="24"/>
                <w:lang w:eastAsia="zh-CN"/>
              </w:rPr>
              <w:t>本项目</w:t>
            </w:r>
            <w:r>
              <w:rPr>
                <w:rFonts w:hint="eastAsia"/>
                <w:sz w:val="24"/>
                <w:szCs w:val="24"/>
                <w:lang w:val="en-US" w:eastAsia="zh-CN"/>
              </w:rPr>
              <w:t>和面</w:t>
            </w:r>
            <w:r>
              <w:rPr>
                <w:rFonts w:hint="eastAsia"/>
                <w:sz w:val="24"/>
                <w:szCs w:val="24"/>
                <w:lang w:eastAsia="zh-CN"/>
              </w:rPr>
              <w:t>过程中需按一定比例加入新鲜水，面粉和</w:t>
            </w:r>
            <w:r>
              <w:rPr>
                <w:rFonts w:hint="eastAsia"/>
                <w:sz w:val="24"/>
                <w:szCs w:val="24"/>
                <w:lang w:val="en-US" w:eastAsia="zh-CN"/>
              </w:rPr>
              <w:t>纯</w:t>
            </w:r>
            <w:r>
              <w:rPr>
                <w:rFonts w:hint="eastAsia"/>
                <w:sz w:val="24"/>
                <w:szCs w:val="24"/>
                <w:lang w:eastAsia="zh-CN"/>
              </w:rPr>
              <w:t>水的比例约为1：</w:t>
            </w:r>
            <w:r>
              <w:rPr>
                <w:rFonts w:hint="eastAsia"/>
                <w:sz w:val="24"/>
                <w:szCs w:val="24"/>
                <w:lang w:val="en-US" w:eastAsia="zh-CN"/>
              </w:rPr>
              <w:t>0.3</w:t>
            </w:r>
            <w:r>
              <w:rPr>
                <w:rFonts w:hint="eastAsia"/>
                <w:sz w:val="24"/>
                <w:szCs w:val="24"/>
                <w:lang w:eastAsia="zh-CN"/>
              </w:rPr>
              <w:t>，本项目面粉</w:t>
            </w:r>
            <w:r>
              <w:rPr>
                <w:rFonts w:hint="eastAsia"/>
                <w:sz w:val="24"/>
                <w:szCs w:val="24"/>
                <w:lang w:val="en-US" w:eastAsia="zh-CN"/>
              </w:rPr>
              <w:t>使用量为240</w:t>
            </w:r>
            <w:r>
              <w:rPr>
                <w:rFonts w:hint="eastAsia"/>
                <w:sz w:val="24"/>
                <w:szCs w:val="24"/>
                <w:lang w:eastAsia="zh-CN"/>
              </w:rPr>
              <w:t>t/a，则项目</w:t>
            </w:r>
            <w:r>
              <w:rPr>
                <w:rFonts w:hint="eastAsia"/>
                <w:sz w:val="24"/>
                <w:szCs w:val="24"/>
                <w:lang w:val="en-US" w:eastAsia="zh-CN"/>
              </w:rPr>
              <w:t>和面（粉）</w:t>
            </w:r>
            <w:r>
              <w:rPr>
                <w:rFonts w:hint="eastAsia"/>
                <w:sz w:val="24"/>
                <w:szCs w:val="24"/>
                <w:lang w:eastAsia="zh-CN"/>
              </w:rPr>
              <w:t>用水量为</w:t>
            </w:r>
            <w:r>
              <w:rPr>
                <w:rFonts w:hint="eastAsia" w:cs="Times New Roman"/>
                <w:bCs/>
                <w:color w:val="auto"/>
                <w:sz w:val="24"/>
                <w:szCs w:val="24"/>
                <w:u w:val="none"/>
                <w:lang w:val="en-US" w:eastAsia="zh-CN"/>
              </w:rPr>
              <w:t>0.36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72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sz w:val="24"/>
                <w:szCs w:val="24"/>
                <w:lang w:eastAsia="zh-CN"/>
              </w:rPr>
              <w:t>，全部进入产品</w:t>
            </w:r>
            <w:ins w:id="37" w:author="Administrator" w:date="2025-10-03T22:31:48Z">
              <w:r>
                <w:rPr>
                  <w:rFonts w:hint="eastAsia"/>
                  <w:sz w:val="24"/>
                  <w:szCs w:val="24"/>
                  <w:lang w:eastAsia="zh-CN"/>
                </w:rPr>
                <w:t>在</w:t>
              </w:r>
            </w:ins>
            <w:ins w:id="38" w:author="Administrator" w:date="2025-10-03T22:31:51Z">
              <w:r>
                <w:rPr>
                  <w:rFonts w:hint="eastAsia"/>
                  <w:sz w:val="24"/>
                  <w:szCs w:val="24"/>
                  <w:lang w:eastAsia="zh-CN"/>
                </w:rPr>
                <w:t>蒸煮</w:t>
              </w:r>
            </w:ins>
            <w:ins w:id="39" w:author="Administrator" w:date="2025-10-03T22:31:54Z">
              <w:r>
                <w:rPr>
                  <w:rFonts w:hint="eastAsia"/>
                  <w:sz w:val="24"/>
                  <w:szCs w:val="24"/>
                  <w:lang w:eastAsia="zh-CN"/>
                </w:rPr>
                <w:t>炒</w:t>
              </w:r>
            </w:ins>
            <w:ins w:id="40" w:author="Administrator" w:date="2025-10-03T22:31:57Z">
              <w:r>
                <w:rPr>
                  <w:rFonts w:hint="eastAsia"/>
                  <w:sz w:val="24"/>
                  <w:szCs w:val="24"/>
                  <w:lang w:eastAsia="zh-CN"/>
                </w:rPr>
                <w:t>等</w:t>
              </w:r>
            </w:ins>
            <w:ins w:id="41" w:author="Administrator" w:date="2025-10-03T22:31:58Z">
              <w:r>
                <w:rPr>
                  <w:rFonts w:hint="eastAsia"/>
                  <w:sz w:val="24"/>
                  <w:szCs w:val="24"/>
                  <w:lang w:eastAsia="zh-CN"/>
                </w:rPr>
                <w:t>过程中，</w:t>
              </w:r>
            </w:ins>
            <w:ins w:id="42" w:author="Administrator" w:date="2025-10-03T22:32:01Z">
              <w:r>
                <w:rPr>
                  <w:rFonts w:hint="eastAsia"/>
                  <w:sz w:val="24"/>
                  <w:szCs w:val="24"/>
                  <w:lang w:eastAsia="zh-CN"/>
                </w:rPr>
                <w:t>还是</w:t>
              </w:r>
            </w:ins>
            <w:ins w:id="43" w:author="Administrator" w:date="2025-10-03T22:32:02Z">
              <w:r>
                <w:rPr>
                  <w:rFonts w:hint="eastAsia"/>
                  <w:sz w:val="24"/>
                  <w:szCs w:val="24"/>
                  <w:lang w:eastAsia="zh-CN"/>
                </w:rPr>
                <w:t>会有</w:t>
              </w:r>
            </w:ins>
            <w:ins w:id="44" w:author="Administrator" w:date="2025-10-03T22:32:03Z">
              <w:r>
                <w:rPr>
                  <w:rFonts w:hint="eastAsia"/>
                  <w:sz w:val="24"/>
                  <w:szCs w:val="24"/>
                  <w:lang w:eastAsia="zh-CN"/>
                </w:rPr>
                <w:t>一部分</w:t>
              </w:r>
            </w:ins>
            <w:ins w:id="45" w:author="Administrator" w:date="2025-10-03T22:32:05Z">
              <w:r>
                <w:rPr>
                  <w:rFonts w:hint="eastAsia"/>
                  <w:sz w:val="24"/>
                  <w:szCs w:val="24"/>
                  <w:lang w:eastAsia="zh-CN"/>
                </w:rPr>
                <w:t>散失</w:t>
              </w:r>
            </w:ins>
            <w:ins w:id="46" w:author="Administrator" w:date="2025-10-03T22:32:06Z">
              <w:r>
                <w:rPr>
                  <w:rFonts w:hint="eastAsia"/>
                  <w:sz w:val="24"/>
                  <w:szCs w:val="24"/>
                  <w:lang w:eastAsia="zh-CN"/>
                </w:rPr>
                <w:t>的</w:t>
              </w:r>
            </w:ins>
            <w:r>
              <w:rPr>
                <w:rFonts w:hint="eastAsia"/>
                <w:sz w:val="24"/>
                <w:szCs w:val="24"/>
                <w:lang w:eastAsia="zh-CN"/>
              </w:rPr>
              <w:t>，不外排。</w:t>
            </w:r>
            <w:ins w:id="47" w:author="Administrator" w:date="2025-10-03T22:32:10Z">
              <w:r>
                <w:rPr>
                  <w:rFonts w:hint="eastAsia"/>
                  <w:sz w:val="24"/>
                  <w:szCs w:val="24"/>
                  <w:lang w:val="en-US" w:eastAsia="zh-CN"/>
                </w:rPr>
                <w:t xml:space="preserve"> </w:t>
              </w:r>
            </w:ins>
            <w:ins w:id="48" w:author="Administrator" w:date="2025-10-03T22:32:11Z">
              <w:r>
                <w:rPr>
                  <w:rFonts w:hint="eastAsia"/>
                  <w:sz w:val="24"/>
                  <w:szCs w:val="24"/>
                  <w:lang w:val="en-US" w:eastAsia="zh-CN"/>
                </w:rPr>
                <w:t xml:space="preserve">  </w:t>
              </w:r>
            </w:ins>
            <w:ins w:id="49" w:author="Administrator" w:date="2025-10-03T22:32:12Z">
              <w:r>
                <w:rPr>
                  <w:rFonts w:hint="eastAsia"/>
                  <w:sz w:val="24"/>
                  <w:szCs w:val="24"/>
                  <w:lang w:val="en-US" w:eastAsia="zh-CN"/>
                </w:rPr>
                <w:t>不做</w:t>
              </w:r>
            </w:ins>
            <w:ins w:id="50" w:author="Administrator" w:date="2025-10-03T22:32:13Z">
              <w:r>
                <w:rPr>
                  <w:rFonts w:hint="eastAsia"/>
                  <w:sz w:val="24"/>
                  <w:szCs w:val="24"/>
                  <w:lang w:val="en-US" w:eastAsia="zh-CN"/>
                </w:rPr>
                <w:t>物料</w:t>
              </w:r>
            </w:ins>
            <w:ins w:id="51" w:author="Administrator" w:date="2025-10-03T22:32:14Z">
              <w:r>
                <w:rPr>
                  <w:rFonts w:hint="eastAsia"/>
                  <w:sz w:val="24"/>
                  <w:szCs w:val="24"/>
                  <w:lang w:val="en-US" w:eastAsia="zh-CN"/>
                </w:rPr>
                <w:t>平衡</w:t>
              </w:r>
            </w:ins>
            <w:ins w:id="52" w:author="Administrator" w:date="2025-10-03T22:32:15Z">
              <w:r>
                <w:rPr>
                  <w:rFonts w:hint="eastAsia"/>
                  <w:sz w:val="24"/>
                  <w:szCs w:val="24"/>
                  <w:lang w:val="en-US" w:eastAsia="zh-CN"/>
                </w:rPr>
                <w:t>了，</w:t>
              </w:r>
            </w:ins>
            <w:ins w:id="53" w:author="Administrator" w:date="2025-10-03T22:32:16Z">
              <w:r>
                <w:rPr>
                  <w:rFonts w:hint="eastAsia"/>
                  <w:sz w:val="24"/>
                  <w:szCs w:val="24"/>
                  <w:lang w:val="en-US" w:eastAsia="zh-CN"/>
                </w:rPr>
                <w:t>无所谓，</w:t>
              </w:r>
            </w:ins>
            <w:ins w:id="54" w:author="Administrator" w:date="2025-10-03T22:32:20Z">
              <w:r>
                <w:rPr>
                  <w:rFonts w:hint="eastAsia"/>
                  <w:sz w:val="24"/>
                  <w:szCs w:val="24"/>
                  <w:lang w:val="en-US" w:eastAsia="zh-CN"/>
                </w:rPr>
                <w:t>这样写</w:t>
              </w:r>
            </w:ins>
            <w:ins w:id="55" w:author="Administrator" w:date="2025-10-03T22:32:21Z">
              <w:r>
                <w:rPr>
                  <w:rFonts w:hint="eastAsia"/>
                  <w:sz w:val="24"/>
                  <w:szCs w:val="24"/>
                  <w:lang w:val="en-US" w:eastAsia="zh-CN"/>
                </w:rPr>
                <w:t>也无</w:t>
              </w:r>
            </w:ins>
            <w:ins w:id="56" w:author="Administrator" w:date="2025-10-03T22:32:23Z">
              <w:r>
                <w:rPr>
                  <w:rFonts w:hint="eastAsia"/>
                  <w:sz w:val="24"/>
                  <w:szCs w:val="24"/>
                  <w:lang w:val="en-US" w:eastAsia="zh-CN"/>
                </w:rPr>
                <w:t>大</w:t>
              </w:r>
            </w:ins>
            <w:ins w:id="57" w:author="Administrator" w:date="2025-10-03T22:32:24Z">
              <w:r>
                <w:rPr>
                  <w:rFonts w:hint="eastAsia"/>
                  <w:sz w:val="24"/>
                  <w:szCs w:val="24"/>
                  <w:lang w:val="en-US" w:eastAsia="zh-CN"/>
                </w:rPr>
                <w:t>错</w:t>
              </w:r>
            </w:ins>
          </w:p>
          <w:p w14:paraId="4988D23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olor w:val="000000" w:themeColor="text1"/>
                <w:sz w:val="24"/>
                <w:szCs w:val="24"/>
                <w:lang w:val="en-US" w:eastAsia="zh-CN"/>
                <w14:textFill>
                  <w14:solidFill>
                    <w14:schemeClr w14:val="tx1"/>
                  </w14:solidFill>
                </w14:textFill>
              </w:rPr>
            </w:pPr>
            <w:r>
              <w:rPr>
                <w:rFonts w:hint="eastAsia" w:ascii="Times New Roman" w:hAnsi="Times New Roman"/>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5</w:t>
            </w:r>
            <w:r>
              <w:rPr>
                <w:rFonts w:hint="eastAsia" w:ascii="Times New Roman" w:hAnsi="Times New Roman"/>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洗米用水</w:t>
            </w:r>
          </w:p>
          <w:p w14:paraId="0929A9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olor w:val="000000" w:themeColor="text1"/>
                <w:sz w:val="24"/>
                <w:szCs w:val="24"/>
                <w14:textFill>
                  <w14:solidFill>
                    <w14:schemeClr w14:val="tx1"/>
                  </w14:solidFill>
                </w14:textFill>
              </w:rPr>
            </w:pPr>
            <w:r>
              <w:rPr>
                <w:rFonts w:hint="default" w:ascii="Times New Roman" w:hAnsi="Times New Roman"/>
                <w:color w:val="000000" w:themeColor="text1"/>
                <w:sz w:val="24"/>
                <w:szCs w:val="24"/>
                <w14:textFill>
                  <w14:solidFill>
                    <w14:schemeClr w14:val="tx1"/>
                  </w14:solidFill>
                </w14:textFill>
              </w:rPr>
              <w:t>本项目大米浸泡前需要对大米进行清洗，清洗工序在洗米池中进行，洗米</w:t>
            </w:r>
            <w:r>
              <w:rPr>
                <w:rFonts w:hint="eastAsia" w:ascii="Times New Roman" w:hAnsi="Times New Roman"/>
                <w:color w:val="000000" w:themeColor="text1"/>
                <w:sz w:val="24"/>
                <w:szCs w:val="24"/>
                <w:lang w:val="en-US" w:eastAsia="zh-CN"/>
                <w14:textFill>
                  <w14:solidFill>
                    <w14:schemeClr w14:val="tx1"/>
                  </w14:solidFill>
                </w14:textFill>
              </w:rPr>
              <w:t>池</w:t>
            </w:r>
            <w:r>
              <w:rPr>
                <w:rFonts w:hint="default" w:ascii="Times New Roman" w:hAnsi="Times New Roman"/>
                <w:color w:val="000000" w:themeColor="text1"/>
                <w:sz w:val="24"/>
                <w:szCs w:val="24"/>
                <w14:textFill>
                  <w14:solidFill>
                    <w14:schemeClr w14:val="tx1"/>
                  </w14:solidFill>
                </w14:textFill>
              </w:rPr>
              <w:t>尺寸为</w:t>
            </w:r>
            <w:r>
              <w:rPr>
                <w:rFonts w:hint="eastAsia" w:ascii="Times New Roman" w:hAnsi="Times New Roman"/>
                <w:color w:val="000000" w:themeColor="text1"/>
                <w:sz w:val="24"/>
                <w:szCs w:val="24"/>
                <w:lang w:val="en-US" w:eastAsia="zh-CN"/>
                <w14:textFill>
                  <w14:solidFill>
                    <w14:schemeClr w14:val="tx1"/>
                  </w14:solidFill>
                </w14:textFill>
              </w:rPr>
              <w:t>1.5m</w:t>
            </w:r>
            <w:r>
              <w:rPr>
                <w:rFonts w:hint="default" w:ascii="Arial" w:hAnsi="Arial" w:cs="Arial"/>
                <w:color w:val="000000" w:themeColor="text1"/>
                <w:sz w:val="24"/>
                <w:szCs w:val="24"/>
                <w:lang w:val="en-US" w:eastAsia="zh-CN"/>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0.7m</w:t>
            </w:r>
            <w:r>
              <w:rPr>
                <w:rFonts w:hint="default" w:ascii="Arial" w:hAnsi="Arial" w:cs="Arial"/>
                <w:color w:val="000000" w:themeColor="text1"/>
                <w:sz w:val="24"/>
                <w:szCs w:val="24"/>
                <w:lang w:val="en-US" w:eastAsia="zh-CN"/>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1</w:t>
            </w:r>
            <w:r>
              <w:rPr>
                <w:rFonts w:hint="default" w:ascii="Times New Roman" w:hAnsi="Times New Roman"/>
                <w:color w:val="000000" w:themeColor="text1"/>
                <w:sz w:val="24"/>
                <w:szCs w:val="24"/>
                <w14:textFill>
                  <w14:solidFill>
                    <w14:schemeClr w14:val="tx1"/>
                  </w14:solidFill>
                </w14:textFill>
              </w:rPr>
              <w:t>.1m，使用时有效容积80%，</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本项目</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原料</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清洗工序每天用水量为</w:t>
            </w:r>
            <w:r>
              <w:rPr>
                <w:rFonts w:hint="eastAsia" w:cs="Times New Roman"/>
                <w:bCs/>
                <w:color w:val="auto"/>
                <w:sz w:val="24"/>
                <w:szCs w:val="24"/>
                <w:u w:val="none"/>
                <w:lang w:val="en-US" w:eastAsia="zh-CN"/>
              </w:rPr>
              <w:t>0.924</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commentRangeStart w:id="54"/>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184.8</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commentRangeEnd w:id="54"/>
            <w:r>
              <w:commentReference w:id="54"/>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，根据企业提供资料，每天排放1</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次</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废水，废水排污系数取0.9，则清洗工序废水排放量为</w:t>
            </w:r>
            <w:r>
              <w:rPr>
                <w:rFonts w:hint="eastAsia" w:cs="Times New Roman"/>
                <w:bCs/>
                <w:color w:val="auto"/>
                <w:sz w:val="24"/>
                <w:szCs w:val="24"/>
                <w:u w:val="none"/>
                <w:lang w:val="en-US" w:eastAsia="zh-CN"/>
              </w:rPr>
              <w:t>0.832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166.32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themeColor="text1"/>
                <w:sz w:val="24"/>
                <w:szCs w:val="24"/>
                <w14:textFill>
                  <w14:solidFill>
                    <w14:schemeClr w14:val="tx1"/>
                  </w14:solidFill>
                </w14:textFill>
              </w:rPr>
              <w:t>。</w:t>
            </w:r>
          </w:p>
          <w:p w14:paraId="1232D13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olor w:val="000000" w:themeColor="text1"/>
                <w:sz w:val="24"/>
                <w:szCs w:val="24"/>
                <w:lang w:val="en-US" w:eastAsia="zh-CN"/>
                <w14:textFill>
                  <w14:solidFill>
                    <w14:schemeClr w14:val="tx1"/>
                  </w14:solidFill>
                </w14:textFill>
              </w:rPr>
            </w:pPr>
            <w:r>
              <w:rPr>
                <w:rFonts w:hint="eastAsia" w:ascii="Times New Roman" w:hAnsi="Times New Roman"/>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6</w:t>
            </w:r>
            <w:r>
              <w:rPr>
                <w:rFonts w:hint="eastAsia" w:ascii="Times New Roman" w:hAnsi="Times New Roman"/>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蒸米用水</w:t>
            </w:r>
          </w:p>
          <w:p w14:paraId="586840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sz w:val="24"/>
                <w:szCs w:val="24"/>
                <w:lang w:eastAsia="zh-CN"/>
              </w:rPr>
            </w:pPr>
            <w:r>
              <w:rPr>
                <w:rFonts w:hint="eastAsia"/>
                <w:sz w:val="24"/>
                <w:szCs w:val="24"/>
                <w:lang w:eastAsia="zh-CN"/>
              </w:rPr>
              <w:t>本项目</w:t>
            </w:r>
            <w:r>
              <w:rPr>
                <w:rFonts w:hint="eastAsia"/>
                <w:sz w:val="24"/>
                <w:szCs w:val="24"/>
                <w:lang w:val="en-US" w:eastAsia="zh-CN"/>
              </w:rPr>
              <w:t>蒸米</w:t>
            </w:r>
            <w:r>
              <w:rPr>
                <w:rFonts w:hint="eastAsia"/>
                <w:sz w:val="24"/>
                <w:szCs w:val="24"/>
                <w:lang w:eastAsia="zh-CN"/>
              </w:rPr>
              <w:t>过程中需按一定比例加入新鲜水，</w:t>
            </w:r>
            <w:r>
              <w:rPr>
                <w:rFonts w:hint="eastAsia"/>
                <w:sz w:val="24"/>
                <w:szCs w:val="24"/>
                <w:lang w:val="en-US" w:eastAsia="zh-CN"/>
              </w:rPr>
              <w:t>大米</w:t>
            </w:r>
            <w:r>
              <w:rPr>
                <w:rFonts w:hint="eastAsia"/>
                <w:sz w:val="24"/>
                <w:szCs w:val="24"/>
                <w:lang w:eastAsia="zh-CN"/>
              </w:rPr>
              <w:t>和</w:t>
            </w:r>
            <w:r>
              <w:rPr>
                <w:rFonts w:hint="eastAsia"/>
                <w:sz w:val="24"/>
                <w:szCs w:val="24"/>
                <w:lang w:val="en-US" w:eastAsia="zh-CN"/>
              </w:rPr>
              <w:t>纯</w:t>
            </w:r>
            <w:r>
              <w:rPr>
                <w:rFonts w:hint="eastAsia"/>
                <w:sz w:val="24"/>
                <w:szCs w:val="24"/>
                <w:lang w:eastAsia="zh-CN"/>
              </w:rPr>
              <w:t>水的比例约为1：</w:t>
            </w:r>
            <w:r>
              <w:rPr>
                <w:rFonts w:hint="eastAsia"/>
                <w:sz w:val="24"/>
                <w:szCs w:val="24"/>
                <w:lang w:val="en-US" w:eastAsia="zh-CN"/>
              </w:rPr>
              <w:t>1</w:t>
            </w:r>
            <w:r>
              <w:rPr>
                <w:rFonts w:hint="eastAsia"/>
                <w:sz w:val="24"/>
                <w:szCs w:val="24"/>
                <w:lang w:eastAsia="zh-CN"/>
              </w:rPr>
              <w:t>，本项目</w:t>
            </w:r>
            <w:r>
              <w:rPr>
                <w:rFonts w:hint="eastAsia"/>
                <w:sz w:val="24"/>
                <w:szCs w:val="24"/>
                <w:lang w:val="en-US" w:eastAsia="zh-CN"/>
              </w:rPr>
              <w:t>大米使用量为660</w:t>
            </w:r>
            <w:r>
              <w:rPr>
                <w:rFonts w:hint="eastAsia"/>
                <w:sz w:val="24"/>
                <w:szCs w:val="24"/>
                <w:lang w:eastAsia="zh-CN"/>
              </w:rPr>
              <w:t>t/a，则项目</w:t>
            </w:r>
            <w:r>
              <w:rPr>
                <w:rFonts w:hint="eastAsia" w:ascii="Times New Roman" w:hAnsi="Times New Roman"/>
                <w:color w:val="000000" w:themeColor="text1"/>
                <w:sz w:val="24"/>
                <w:szCs w:val="24"/>
                <w:lang w:val="en-US" w:eastAsia="zh-CN"/>
                <w14:textFill>
                  <w14:solidFill>
                    <w14:schemeClr w14:val="tx1"/>
                  </w14:solidFill>
                </w14:textFill>
              </w:rPr>
              <w:t>蒸米</w:t>
            </w:r>
            <w:r>
              <w:rPr>
                <w:rFonts w:hint="eastAsia"/>
                <w:sz w:val="24"/>
                <w:szCs w:val="24"/>
                <w:lang w:eastAsia="zh-CN"/>
              </w:rPr>
              <w:t>用水量为</w:t>
            </w:r>
            <w:r>
              <w:rPr>
                <w:rFonts w:hint="eastAsia" w:cs="Times New Roman"/>
                <w:bCs/>
                <w:color w:val="auto"/>
                <w:sz w:val="24"/>
                <w:szCs w:val="24"/>
                <w:u w:val="none"/>
                <w:lang w:val="en-US" w:eastAsia="zh-CN"/>
              </w:rPr>
              <w:t>3.3</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660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sz w:val="24"/>
                <w:szCs w:val="24"/>
                <w:lang w:eastAsia="zh-CN"/>
              </w:rPr>
              <w:t>，</w:t>
            </w:r>
            <w:commentRangeStart w:id="55"/>
            <w:r>
              <w:rPr>
                <w:rFonts w:hint="eastAsia"/>
                <w:sz w:val="24"/>
                <w:szCs w:val="24"/>
                <w:lang w:eastAsia="zh-CN"/>
              </w:rPr>
              <w:t>全部进入产品，不外排</w:t>
            </w:r>
            <w:commentRangeEnd w:id="55"/>
            <w:r>
              <w:commentReference w:id="55"/>
            </w:r>
            <w:r>
              <w:rPr>
                <w:rFonts w:hint="eastAsia"/>
                <w:sz w:val="24"/>
                <w:szCs w:val="24"/>
                <w:lang w:eastAsia="zh-CN"/>
              </w:rPr>
              <w:t>。</w:t>
            </w:r>
          </w:p>
          <w:p w14:paraId="51DA28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sz w:val="24"/>
                <w:szCs w:val="24"/>
                <w:lang w:val="en-US" w:eastAsia="zh-CN"/>
              </w:rPr>
            </w:pPr>
            <w:r>
              <w:rPr>
                <w:rFonts w:hint="eastAsia"/>
                <w:sz w:val="24"/>
                <w:szCs w:val="24"/>
                <w:lang w:eastAsia="zh-CN"/>
              </w:rPr>
              <w:t>（</w:t>
            </w:r>
            <w:r>
              <w:rPr>
                <w:rFonts w:hint="eastAsia"/>
                <w:sz w:val="24"/>
                <w:szCs w:val="24"/>
                <w:lang w:val="en-US" w:eastAsia="zh-CN"/>
              </w:rPr>
              <w:t>7</w:t>
            </w:r>
            <w:r>
              <w:rPr>
                <w:rFonts w:hint="eastAsia"/>
                <w:sz w:val="24"/>
                <w:szCs w:val="24"/>
                <w:lang w:eastAsia="zh-CN"/>
              </w:rPr>
              <w:t>）</w:t>
            </w:r>
            <w:r>
              <w:rPr>
                <w:rFonts w:hint="eastAsia"/>
                <w:sz w:val="24"/>
                <w:szCs w:val="24"/>
                <w:lang w:val="en-US" w:eastAsia="zh-CN"/>
              </w:rPr>
              <w:t>设备清洗用水</w:t>
            </w:r>
          </w:p>
          <w:p w14:paraId="463C541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lang w:eastAsia="zh-CN"/>
              </w:rPr>
            </w:pPr>
            <w:r>
              <w:rPr>
                <w:rFonts w:hint="eastAsia" w:ascii="Times New Roman" w:hAnsi="Times New Roman" w:eastAsia="宋体" w:cs="Times New Roman"/>
                <w:b w:val="0"/>
                <w:bCs w:val="0"/>
                <w:color w:val="auto"/>
                <w:sz w:val="24"/>
                <w:szCs w:val="24"/>
                <w:highlight w:val="none"/>
                <w:u w:val="none" w:color="auto"/>
                <w:lang w:val="en-US" w:eastAsia="zh-CN"/>
              </w:rPr>
              <w:t>根据建设单位提供资料，每天生产结束后需要对设备进行清洗，每天需要清洗1次，每次用水约3.0m</w:t>
            </w:r>
            <w:r>
              <w:rPr>
                <w:rFonts w:hint="eastAsia" w:ascii="Times New Roman" w:hAnsi="Times New Roman" w:eastAsia="宋体" w:cs="Times New Roman"/>
                <w:b w:val="0"/>
                <w:bCs w:val="0"/>
                <w:color w:val="auto"/>
                <w:sz w:val="24"/>
                <w:szCs w:val="24"/>
                <w:highlight w:val="none"/>
                <w:u w:val="none" w:color="auto"/>
                <w:vertAlign w:val="superscript"/>
                <w:lang w:val="en-US" w:eastAsia="zh-CN"/>
              </w:rPr>
              <w:t>3</w:t>
            </w:r>
            <w:r>
              <w:rPr>
                <w:rFonts w:hint="eastAsia" w:ascii="Times New Roman" w:hAnsi="Times New Roman" w:eastAsia="宋体" w:cs="Times New Roman"/>
                <w:b w:val="0"/>
                <w:bCs w:val="0"/>
                <w:color w:val="auto"/>
                <w:sz w:val="24"/>
                <w:szCs w:val="24"/>
                <w:highlight w:val="none"/>
                <w:u w:val="none" w:color="auto"/>
                <w:lang w:val="en-US" w:eastAsia="zh-CN"/>
              </w:rPr>
              <w:t>，则设备清洗用水量约为</w:t>
            </w:r>
            <w:r>
              <w:rPr>
                <w:rFonts w:hint="eastAsia" w:cs="Times New Roman"/>
                <w:bCs/>
                <w:color w:val="auto"/>
                <w:sz w:val="24"/>
                <w:szCs w:val="24"/>
                <w:u w:val="none"/>
                <w:lang w:val="en-US" w:eastAsia="zh-CN"/>
              </w:rPr>
              <w:t>3.0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600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 w:val="0"/>
                <w:bCs w:val="0"/>
                <w:color w:val="auto"/>
                <w:sz w:val="24"/>
                <w:szCs w:val="24"/>
                <w:highlight w:val="none"/>
                <w:u w:val="none" w:color="auto"/>
                <w:lang w:val="en-US" w:eastAsia="zh-CN"/>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废水排污系数取0.</w:t>
            </w:r>
            <w:r>
              <w:rPr>
                <w:rFonts w:hint="eastAsia"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9</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w:t>
            </w:r>
            <w:r>
              <w:rPr>
                <w:rFonts w:hint="eastAsia" w:ascii="Times New Roman" w:hAnsi="Times New Roman" w:eastAsia="宋体" w:cs="Times New Roman"/>
                <w:b w:val="0"/>
                <w:bCs w:val="0"/>
                <w:color w:val="auto"/>
                <w:sz w:val="24"/>
                <w:szCs w:val="24"/>
                <w:highlight w:val="none"/>
                <w:u w:val="none" w:color="auto"/>
                <w:lang w:val="en-US" w:eastAsia="zh-CN"/>
              </w:rPr>
              <w:t>废水量为</w:t>
            </w:r>
            <w:r>
              <w:rPr>
                <w:rFonts w:hint="eastAsia" w:cs="Times New Roman"/>
                <w:bCs/>
                <w:color w:val="auto"/>
                <w:sz w:val="24"/>
                <w:szCs w:val="24"/>
                <w:u w:val="none"/>
                <w:lang w:val="en-US" w:eastAsia="zh-CN"/>
              </w:rPr>
              <w:t>2.7</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540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 w:val="0"/>
                <w:bCs w:val="0"/>
                <w:color w:val="auto"/>
                <w:sz w:val="24"/>
                <w:szCs w:val="24"/>
                <w:highlight w:val="none"/>
                <w:u w:val="none" w:color="auto"/>
                <w:lang w:val="en-US" w:eastAsia="zh-CN"/>
              </w:rPr>
              <w:t>。</w:t>
            </w:r>
          </w:p>
          <w:p w14:paraId="39151AF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lang w:eastAsia="zh-CN"/>
              </w:rPr>
            </w:pPr>
            <w:r>
              <w:rPr>
                <w:rFonts w:hint="eastAsia"/>
                <w:sz w:val="24"/>
                <w:szCs w:val="24"/>
                <w:lang w:eastAsia="zh-CN"/>
              </w:rPr>
              <w:t>（</w:t>
            </w:r>
            <w:r>
              <w:rPr>
                <w:rFonts w:hint="eastAsia"/>
                <w:sz w:val="24"/>
                <w:szCs w:val="24"/>
                <w:lang w:val="en-US" w:eastAsia="zh-CN"/>
              </w:rPr>
              <w:t>8</w:t>
            </w:r>
            <w:r>
              <w:rPr>
                <w:rFonts w:hint="eastAsia"/>
                <w:sz w:val="24"/>
                <w:szCs w:val="24"/>
                <w:lang w:eastAsia="zh-CN"/>
              </w:rPr>
              <w:t>）餐具回收清洗用水</w:t>
            </w:r>
          </w:p>
          <w:p w14:paraId="0762478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lang w:eastAsia="zh-CN"/>
              </w:rPr>
            </w:pPr>
            <w:r>
              <w:rPr>
                <w:rFonts w:hint="eastAsia"/>
                <w:sz w:val="24"/>
                <w:szCs w:val="24"/>
                <w:lang w:eastAsia="zh-CN"/>
              </w:rPr>
              <w:t>生产加工结束后，工作人员会对</w:t>
            </w:r>
            <w:commentRangeStart w:id="56"/>
            <w:r>
              <w:rPr>
                <w:rFonts w:hint="eastAsia"/>
                <w:sz w:val="24"/>
                <w:szCs w:val="24"/>
                <w:lang w:eastAsia="zh-CN"/>
              </w:rPr>
              <w:t>餐盒进行回收</w:t>
            </w:r>
            <w:commentRangeEnd w:id="56"/>
            <w:r>
              <w:commentReference w:id="56"/>
            </w:r>
            <w:r>
              <w:rPr>
                <w:rFonts w:hint="eastAsia"/>
                <w:sz w:val="24"/>
                <w:szCs w:val="24"/>
                <w:lang w:eastAsia="zh-CN"/>
              </w:rPr>
              <w:t>，对餐盒工具进行清洗。根据企业提供的资料，用水量按照0.4L/份计，本项目餐具清洗量为</w:t>
            </w:r>
            <w:r>
              <w:rPr>
                <w:rFonts w:hint="eastAsia"/>
                <w:sz w:val="24"/>
                <w:szCs w:val="24"/>
                <w:lang w:val="en-US" w:eastAsia="zh-CN"/>
              </w:rPr>
              <w:t>200</w:t>
            </w:r>
            <w:r>
              <w:rPr>
                <w:rFonts w:hint="eastAsia"/>
                <w:sz w:val="24"/>
                <w:szCs w:val="24"/>
                <w:lang w:eastAsia="zh-CN"/>
              </w:rPr>
              <w:t>万份/a，清洗频次为1次/天，则餐具清洗用水量为</w:t>
            </w:r>
            <w:r>
              <w:rPr>
                <w:rFonts w:hint="eastAsia" w:cs="Times New Roman"/>
                <w:bCs/>
                <w:color w:val="auto"/>
                <w:sz w:val="24"/>
                <w:szCs w:val="24"/>
                <w:u w:val="none"/>
                <w:lang w:val="en-US" w:eastAsia="zh-CN"/>
              </w:rPr>
              <w:t>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800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sz w:val="24"/>
                <w:szCs w:val="24"/>
                <w:lang w:eastAsia="zh-CN"/>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废水排污系数取0.</w:t>
            </w:r>
            <w:r>
              <w:rPr>
                <w:rFonts w:hint="eastAsia"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9</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w:t>
            </w:r>
            <w:r>
              <w:rPr>
                <w:rFonts w:hint="eastAsia"/>
                <w:sz w:val="24"/>
                <w:szCs w:val="24"/>
                <w:lang w:eastAsia="zh-CN"/>
              </w:rPr>
              <w:t>则餐具清洗废水产生量为</w:t>
            </w:r>
            <w:r>
              <w:rPr>
                <w:rFonts w:hint="eastAsia" w:cs="Times New Roman"/>
                <w:bCs/>
                <w:color w:val="auto"/>
                <w:sz w:val="24"/>
                <w:szCs w:val="24"/>
                <w:u w:val="none"/>
                <w:lang w:val="en-US" w:eastAsia="zh-CN"/>
              </w:rPr>
              <w:t>3.6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720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sz w:val="24"/>
                <w:szCs w:val="24"/>
                <w:lang w:eastAsia="zh-CN"/>
              </w:rPr>
              <w:t>。</w:t>
            </w:r>
          </w:p>
          <w:p w14:paraId="3986EB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sz w:val="24"/>
                <w:szCs w:val="24"/>
                <w:lang w:eastAsia="zh-CN"/>
              </w:rPr>
              <w:t>（</w:t>
            </w:r>
            <w:r>
              <w:rPr>
                <w:rFonts w:hint="eastAsia"/>
                <w:sz w:val="24"/>
                <w:szCs w:val="24"/>
                <w:lang w:val="en-US" w:eastAsia="zh-CN"/>
              </w:rPr>
              <w:t>9</w:t>
            </w:r>
            <w:r>
              <w:rPr>
                <w:rFonts w:hint="eastAsia"/>
                <w:sz w:val="24"/>
                <w:szCs w:val="24"/>
                <w:lang w:eastAsia="zh-CN"/>
              </w:rPr>
              <w:t>）</w:t>
            </w:r>
            <w:r>
              <w:rPr>
                <w:rFonts w:hint="eastAsia" w:ascii="Times New Roman" w:hAnsi="Times New Roman" w:eastAsia="宋体" w:cs="Times New Roman"/>
                <w:color w:val="auto"/>
                <w:sz w:val="24"/>
                <w:szCs w:val="24"/>
                <w:u w:val="none"/>
                <w:lang w:val="en-US" w:eastAsia="zh-CN"/>
              </w:rPr>
              <w:t>地面清洗用水</w:t>
            </w:r>
          </w:p>
          <w:p w14:paraId="3545F3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000000" w:themeColor="text1"/>
                <w:kern w:val="0"/>
                <w:sz w:val="24"/>
                <w:highlight w:val="yellow"/>
                <w14:textFill>
                  <w14:solidFill>
                    <w14:schemeClr w14:val="tx1"/>
                  </w14:solidFill>
                </w14:textFill>
              </w:rPr>
            </w:pPr>
            <w:r>
              <w:rPr>
                <w:color w:val="000000" w:themeColor="text1"/>
                <w:kern w:val="0"/>
                <w:sz w:val="24"/>
                <w14:textFill>
                  <w14:solidFill>
                    <w14:schemeClr w14:val="tx1"/>
                  </w14:solidFill>
                </w14:textFill>
              </w:rPr>
              <w:t>项目</w:t>
            </w:r>
            <w:r>
              <w:rPr>
                <w:rFonts w:hint="eastAsia"/>
                <w:color w:val="000000" w:themeColor="text1"/>
                <w:kern w:val="0"/>
                <w:sz w:val="24"/>
                <w:lang w:val="en-US" w:eastAsia="zh-CN"/>
                <w14:textFill>
                  <w14:solidFill>
                    <w14:schemeClr w14:val="tx1"/>
                  </w14:solidFill>
                </w14:textFill>
              </w:rPr>
              <w:t>生产</w:t>
            </w:r>
            <w:r>
              <w:rPr>
                <w:color w:val="000000" w:themeColor="text1"/>
                <w:kern w:val="0"/>
                <w:sz w:val="24"/>
                <w14:textFill>
                  <w14:solidFill>
                    <w14:schemeClr w14:val="tx1"/>
                  </w14:solidFill>
                </w14:textFill>
              </w:rPr>
              <w:t>车间</w:t>
            </w:r>
            <w:r>
              <w:rPr>
                <w:rFonts w:hint="eastAsia"/>
                <w:color w:val="000000" w:themeColor="text1"/>
                <w:kern w:val="0"/>
                <w:sz w:val="24"/>
                <w:lang w:val="en-US" w:eastAsia="zh-CN"/>
                <w14:textFill>
                  <w14:solidFill>
                    <w14:schemeClr w14:val="tx1"/>
                  </w14:solidFill>
                </w14:textFill>
              </w:rPr>
              <w:t>每天生产完成后</w:t>
            </w:r>
            <w:r>
              <w:rPr>
                <w:color w:val="000000" w:themeColor="text1"/>
                <w:kern w:val="0"/>
                <w:sz w:val="24"/>
                <w14:textFill>
                  <w14:solidFill>
                    <w14:schemeClr w14:val="tx1"/>
                  </w14:solidFill>
                </w14:textFill>
              </w:rPr>
              <w:t>需进行清洁，参照《建筑给水排水设计标准》（GB50015-2019）和类比其他同类项目，地面冲洗水用水指标按2L/m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计，</w:t>
            </w:r>
            <w:commentRangeStart w:id="57"/>
            <w:r>
              <w:rPr>
                <w:color w:val="000000" w:themeColor="text1"/>
                <w:kern w:val="0"/>
                <w:sz w:val="24"/>
                <w14:textFill>
                  <w14:solidFill>
                    <w14:schemeClr w14:val="tx1"/>
                  </w14:solidFill>
                </w14:textFill>
              </w:rPr>
              <w:t>生产车间冲洗面积约</w:t>
            </w:r>
            <w:r>
              <w:rPr>
                <w:rFonts w:hint="default"/>
                <w:color w:val="000000" w:themeColor="text1"/>
                <w:kern w:val="0"/>
                <w:sz w:val="24"/>
                <w14:textFill>
                  <w14:solidFill>
                    <w14:schemeClr w14:val="tx1"/>
                  </w14:solidFill>
                </w14:textFill>
              </w:rPr>
              <w:t>3672.2</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w:t>
            </w:r>
            <w:commentRangeEnd w:id="57"/>
            <w:r>
              <w:commentReference w:id="57"/>
            </w:r>
            <w:r>
              <w:rPr>
                <w:color w:val="000000" w:themeColor="text1"/>
                <w:kern w:val="0"/>
                <w:sz w:val="24"/>
                <w14:textFill>
                  <w14:solidFill>
                    <w14:schemeClr w14:val="tx1"/>
                  </w14:solidFill>
                </w14:textFill>
              </w:rPr>
              <w:t>地面冲洗用水</w:t>
            </w:r>
            <w:r>
              <w:rPr>
                <w:rFonts w:hint="eastAsia" w:cs="Times New Roman"/>
                <w:bCs/>
                <w:color w:val="auto"/>
                <w:sz w:val="24"/>
                <w:szCs w:val="24"/>
                <w:u w:val="none"/>
                <w:lang w:val="en-US" w:eastAsia="zh-CN"/>
              </w:rPr>
              <w:t>7.344</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1468.8</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color w:val="000000" w:themeColor="text1"/>
                <w:kern w:val="0"/>
                <w:sz w:val="24"/>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废水排污系数取0.</w:t>
            </w:r>
            <w:r>
              <w:rPr>
                <w:rFonts w:hint="eastAsia"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9</w:t>
            </w:r>
            <w:r>
              <w:rPr>
                <w:color w:val="000000" w:themeColor="text1"/>
                <w:kern w:val="0"/>
                <w:sz w:val="24"/>
                <w14:textFill>
                  <w14:solidFill>
                    <w14:schemeClr w14:val="tx1"/>
                  </w14:solidFill>
                </w14:textFill>
              </w:rPr>
              <w:t>，则地面清洗废水量为</w:t>
            </w:r>
            <w:r>
              <w:rPr>
                <w:rFonts w:hint="eastAsia" w:cs="Times New Roman"/>
                <w:bCs/>
                <w:color w:val="auto"/>
                <w:sz w:val="24"/>
                <w:szCs w:val="24"/>
                <w:u w:val="none"/>
                <w:lang w:val="en-US" w:eastAsia="zh-CN"/>
              </w:rPr>
              <w:t>6.610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1321.92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color w:val="000000" w:themeColor="text1"/>
                <w:kern w:val="0"/>
                <w:sz w:val="24"/>
                <w14:textFill>
                  <w14:solidFill>
                    <w14:schemeClr w14:val="tx1"/>
                  </w14:solidFill>
                </w14:textFill>
              </w:rPr>
              <w:t>。</w:t>
            </w:r>
          </w:p>
          <w:p w14:paraId="5CBEFBF8">
            <w:pPr>
              <w:adjustRightInd w:val="0"/>
              <w:snapToGrid w:val="0"/>
              <w:spacing w:line="360" w:lineRule="auto"/>
              <w:ind w:firstLine="480" w:firstLineChars="200"/>
              <w:rPr>
                <w:color w:val="000000"/>
                <w:sz w:val="24"/>
              </w:rPr>
            </w:pPr>
            <w:r>
              <w:rPr>
                <w:rFonts w:hint="eastAsia" w:hAnsi="宋体"/>
                <w:color w:val="000000" w:themeColor="text1"/>
                <w:sz w:val="24"/>
                <w14:textFill>
                  <w14:solidFill>
                    <w14:schemeClr w14:val="tx1"/>
                  </w14:solidFill>
                </w14:textFill>
              </w:rPr>
              <w:t>（</w:t>
            </w:r>
            <w:r>
              <w:rPr>
                <w:rFonts w:hint="eastAsia" w:hAnsi="宋体"/>
                <w:color w:val="000000" w:themeColor="text1"/>
                <w:sz w:val="24"/>
                <w:lang w:val="en-US" w:eastAsia="zh-CN"/>
                <w14:textFill>
                  <w14:solidFill>
                    <w14:schemeClr w14:val="tx1"/>
                  </w14:solidFill>
                </w14:textFill>
              </w:rPr>
              <w:t>10</w:t>
            </w:r>
            <w:r>
              <w:rPr>
                <w:rFonts w:hint="eastAsia" w:hAnsi="宋体"/>
                <w:color w:val="000000" w:themeColor="text1"/>
                <w:sz w:val="24"/>
                <w14:textFill>
                  <w14:solidFill>
                    <w14:schemeClr w14:val="tx1"/>
                  </w14:solidFill>
                </w14:textFill>
              </w:rPr>
              <w:t>）</w:t>
            </w:r>
            <w:r>
              <w:rPr>
                <w:rFonts w:hint="eastAsia" w:hAnsi="宋体"/>
                <w:color w:val="000000"/>
                <w:sz w:val="24"/>
                <w:lang w:val="en-US" w:eastAsia="zh-CN"/>
              </w:rPr>
              <w:t>蒸汽发生器用</w:t>
            </w:r>
            <w:r>
              <w:rPr>
                <w:rFonts w:hint="eastAsia" w:hAnsi="宋体"/>
                <w:color w:val="000000"/>
                <w:sz w:val="24"/>
              </w:rPr>
              <w:t>水</w:t>
            </w:r>
          </w:p>
          <w:p w14:paraId="2BB1A4BA">
            <w:pPr>
              <w:adjustRightInd w:val="0"/>
              <w:snapToGrid w:val="0"/>
              <w:spacing w:line="360" w:lineRule="auto"/>
              <w:ind w:firstLine="480" w:firstLineChars="200"/>
              <w:rPr>
                <w:rFonts w:hint="eastAsia"/>
                <w:color w:val="000000"/>
                <w:sz w:val="24"/>
              </w:rPr>
            </w:pPr>
            <w:r>
              <w:rPr>
                <w:color w:val="000000"/>
                <w:sz w:val="24"/>
              </w:rPr>
              <w:t>项目生产过程中配套</w:t>
            </w:r>
            <w:r>
              <w:rPr>
                <w:rFonts w:hint="eastAsia"/>
                <w:color w:val="000000"/>
                <w:sz w:val="24"/>
                <w:lang w:val="en-US" w:eastAsia="zh-CN"/>
              </w:rPr>
              <w:t>8</w:t>
            </w:r>
            <w:r>
              <w:rPr>
                <w:color w:val="000000"/>
                <w:sz w:val="24"/>
              </w:rPr>
              <w:t>台</w:t>
            </w:r>
            <w:r>
              <w:rPr>
                <w:rFonts w:hint="eastAsia"/>
                <w:color w:val="000000"/>
                <w:sz w:val="24"/>
                <w:lang w:val="en-US" w:eastAsia="zh-CN"/>
              </w:rPr>
              <w:t>0.1</w:t>
            </w:r>
            <w:r>
              <w:rPr>
                <w:rFonts w:hint="eastAsia"/>
                <w:color w:val="000000"/>
                <w:sz w:val="24"/>
              </w:rPr>
              <w:t>t</w:t>
            </w:r>
            <w:r>
              <w:rPr>
                <w:color w:val="000000"/>
                <w:sz w:val="24"/>
              </w:rPr>
              <w:t>/h</w:t>
            </w:r>
            <w:r>
              <w:rPr>
                <w:rFonts w:hint="eastAsia"/>
                <w:color w:val="000000"/>
                <w:sz w:val="24"/>
                <w:lang w:eastAsia="zh-CN"/>
              </w:rPr>
              <w:t>、</w:t>
            </w:r>
            <w:r>
              <w:rPr>
                <w:rFonts w:hint="eastAsia"/>
                <w:color w:val="000000"/>
                <w:sz w:val="24"/>
                <w:lang w:val="en-US" w:eastAsia="zh-CN"/>
              </w:rPr>
              <w:t>6台0.15t/h以及1台0.2t/h蒸汽发生器</w:t>
            </w:r>
            <w:r>
              <w:rPr>
                <w:color w:val="000000" w:themeColor="text1"/>
                <w:sz w:val="24"/>
                <w14:textFill>
                  <w14:solidFill>
                    <w14:schemeClr w14:val="tx1"/>
                  </w14:solidFill>
                </w14:textFill>
              </w:rPr>
              <w:t>为</w:t>
            </w:r>
            <w:r>
              <w:rPr>
                <w:rFonts w:hint="eastAsia"/>
                <w:color w:val="000000" w:themeColor="text1"/>
                <w:sz w:val="24"/>
                <w:lang w:val="en-US" w:eastAsia="zh-CN"/>
                <w14:textFill>
                  <w14:solidFill>
                    <w14:schemeClr w14:val="tx1"/>
                  </w14:solidFill>
                </w14:textFill>
              </w:rPr>
              <w:t>蒸制以及餐具清洗</w:t>
            </w:r>
            <w:r>
              <w:rPr>
                <w:rFonts w:hint="eastAsia"/>
                <w:color w:val="000000" w:themeColor="text1"/>
                <w:sz w:val="24"/>
                <w14:textFill>
                  <w14:solidFill>
                    <w14:schemeClr w14:val="tx1"/>
                  </w14:solidFill>
                </w14:textFill>
              </w:rPr>
              <w:t>工序</w:t>
            </w:r>
            <w:r>
              <w:rPr>
                <w:color w:val="000000" w:themeColor="text1"/>
                <w:sz w:val="24"/>
                <w14:textFill>
                  <w14:solidFill>
                    <w14:schemeClr w14:val="tx1"/>
                  </w14:solidFill>
                </w14:textFill>
              </w:rPr>
              <w:t>提供</w:t>
            </w:r>
            <w:r>
              <w:rPr>
                <w:rFonts w:hint="eastAsia"/>
                <w:color w:val="000000" w:themeColor="text1"/>
                <w:sz w:val="24"/>
                <w14:textFill>
                  <w14:solidFill>
                    <w14:schemeClr w14:val="tx1"/>
                  </w14:solidFill>
                </w14:textFill>
              </w:rPr>
              <w:t>蒸汽</w:t>
            </w:r>
            <w:r>
              <w:rPr>
                <w:rFonts w:hint="eastAsia"/>
                <w:color w:val="000000"/>
                <w:sz w:val="24"/>
              </w:rPr>
              <w:t>，</w:t>
            </w:r>
            <w:r>
              <w:rPr>
                <w:color w:val="000000"/>
                <w:sz w:val="24"/>
              </w:rPr>
              <w:t>蒸汽对</w:t>
            </w:r>
            <w:r>
              <w:rPr>
                <w:rFonts w:hint="eastAsia"/>
                <w:color w:val="000000"/>
                <w:sz w:val="24"/>
              </w:rPr>
              <w:t>物料</w:t>
            </w:r>
            <w:r>
              <w:rPr>
                <w:color w:val="000000"/>
                <w:sz w:val="24"/>
              </w:rPr>
              <w:t>进行</w:t>
            </w:r>
            <w:r>
              <w:rPr>
                <w:rFonts w:hint="eastAsia"/>
                <w:color w:val="000000"/>
                <w:sz w:val="24"/>
                <w:lang w:val="en-US" w:eastAsia="zh-CN"/>
              </w:rPr>
              <w:t>直</w:t>
            </w:r>
            <w:r>
              <w:rPr>
                <w:color w:val="000000"/>
                <w:sz w:val="24"/>
              </w:rPr>
              <w:t>接加热</w:t>
            </w:r>
            <w:r>
              <w:rPr>
                <w:rFonts w:hint="eastAsia"/>
                <w:color w:val="000000"/>
                <w:sz w:val="24"/>
                <w:lang w:val="en-US" w:eastAsia="zh-CN"/>
              </w:rPr>
              <w:t>后散失</w:t>
            </w:r>
            <w:r>
              <w:rPr>
                <w:color w:val="000000"/>
                <w:sz w:val="24"/>
              </w:rPr>
              <w:t>。</w:t>
            </w:r>
            <w:r>
              <w:rPr>
                <w:rFonts w:hint="eastAsia"/>
                <w:color w:val="000000"/>
                <w:sz w:val="24"/>
              </w:rPr>
              <w:t>项目</w:t>
            </w:r>
            <w:r>
              <w:rPr>
                <w:rFonts w:hint="eastAsia"/>
                <w:color w:val="000000"/>
                <w:sz w:val="24"/>
                <w:lang w:val="en-US" w:eastAsia="zh-CN"/>
              </w:rPr>
              <w:t>蒸汽发生器</w:t>
            </w:r>
            <w:r>
              <w:rPr>
                <w:color w:val="000000"/>
                <w:sz w:val="24"/>
              </w:rPr>
              <w:t>运行时间为</w:t>
            </w:r>
            <w:r>
              <w:rPr>
                <w:rFonts w:hint="eastAsia"/>
                <w:color w:val="000000"/>
                <w:sz w:val="24"/>
                <w:lang w:val="en-US" w:eastAsia="zh-CN"/>
              </w:rPr>
              <w:t>8</w:t>
            </w:r>
            <w:r>
              <w:rPr>
                <w:rFonts w:hint="eastAsia"/>
                <w:color w:val="000000"/>
                <w:sz w:val="24"/>
              </w:rPr>
              <w:t>h/d，</w:t>
            </w:r>
            <w:r>
              <w:rPr>
                <w:rFonts w:hint="eastAsia"/>
                <w:color w:val="000000"/>
                <w:sz w:val="24"/>
                <w:lang w:val="en-US" w:eastAsia="zh-CN"/>
              </w:rPr>
              <w:t>蒸汽发生器</w:t>
            </w:r>
            <w:r>
              <w:rPr>
                <w:color w:val="000000"/>
                <w:sz w:val="24"/>
              </w:rPr>
              <w:t>产生蒸汽所需</w:t>
            </w:r>
            <w:r>
              <w:rPr>
                <w:rFonts w:hint="eastAsia"/>
                <w:color w:val="000000"/>
                <w:sz w:val="24"/>
                <w:lang w:val="en-US" w:eastAsia="zh-CN"/>
              </w:rPr>
              <w:t>纯</w:t>
            </w:r>
            <w:r>
              <w:rPr>
                <w:color w:val="000000"/>
                <w:sz w:val="24"/>
              </w:rPr>
              <w:t>水量为</w:t>
            </w:r>
            <w:r>
              <w:rPr>
                <w:rFonts w:hint="eastAsia"/>
                <w:color w:val="000000"/>
                <w:sz w:val="24"/>
                <w:lang w:val="en-US" w:eastAsia="zh-CN"/>
              </w:rPr>
              <w:t>15.2</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3040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w:t>
            </w:r>
            <w:r>
              <w:rPr>
                <w:rFonts w:hint="eastAsia"/>
                <w:color w:val="000000"/>
                <w:sz w:val="24"/>
                <w:lang w:val="en-US" w:eastAsia="zh-CN"/>
              </w:rPr>
              <w:t>蒸汽发生器</w:t>
            </w:r>
            <w:r>
              <w:rPr>
                <w:rFonts w:hint="eastAsia" w:ascii="Times New Roman" w:hAnsi="Times New Roman" w:eastAsia="宋体" w:cs="Times New Roman"/>
                <w:color w:val="auto"/>
                <w:sz w:val="24"/>
                <w:szCs w:val="24"/>
                <w:u w:val="none"/>
                <w:lang w:val="en-US" w:eastAsia="zh-CN"/>
              </w:rPr>
              <w:t>用水中</w:t>
            </w:r>
            <w:r>
              <w:rPr>
                <w:rFonts w:hint="eastAsia"/>
                <w:color w:val="000000"/>
                <w:sz w:val="24"/>
                <w:lang w:val="en-US" w:eastAsia="zh-CN"/>
              </w:rPr>
              <w:t>13.68</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2736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形成蒸汽用于蒸煮，剩余</w:t>
            </w:r>
            <w:r>
              <w:rPr>
                <w:rFonts w:hint="eastAsia"/>
                <w:color w:val="000000"/>
                <w:sz w:val="24"/>
                <w:lang w:val="en-US" w:eastAsia="zh-CN"/>
              </w:rPr>
              <w:t>1.52</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304</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为</w:t>
            </w:r>
            <w:r>
              <w:rPr>
                <w:rFonts w:hint="eastAsia"/>
                <w:color w:val="000000"/>
                <w:sz w:val="24"/>
                <w:lang w:val="en-US" w:eastAsia="zh-CN"/>
              </w:rPr>
              <w:t>蒸汽发生器</w:t>
            </w:r>
            <w:r>
              <w:rPr>
                <w:rFonts w:hint="eastAsia" w:ascii="Times New Roman" w:hAnsi="Times New Roman" w:eastAsia="宋体" w:cs="Times New Roman"/>
                <w:color w:val="auto"/>
                <w:sz w:val="24"/>
                <w:szCs w:val="24"/>
                <w:u w:val="none"/>
                <w:lang w:val="en-US" w:eastAsia="zh-CN"/>
              </w:rPr>
              <w:t>定期排污水</w:t>
            </w:r>
            <w:r>
              <w:rPr>
                <w:rFonts w:hint="eastAsia" w:cs="Times New Roman"/>
                <w:color w:val="auto"/>
                <w:sz w:val="24"/>
                <w:szCs w:val="24"/>
                <w:u w:val="none"/>
                <w:lang w:val="en-US" w:eastAsia="zh-CN"/>
              </w:rPr>
              <w:t>，</w:t>
            </w:r>
            <w:r>
              <w:rPr>
                <w:rFonts w:hint="eastAsia"/>
                <w:color w:val="000000"/>
                <w:sz w:val="24"/>
              </w:rPr>
              <w:t>属于浓盐水，主要成分为钙镁离子等，SS浓度为50mg/L。</w:t>
            </w:r>
          </w:p>
          <w:p w14:paraId="6EB68F22">
            <w:pPr>
              <w:adjustRightInd w:val="0"/>
              <w:snapToGrid w:val="0"/>
              <w:spacing w:line="360" w:lineRule="auto"/>
              <w:ind w:firstLine="480" w:firstLineChars="200"/>
              <w:rPr>
                <w:rFonts w:hint="eastAsia" w:ascii="Times New Roman" w:hAnsi="Times New Roman" w:eastAsia="宋体" w:cs="Times New Roman"/>
                <w:color w:val="auto"/>
                <w:sz w:val="24"/>
                <w:szCs w:val="24"/>
                <w:u w:val="none"/>
                <w:lang w:val="en-US" w:eastAsia="zh-CN"/>
              </w:rPr>
            </w:pPr>
            <w:r>
              <w:rPr>
                <w:rFonts w:hint="eastAsia" w:cs="Times New Roman"/>
                <w:color w:val="auto"/>
                <w:sz w:val="24"/>
                <w:szCs w:val="24"/>
                <w:u w:val="none"/>
                <w:lang w:val="en-US" w:eastAsia="zh-CN"/>
              </w:rPr>
              <w:t>（11）</w:t>
            </w:r>
            <w:r>
              <w:rPr>
                <w:rFonts w:hint="eastAsia" w:hAnsi="宋体"/>
                <w:color w:val="000000"/>
                <w:sz w:val="24"/>
                <w:lang w:val="en-US" w:eastAsia="zh-CN"/>
              </w:rPr>
              <w:t>纯</w:t>
            </w:r>
            <w:r>
              <w:rPr>
                <w:rFonts w:hint="eastAsia" w:hAnsi="宋体"/>
                <w:color w:val="000000"/>
                <w:sz w:val="24"/>
              </w:rPr>
              <w:t>水制备用水</w:t>
            </w:r>
          </w:p>
          <w:p w14:paraId="301B01CB">
            <w:pPr>
              <w:adjustRightInd w:val="0"/>
              <w:snapToGrid w:val="0"/>
              <w:spacing w:line="360" w:lineRule="auto"/>
              <w:ind w:firstLine="480" w:firstLineChars="200"/>
              <w:rPr>
                <w:rFonts w:hint="eastAsia"/>
                <w:color w:val="000000"/>
                <w:sz w:val="24"/>
              </w:rPr>
            </w:pPr>
            <w:commentRangeStart w:id="58"/>
            <w:r>
              <w:rPr>
                <w:rFonts w:hint="eastAsia"/>
                <w:color w:val="000000"/>
                <w:sz w:val="24"/>
                <w:lang w:val="en-US" w:eastAsia="zh-CN"/>
              </w:rPr>
              <w:t>项目和面、蒸米工序以及蒸汽发生器需要使用纯水，</w:t>
            </w:r>
            <w:commentRangeEnd w:id="58"/>
            <w:r>
              <w:commentReference w:id="58"/>
            </w:r>
            <w:r>
              <w:rPr>
                <w:color w:val="000000"/>
                <w:sz w:val="24"/>
              </w:rPr>
              <w:t>配备</w:t>
            </w:r>
            <w:r>
              <w:rPr>
                <w:rFonts w:hint="eastAsia"/>
                <w:color w:val="000000"/>
                <w:sz w:val="24"/>
              </w:rPr>
              <w:t>1</w:t>
            </w:r>
            <w:r>
              <w:rPr>
                <w:color w:val="000000"/>
                <w:sz w:val="24"/>
              </w:rPr>
              <w:t>套</w:t>
            </w:r>
            <w:r>
              <w:rPr>
                <w:rFonts w:hint="eastAsia"/>
                <w:color w:val="000000"/>
                <w:sz w:val="24"/>
                <w:lang w:val="en-US" w:eastAsia="zh-CN"/>
              </w:rPr>
              <w:t>纯</w:t>
            </w:r>
            <w:r>
              <w:rPr>
                <w:color w:val="000000"/>
                <w:sz w:val="24"/>
              </w:rPr>
              <w:t>水制备系</w:t>
            </w:r>
            <w:r>
              <w:rPr>
                <w:color w:val="000000" w:themeColor="text1"/>
                <w:sz w:val="24"/>
                <w14:textFill>
                  <w14:solidFill>
                    <w14:schemeClr w14:val="tx1"/>
                  </w14:solidFill>
                </w14:textFill>
              </w:rPr>
              <w:t>统</w:t>
            </w:r>
            <w:r>
              <w:rPr>
                <w:rFonts w:hint="eastAsia"/>
                <w:color w:val="000000" w:themeColor="text1"/>
                <w:sz w:val="24"/>
                <w:lang w:eastAsia="zh-CN"/>
                <w14:textFill>
                  <w14:solidFill>
                    <w14:schemeClr w14:val="tx1"/>
                  </w14:solidFill>
                </w14:textFill>
              </w:rPr>
              <w:t>（RO二级反渗透）</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纯</w:t>
            </w:r>
            <w:r>
              <w:rPr>
                <w:rFonts w:hint="eastAsia"/>
                <w:color w:val="000000" w:themeColor="text1"/>
                <w:sz w:val="24"/>
                <w14:textFill>
                  <w14:solidFill>
                    <w14:schemeClr w14:val="tx1"/>
                  </w14:solidFill>
                </w14:textFill>
              </w:rPr>
              <w:t>水制备率为7</w:t>
            </w:r>
            <w:r>
              <w:rPr>
                <w:rFonts w:hint="eastAsia"/>
                <w:color w:val="000000" w:themeColor="text1"/>
                <w:sz w:val="24"/>
                <w:lang w:val="en-US" w:eastAsia="zh-CN"/>
                <w14:textFill>
                  <w14:solidFill>
                    <w14:schemeClr w14:val="tx1"/>
                  </w14:solidFill>
                </w14:textFill>
              </w:rPr>
              <w:t>0</w:t>
            </w:r>
            <w:r>
              <w:rPr>
                <w:rFonts w:hint="eastAsia"/>
                <w:color w:val="000000" w:themeColor="text1"/>
                <w:sz w:val="24"/>
                <w14:textFill>
                  <w14:solidFill>
                    <w14:schemeClr w14:val="tx1"/>
                  </w14:solidFill>
                </w14:textFill>
              </w:rPr>
              <w:t>%，</w:t>
            </w:r>
            <w:r>
              <w:rPr>
                <w:rFonts w:hint="eastAsia"/>
                <w:color w:val="000000"/>
                <w:sz w:val="24"/>
                <w:lang w:val="en-US" w:eastAsia="zh-CN"/>
              </w:rPr>
              <w:t>和面、蒸米工序以及蒸汽发生器需要使用纯水总量为18.86</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3772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w:t>
            </w:r>
            <w:r>
              <w:rPr>
                <w:rFonts w:hint="eastAsia"/>
                <w:color w:val="000000"/>
                <w:sz w:val="24"/>
                <w:lang w:val="en-US" w:eastAsia="zh-CN"/>
              </w:rPr>
              <w:t>则纯水制备新鲜水使用总量为26.943</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5388.571</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themeColor="text1"/>
                <w:sz w:val="24"/>
                <w:lang w:val="en-US" w:eastAsia="zh-CN"/>
                <w14:textFill>
                  <w14:solidFill>
                    <w14:schemeClr w14:val="tx1"/>
                  </w14:solidFill>
                </w14:textFill>
              </w:rPr>
              <w:t>纯</w:t>
            </w:r>
            <w:r>
              <w:rPr>
                <w:rFonts w:hint="eastAsia"/>
                <w:color w:val="000000" w:themeColor="text1"/>
                <w:sz w:val="24"/>
                <w14:textFill>
                  <w14:solidFill>
                    <w14:schemeClr w14:val="tx1"/>
                  </w14:solidFill>
                </w14:textFill>
              </w:rPr>
              <w:t>水</w:t>
            </w:r>
            <w:r>
              <w:rPr>
                <w:rFonts w:hint="eastAsia"/>
                <w:color w:val="000000"/>
                <w:sz w:val="24"/>
              </w:rPr>
              <w:t>制备过程含盐废水产生量为</w:t>
            </w:r>
            <w:r>
              <w:rPr>
                <w:rFonts w:hint="eastAsia"/>
                <w:color w:val="000000"/>
                <w:sz w:val="24"/>
                <w:lang w:val="en-US" w:eastAsia="zh-CN"/>
              </w:rPr>
              <w:t>8.083</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1616.571</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，属于浓盐水，主要成分为钙镁离子等，SS浓度为50mg/L。</w:t>
            </w:r>
          </w:p>
          <w:p w14:paraId="0E4ECD15">
            <w:pPr>
              <w:adjustRightInd w:val="0"/>
              <w:snapToGrid w:val="0"/>
              <w:spacing w:line="360" w:lineRule="auto"/>
              <w:ind w:firstLine="480" w:firstLineChars="200"/>
              <w:rPr>
                <w:rFonts w:hint="eastAsia"/>
                <w:color w:val="000000" w:themeColor="text1"/>
                <w:kern w:val="0"/>
                <w:sz w:val="24"/>
                <w:lang w:bidi="ar"/>
                <w14:textFill>
                  <w14:solidFill>
                    <w14:schemeClr w14:val="tx1"/>
                  </w14:solidFill>
                </w14:textFill>
              </w:rPr>
            </w:pPr>
            <w:r>
              <w:rPr>
                <w:rFonts w:hint="eastAsia"/>
                <w:b w:val="0"/>
                <w:bCs/>
                <w:color w:val="000000" w:themeColor="text1"/>
                <w:sz w:val="24"/>
                <w:lang w:eastAsia="zh-CN"/>
                <w14:textFill>
                  <w14:solidFill>
                    <w14:schemeClr w14:val="tx1"/>
                  </w14:solidFill>
                </w14:textFill>
              </w:rPr>
              <w:t>（</w:t>
            </w:r>
            <w:r>
              <w:rPr>
                <w:rFonts w:hint="eastAsia"/>
                <w:b w:val="0"/>
                <w:bCs/>
                <w:color w:val="000000" w:themeColor="text1"/>
                <w:sz w:val="24"/>
                <w:lang w:val="en-US" w:eastAsia="zh-CN"/>
                <w14:textFill>
                  <w14:solidFill>
                    <w14:schemeClr w14:val="tx1"/>
                  </w14:solidFill>
                </w14:textFill>
              </w:rPr>
              <w:t>12</w:t>
            </w:r>
            <w:r>
              <w:rPr>
                <w:rFonts w:hint="eastAsia"/>
                <w:b w:val="0"/>
                <w:bCs/>
                <w:color w:val="000000" w:themeColor="text1"/>
                <w:sz w:val="24"/>
                <w:lang w:eastAsia="zh-CN"/>
                <w14:textFill>
                  <w14:solidFill>
                    <w14:schemeClr w14:val="tx1"/>
                  </w14:solidFill>
                </w14:textFill>
              </w:rPr>
              <w:t>）</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验室</w:t>
            </w:r>
            <w:r>
              <w:rPr>
                <w:rFonts w:hint="eastAsia"/>
                <w:color w:val="000000" w:themeColor="text1"/>
                <w:kern w:val="0"/>
                <w:sz w:val="24"/>
                <w:lang w:val="en-US" w:eastAsia="zh-CN" w:bidi="ar"/>
                <w14:textFill>
                  <w14:solidFill>
                    <w14:schemeClr w14:val="tx1"/>
                  </w14:solidFill>
                </w14:textFill>
              </w:rPr>
              <w:t>用</w:t>
            </w:r>
            <w:r>
              <w:rPr>
                <w:rFonts w:hint="eastAsia"/>
                <w:color w:val="000000" w:themeColor="text1"/>
                <w:kern w:val="0"/>
                <w:sz w:val="24"/>
                <w:lang w:bidi="ar"/>
                <w14:textFill>
                  <w14:solidFill>
                    <w14:schemeClr w14:val="tx1"/>
                  </w14:solidFill>
                </w14:textFill>
              </w:rPr>
              <w:t>水</w:t>
            </w:r>
          </w:p>
          <w:p w14:paraId="2564DA0F">
            <w:pPr>
              <w:adjustRightInd w:val="0"/>
              <w:snapToGrid w:val="0"/>
              <w:spacing w:line="360" w:lineRule="auto"/>
              <w:ind w:firstLine="480" w:firstLineChars="200"/>
              <w:rPr>
                <w:rFonts w:hint="eastAsia" w:eastAsia="宋体"/>
                <w:b w:val="0"/>
                <w:bCs/>
                <w:lang w:eastAsia="zh-CN"/>
              </w:rPr>
            </w:pPr>
            <w:r>
              <w:rPr>
                <w:rFonts w:hint="eastAsia"/>
                <w:color w:val="000000" w:themeColor="text1"/>
                <w:kern w:val="0"/>
                <w:sz w:val="24"/>
                <w:lang w:bidi="ar"/>
                <w14:textFill>
                  <w14:solidFill>
                    <w14:schemeClr w14:val="tx1"/>
                  </w14:solidFill>
                </w14:textFill>
              </w:rPr>
              <w:t>项目设置一个小</w:t>
            </w:r>
            <w:commentRangeStart w:id="59"/>
            <w:r>
              <w:rPr>
                <w:rFonts w:hint="eastAsia"/>
                <w:color w:val="000000" w:themeColor="text1"/>
                <w:kern w:val="0"/>
                <w:sz w:val="24"/>
                <w:lang w:bidi="ar"/>
                <w14:textFill>
                  <w14:solidFill>
                    <w14:schemeClr w14:val="tx1"/>
                  </w14:solidFill>
                </w14:textFill>
              </w:rPr>
              <w:t>型</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验室，主</w:t>
            </w:r>
            <w:commentRangeEnd w:id="59"/>
            <w:r>
              <w:commentReference w:id="59"/>
            </w:r>
            <w:r>
              <w:rPr>
                <w:rFonts w:hint="eastAsia"/>
                <w:color w:val="000000" w:themeColor="text1"/>
                <w:kern w:val="0"/>
                <w:sz w:val="24"/>
                <w:lang w:bidi="ar"/>
                <w14:textFill>
                  <w14:solidFill>
                    <w14:schemeClr w14:val="tx1"/>
                  </w14:solidFill>
                </w14:textFill>
              </w:rPr>
              <w:t>要进行简单的理化及微生物实验。项目</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验室废水产生量极小，用水量约为</w:t>
            </w:r>
            <w:r>
              <w:rPr>
                <w:rFonts w:hint="eastAsia"/>
                <w:color w:val="000000" w:themeColor="text1"/>
                <w:sz w:val="24"/>
                <w:lang w:val="en-US" w:eastAsia="zh-CN"/>
                <w14:textFill>
                  <w14:solidFill>
                    <w14:schemeClr w14:val="tx1"/>
                  </w14:solidFill>
                </w14:textFill>
              </w:rPr>
              <w:t>0.1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lang w:val="en-US" w:eastAsia="zh-CN"/>
                <w14:textFill>
                  <w14:solidFill>
                    <w14:schemeClr w14:val="tx1"/>
                  </w14:solidFill>
                </w14:textFill>
              </w:rPr>
              <w:t>20.0</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kern w:val="0"/>
                <w:sz w:val="24"/>
                <w:lang w:bidi="ar"/>
                <w14:textFill>
                  <w14:solidFill>
                    <w14:schemeClr w14:val="tx1"/>
                  </w14:solidFill>
                </w14:textFill>
              </w:rPr>
              <w:t>，产污系数按0.9计，则项目</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验室废水产生量为</w:t>
            </w:r>
            <w:r>
              <w:rPr>
                <w:rFonts w:hint="eastAsia"/>
                <w:color w:val="000000" w:themeColor="text1"/>
                <w:sz w:val="24"/>
                <w:lang w:val="en-US" w:eastAsia="zh-CN"/>
                <w14:textFill>
                  <w14:solidFill>
                    <w14:schemeClr w14:val="tx1"/>
                  </w14:solidFill>
                </w14:textFill>
              </w:rPr>
              <w:t>0.09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lang w:val="en-US" w:eastAsia="zh-CN"/>
                <w14:textFill>
                  <w14:solidFill>
                    <w14:schemeClr w14:val="tx1"/>
                  </w14:solidFill>
                </w14:textFill>
              </w:rPr>
              <w:t>18.0</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kern w:val="0"/>
                <w:sz w:val="24"/>
                <w:lang w:bidi="ar"/>
                <w14:textFill>
                  <w14:solidFill>
                    <w14:schemeClr w14:val="tx1"/>
                  </w14:solidFill>
                </w14:textFill>
              </w:rPr>
              <w:t>。</w:t>
            </w:r>
          </w:p>
          <w:p w14:paraId="26B2A83D">
            <w:pPr>
              <w:tabs>
                <w:tab w:val="left" w:pos="1081"/>
              </w:tabs>
              <w:adjustRightInd w:val="0"/>
              <w:snapToGrid w:val="0"/>
              <w:spacing w:line="360" w:lineRule="auto"/>
              <w:ind w:firstLine="480" w:firstLineChars="200"/>
              <w:rPr>
                <w:sz w:val="24"/>
                <w:szCs w:val="24"/>
              </w:rPr>
            </w:pPr>
            <w:r>
              <w:rPr>
                <w:sz w:val="24"/>
                <w:szCs w:val="24"/>
              </w:rPr>
              <w:t>项目营运期用排水情况见下表，水平衡见下图。</w:t>
            </w:r>
          </w:p>
          <w:p w14:paraId="6A262AAF">
            <w:pPr>
              <w:widowControl/>
              <w:adjustRightInd w:val="0"/>
              <w:snapToGrid w:val="0"/>
              <w:spacing w:line="360" w:lineRule="auto"/>
              <w:ind w:firstLine="482"/>
              <w:jc w:val="center"/>
              <w:rPr>
                <w:b/>
                <w:sz w:val="24"/>
                <w:szCs w:val="24"/>
              </w:rPr>
            </w:pPr>
            <w:r>
              <w:rPr>
                <w:b/>
                <w:sz w:val="24"/>
                <w:szCs w:val="24"/>
              </w:rPr>
              <w:t>表2-</w:t>
            </w:r>
            <w:r>
              <w:rPr>
                <w:rFonts w:hint="eastAsia"/>
                <w:b/>
                <w:sz w:val="24"/>
                <w:szCs w:val="24"/>
                <w:lang w:val="en-US" w:eastAsia="zh-CN"/>
              </w:rPr>
              <w:t>6</w:t>
            </w:r>
            <w:r>
              <w:rPr>
                <w:rFonts w:hint="eastAsia"/>
                <w:b/>
                <w:sz w:val="24"/>
                <w:szCs w:val="24"/>
              </w:rPr>
              <w:t xml:space="preserve">  </w:t>
            </w:r>
            <w:r>
              <w:rPr>
                <w:b/>
                <w:sz w:val="24"/>
                <w:szCs w:val="24"/>
              </w:rPr>
              <w:t>项目营运期用排水情况一览表     单位：m</w:t>
            </w:r>
            <w:r>
              <w:rPr>
                <w:b/>
                <w:sz w:val="24"/>
                <w:szCs w:val="24"/>
                <w:vertAlign w:val="superscript"/>
              </w:rPr>
              <w:t>3</w:t>
            </w:r>
            <w:r>
              <w:rPr>
                <w:b/>
                <w:sz w:val="24"/>
                <w:szCs w:val="24"/>
              </w:rPr>
              <w:t>/d</w:t>
            </w:r>
          </w:p>
          <w:tbl>
            <w:tblPr>
              <w:tblStyle w:val="20"/>
              <w:tblW w:w="4991"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03"/>
              <w:gridCol w:w="1101"/>
              <w:gridCol w:w="1184"/>
              <w:gridCol w:w="951"/>
              <w:gridCol w:w="1251"/>
              <w:gridCol w:w="2872"/>
            </w:tblGrid>
            <w:tr w14:paraId="7E7FEA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17B9251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类别</w:t>
                  </w:r>
                </w:p>
              </w:tc>
              <w:tc>
                <w:tcPr>
                  <w:tcW w:w="594" w:type="pct"/>
                  <w:vAlign w:val="center"/>
                </w:tcPr>
                <w:p w14:paraId="1B47774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用水量</w:t>
                  </w:r>
                </w:p>
              </w:tc>
              <w:tc>
                <w:tcPr>
                  <w:tcW w:w="639" w:type="pct"/>
                  <w:vAlign w:val="center"/>
                </w:tcPr>
                <w:p w14:paraId="6666CA4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用水来源</w:t>
                  </w:r>
                </w:p>
              </w:tc>
              <w:tc>
                <w:tcPr>
                  <w:tcW w:w="513" w:type="pct"/>
                  <w:vAlign w:val="center"/>
                </w:tcPr>
                <w:p w14:paraId="0EFBF04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废水量</w:t>
                  </w:r>
                </w:p>
              </w:tc>
              <w:tc>
                <w:tcPr>
                  <w:tcW w:w="675" w:type="pct"/>
                  <w:vAlign w:val="center"/>
                </w:tcPr>
                <w:p w14:paraId="7427D7E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排放频次</w:t>
                  </w:r>
                </w:p>
              </w:tc>
              <w:tc>
                <w:tcPr>
                  <w:tcW w:w="1550" w:type="pct"/>
                  <w:vAlign w:val="center"/>
                </w:tcPr>
                <w:p w14:paraId="7EE58F9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备注</w:t>
                  </w:r>
                </w:p>
              </w:tc>
            </w:tr>
            <w:tr w14:paraId="7CD1D4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73FCA61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职工生活用水</w:t>
                  </w:r>
                </w:p>
              </w:tc>
              <w:tc>
                <w:tcPr>
                  <w:tcW w:w="594" w:type="pct"/>
                  <w:vAlign w:val="center"/>
                </w:tcPr>
                <w:p w14:paraId="4FD53289">
                  <w:pPr>
                    <w:jc w:val="center"/>
                    <w:rPr>
                      <w:rFonts w:hint="default" w:eastAsia="宋体"/>
                      <w:color w:val="000000" w:themeColor="text1"/>
                      <w:szCs w:val="21"/>
                      <w:lang w:val="en-US" w:eastAsia="zh-CN"/>
                      <w14:textFill>
                        <w14:solidFill>
                          <w14:schemeClr w14:val="tx1"/>
                        </w14:solidFill>
                      </w14:textFill>
                    </w:rPr>
                  </w:pPr>
                  <w:r>
                    <w:rPr>
                      <w:rFonts w:hint="default" w:eastAsia="宋体"/>
                      <w:color w:val="000000" w:themeColor="text1"/>
                      <w:szCs w:val="21"/>
                      <w:lang w:val="en-US" w:eastAsia="zh-CN"/>
                      <w14:textFill>
                        <w14:solidFill>
                          <w14:schemeClr w14:val="tx1"/>
                        </w14:solidFill>
                      </w14:textFill>
                    </w:rPr>
                    <w:t>7.5</w:t>
                  </w:r>
                </w:p>
              </w:tc>
              <w:tc>
                <w:tcPr>
                  <w:tcW w:w="639" w:type="pct"/>
                  <w:vAlign w:val="center"/>
                </w:tcPr>
                <w:p w14:paraId="6BF74A3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3" w:type="pct"/>
                  <w:vAlign w:val="center"/>
                </w:tcPr>
                <w:p w14:paraId="224DFBC5">
                  <w:pPr>
                    <w:jc w:val="center"/>
                    <w:rPr>
                      <w:rFonts w:hint="default" w:eastAsia="宋体"/>
                      <w:color w:val="000000" w:themeColor="text1"/>
                      <w:szCs w:val="21"/>
                      <w:lang w:val="en-US" w:eastAsia="zh-CN"/>
                      <w14:textFill>
                        <w14:solidFill>
                          <w14:schemeClr w14:val="tx1"/>
                        </w14:solidFill>
                      </w14:textFill>
                    </w:rPr>
                  </w:pPr>
                  <w:r>
                    <w:rPr>
                      <w:rFonts w:hint="default" w:eastAsia="宋体"/>
                      <w:color w:val="000000" w:themeColor="text1"/>
                      <w:szCs w:val="21"/>
                      <w:lang w:val="en-US" w:eastAsia="zh-CN"/>
                      <w14:textFill>
                        <w14:solidFill>
                          <w14:schemeClr w14:val="tx1"/>
                        </w14:solidFill>
                      </w14:textFill>
                    </w:rPr>
                    <w:t>6.0</w:t>
                  </w:r>
                </w:p>
              </w:tc>
              <w:tc>
                <w:tcPr>
                  <w:tcW w:w="675" w:type="pct"/>
                  <w:vAlign w:val="center"/>
                </w:tcPr>
                <w:p w14:paraId="323D97C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间断排放</w:t>
                  </w:r>
                </w:p>
              </w:tc>
              <w:tc>
                <w:tcPr>
                  <w:tcW w:w="1550" w:type="pct"/>
                  <w:vMerge w:val="restart"/>
                  <w:shd w:val="clear" w:color="auto" w:fill="auto"/>
                  <w:vAlign w:val="center"/>
                </w:tcPr>
                <w:p w14:paraId="51F59E97">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职工生活污水经化粪池处理后与生产废水一起经厂区污水处理站处理</w:t>
                  </w:r>
                  <w:r>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达标后排放</w:t>
                  </w:r>
                </w:p>
              </w:tc>
            </w:tr>
            <w:tr w14:paraId="3E3482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23FEAC1A">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肉类解冻清洗用水</w:t>
                  </w:r>
                </w:p>
              </w:tc>
              <w:tc>
                <w:tcPr>
                  <w:tcW w:w="594" w:type="pct"/>
                  <w:vAlign w:val="center"/>
                </w:tcPr>
                <w:p w14:paraId="6D92997D">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15.9</w:t>
                  </w:r>
                </w:p>
              </w:tc>
              <w:tc>
                <w:tcPr>
                  <w:tcW w:w="639" w:type="pct"/>
                  <w:vAlign w:val="center"/>
                </w:tcPr>
                <w:p w14:paraId="73473FE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3" w:type="pct"/>
                  <w:vAlign w:val="center"/>
                </w:tcPr>
                <w:p w14:paraId="60268205">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14.31</w:t>
                  </w:r>
                </w:p>
              </w:tc>
              <w:tc>
                <w:tcPr>
                  <w:tcW w:w="675" w:type="pct"/>
                  <w:vAlign w:val="center"/>
                </w:tcPr>
                <w:p w14:paraId="6D7F790F">
                  <w:pPr>
                    <w:jc w:val="center"/>
                    <w:rPr>
                      <w:rFonts w:hint="eastAsia"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间断排放</w:t>
                  </w:r>
                </w:p>
              </w:tc>
              <w:tc>
                <w:tcPr>
                  <w:tcW w:w="1550" w:type="pct"/>
                  <w:vMerge w:val="continue"/>
                  <w:shd w:val="clear" w:color="auto" w:fill="auto"/>
                  <w:vAlign w:val="center"/>
                </w:tcPr>
                <w:p w14:paraId="52DC8E7D">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14:textFill>
                        <w14:solidFill>
                          <w14:schemeClr w14:val="tx1"/>
                        </w14:solidFill>
                      </w14:textFill>
                    </w:rPr>
                  </w:pPr>
                </w:p>
              </w:tc>
            </w:tr>
            <w:tr w14:paraId="51C65B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46D816EE">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蔬菜清洗用水</w:t>
                  </w:r>
                </w:p>
              </w:tc>
              <w:tc>
                <w:tcPr>
                  <w:tcW w:w="594" w:type="pct"/>
                  <w:vAlign w:val="center"/>
                </w:tcPr>
                <w:p w14:paraId="767F9774">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3.2</w:t>
                  </w:r>
                </w:p>
              </w:tc>
              <w:tc>
                <w:tcPr>
                  <w:tcW w:w="639" w:type="pct"/>
                  <w:vAlign w:val="center"/>
                </w:tcPr>
                <w:p w14:paraId="2F441F0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3" w:type="pct"/>
                  <w:vAlign w:val="center"/>
                </w:tcPr>
                <w:p w14:paraId="6F4B50B5">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2.88</w:t>
                  </w:r>
                </w:p>
              </w:tc>
              <w:tc>
                <w:tcPr>
                  <w:tcW w:w="675" w:type="pct"/>
                  <w:vAlign w:val="center"/>
                </w:tcPr>
                <w:p w14:paraId="23D7EEA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间断排放</w:t>
                  </w:r>
                </w:p>
              </w:tc>
              <w:tc>
                <w:tcPr>
                  <w:tcW w:w="1550" w:type="pct"/>
                  <w:vMerge w:val="continue"/>
                  <w:shd w:val="clear" w:color="auto" w:fill="auto"/>
                  <w:vAlign w:val="center"/>
                </w:tcPr>
                <w:p w14:paraId="4A085EE2">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14:textFill>
                        <w14:solidFill>
                          <w14:schemeClr w14:val="tx1"/>
                        </w14:solidFill>
                      </w14:textFill>
                    </w:rPr>
                  </w:pPr>
                </w:p>
              </w:tc>
            </w:tr>
            <w:tr w14:paraId="45365B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314A0C5F">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洗米用水</w:t>
                  </w:r>
                </w:p>
              </w:tc>
              <w:tc>
                <w:tcPr>
                  <w:tcW w:w="594" w:type="pct"/>
                  <w:vAlign w:val="center"/>
                </w:tcPr>
                <w:p w14:paraId="486263AA">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0.924</w:t>
                  </w:r>
                </w:p>
              </w:tc>
              <w:tc>
                <w:tcPr>
                  <w:tcW w:w="639" w:type="pct"/>
                  <w:vAlign w:val="center"/>
                </w:tcPr>
                <w:p w14:paraId="6955A92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3" w:type="pct"/>
                  <w:vAlign w:val="center"/>
                </w:tcPr>
                <w:p w14:paraId="1986F589">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0.832</w:t>
                  </w:r>
                </w:p>
              </w:tc>
              <w:tc>
                <w:tcPr>
                  <w:tcW w:w="675" w:type="pct"/>
                  <w:vAlign w:val="center"/>
                </w:tcPr>
                <w:p w14:paraId="0258901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间断排放</w:t>
                  </w:r>
                </w:p>
              </w:tc>
              <w:tc>
                <w:tcPr>
                  <w:tcW w:w="1550" w:type="pct"/>
                  <w:vMerge w:val="continue"/>
                  <w:shd w:val="clear" w:color="auto" w:fill="auto"/>
                  <w:vAlign w:val="center"/>
                </w:tcPr>
                <w:p w14:paraId="658DD898">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14:textFill>
                        <w14:solidFill>
                          <w14:schemeClr w14:val="tx1"/>
                        </w14:solidFill>
                      </w14:textFill>
                    </w:rPr>
                  </w:pPr>
                </w:p>
              </w:tc>
            </w:tr>
            <w:tr w14:paraId="242E73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5E8D0225">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设备清洗用水</w:t>
                  </w:r>
                </w:p>
              </w:tc>
              <w:tc>
                <w:tcPr>
                  <w:tcW w:w="594" w:type="pct"/>
                  <w:vAlign w:val="center"/>
                </w:tcPr>
                <w:p w14:paraId="7D7981C7">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3.0</w:t>
                  </w:r>
                </w:p>
              </w:tc>
              <w:tc>
                <w:tcPr>
                  <w:tcW w:w="639" w:type="pct"/>
                  <w:vAlign w:val="center"/>
                </w:tcPr>
                <w:p w14:paraId="2C7E409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3" w:type="pct"/>
                  <w:vAlign w:val="center"/>
                </w:tcPr>
                <w:p w14:paraId="48BA310C">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2.7</w:t>
                  </w:r>
                </w:p>
              </w:tc>
              <w:tc>
                <w:tcPr>
                  <w:tcW w:w="675" w:type="pct"/>
                  <w:vAlign w:val="center"/>
                </w:tcPr>
                <w:p w14:paraId="38C566BD">
                  <w:pPr>
                    <w:jc w:val="center"/>
                    <w:rPr>
                      <w:rFonts w:hint="eastAsia"/>
                      <w:color w:val="000000" w:themeColor="text1"/>
                      <w:lang w:val="en-US" w:eastAsia="zh-CN"/>
                      <w14:textFill>
                        <w14:solidFill>
                          <w14:schemeClr w14:val="tx1"/>
                        </w14:solidFill>
                      </w14:textFill>
                    </w:rPr>
                  </w:pPr>
                  <w:r>
                    <w:rPr>
                      <w:color w:val="000000" w:themeColor="text1"/>
                      <w:szCs w:val="21"/>
                      <w14:textFill>
                        <w14:solidFill>
                          <w14:schemeClr w14:val="tx1"/>
                        </w14:solidFill>
                      </w14:textFill>
                    </w:rPr>
                    <w:t>间断排放</w:t>
                  </w:r>
                </w:p>
              </w:tc>
              <w:tc>
                <w:tcPr>
                  <w:tcW w:w="1550" w:type="pct"/>
                  <w:vMerge w:val="continue"/>
                  <w:vAlign w:val="center"/>
                </w:tcPr>
                <w:p w14:paraId="1E7B8748">
                  <w:pPr>
                    <w:jc w:val="center"/>
                    <w:rPr>
                      <w:color w:val="000000" w:themeColor="text1"/>
                      <w:szCs w:val="21"/>
                      <w14:textFill>
                        <w14:solidFill>
                          <w14:schemeClr w14:val="tx1"/>
                        </w14:solidFill>
                      </w14:textFill>
                    </w:rPr>
                  </w:pPr>
                </w:p>
              </w:tc>
            </w:tr>
            <w:tr w14:paraId="2CC5ED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557138E9">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餐具回收清洗用水</w:t>
                  </w:r>
                </w:p>
              </w:tc>
              <w:tc>
                <w:tcPr>
                  <w:tcW w:w="594" w:type="pct"/>
                  <w:vAlign w:val="center"/>
                </w:tcPr>
                <w:p w14:paraId="44A70A54">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4.0</w:t>
                  </w:r>
                </w:p>
              </w:tc>
              <w:tc>
                <w:tcPr>
                  <w:tcW w:w="639" w:type="pct"/>
                  <w:vAlign w:val="center"/>
                </w:tcPr>
                <w:p w14:paraId="27BD722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3" w:type="pct"/>
                  <w:vAlign w:val="center"/>
                </w:tcPr>
                <w:p w14:paraId="08A247F5">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3.6</w:t>
                  </w:r>
                </w:p>
              </w:tc>
              <w:tc>
                <w:tcPr>
                  <w:tcW w:w="675" w:type="pct"/>
                  <w:vAlign w:val="center"/>
                </w:tcPr>
                <w:p w14:paraId="41DF83A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间断排放</w:t>
                  </w:r>
                </w:p>
              </w:tc>
              <w:tc>
                <w:tcPr>
                  <w:tcW w:w="1550" w:type="pct"/>
                  <w:vMerge w:val="continue"/>
                  <w:vAlign w:val="center"/>
                </w:tcPr>
                <w:p w14:paraId="32AB91B4">
                  <w:pPr>
                    <w:jc w:val="center"/>
                    <w:rPr>
                      <w:color w:val="000000" w:themeColor="text1"/>
                      <w:szCs w:val="21"/>
                      <w14:textFill>
                        <w14:solidFill>
                          <w14:schemeClr w14:val="tx1"/>
                        </w14:solidFill>
                      </w14:textFill>
                    </w:rPr>
                  </w:pPr>
                </w:p>
              </w:tc>
            </w:tr>
            <w:tr w14:paraId="2FA2D1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00B614EA">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地面清洗用水</w:t>
                  </w:r>
                </w:p>
              </w:tc>
              <w:tc>
                <w:tcPr>
                  <w:tcW w:w="594" w:type="pct"/>
                  <w:vAlign w:val="center"/>
                </w:tcPr>
                <w:p w14:paraId="5C7D7830">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7.344</w:t>
                  </w:r>
                </w:p>
              </w:tc>
              <w:tc>
                <w:tcPr>
                  <w:tcW w:w="639" w:type="pct"/>
                  <w:vAlign w:val="center"/>
                </w:tcPr>
                <w:p w14:paraId="73AE9F8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3" w:type="pct"/>
                  <w:vAlign w:val="center"/>
                </w:tcPr>
                <w:p w14:paraId="4D106691">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6.610</w:t>
                  </w:r>
                </w:p>
              </w:tc>
              <w:tc>
                <w:tcPr>
                  <w:tcW w:w="675" w:type="pct"/>
                  <w:vAlign w:val="center"/>
                </w:tcPr>
                <w:p w14:paraId="4F1B8C13">
                  <w:pPr>
                    <w:jc w:val="center"/>
                    <w:rPr>
                      <w:rFonts w:hint="eastAsia"/>
                      <w:color w:val="000000" w:themeColor="text1"/>
                      <w:lang w:val="en-US" w:eastAsia="zh-CN"/>
                      <w14:textFill>
                        <w14:solidFill>
                          <w14:schemeClr w14:val="tx1"/>
                        </w14:solidFill>
                      </w14:textFill>
                    </w:rPr>
                  </w:pPr>
                  <w:r>
                    <w:rPr>
                      <w:color w:val="000000" w:themeColor="text1"/>
                      <w:szCs w:val="21"/>
                      <w14:textFill>
                        <w14:solidFill>
                          <w14:schemeClr w14:val="tx1"/>
                        </w14:solidFill>
                      </w14:textFill>
                    </w:rPr>
                    <w:t>间断排放</w:t>
                  </w:r>
                </w:p>
              </w:tc>
              <w:tc>
                <w:tcPr>
                  <w:tcW w:w="1550" w:type="pct"/>
                  <w:vMerge w:val="continue"/>
                  <w:vAlign w:val="center"/>
                </w:tcPr>
                <w:p w14:paraId="5AFAFBBA">
                  <w:pPr>
                    <w:jc w:val="center"/>
                    <w:rPr>
                      <w:color w:val="000000" w:themeColor="text1"/>
                      <w:szCs w:val="21"/>
                      <w14:textFill>
                        <w14:solidFill>
                          <w14:schemeClr w14:val="tx1"/>
                        </w14:solidFill>
                      </w14:textFill>
                    </w:rPr>
                  </w:pPr>
                </w:p>
              </w:tc>
            </w:tr>
            <w:tr w14:paraId="79897B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4616ED36">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蒸汽发生器用水</w:t>
                  </w:r>
                </w:p>
              </w:tc>
              <w:tc>
                <w:tcPr>
                  <w:tcW w:w="594" w:type="pct"/>
                  <w:vAlign w:val="center"/>
                </w:tcPr>
                <w:p w14:paraId="710B52DD">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15.2</w:t>
                  </w:r>
                </w:p>
              </w:tc>
              <w:tc>
                <w:tcPr>
                  <w:tcW w:w="639" w:type="pct"/>
                  <w:vAlign w:val="center"/>
                </w:tcPr>
                <w:p w14:paraId="5A9498A4">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纯</w:t>
                  </w:r>
                  <w:r>
                    <w:rPr>
                      <w:color w:val="000000" w:themeColor="text1"/>
                      <w:szCs w:val="21"/>
                      <w14:textFill>
                        <w14:solidFill>
                          <w14:schemeClr w14:val="tx1"/>
                        </w14:solidFill>
                      </w14:textFill>
                    </w:rPr>
                    <w:t>水</w:t>
                  </w:r>
                </w:p>
              </w:tc>
              <w:tc>
                <w:tcPr>
                  <w:tcW w:w="513" w:type="pct"/>
                  <w:vAlign w:val="center"/>
                </w:tcPr>
                <w:p w14:paraId="730D7A18">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1.52</w:t>
                  </w:r>
                </w:p>
              </w:tc>
              <w:tc>
                <w:tcPr>
                  <w:tcW w:w="675" w:type="pct"/>
                  <w:vAlign w:val="center"/>
                </w:tcPr>
                <w:p w14:paraId="0ED9DD53">
                  <w:pPr>
                    <w:jc w:val="center"/>
                    <w:rPr>
                      <w:rFonts w:hint="eastAsia"/>
                      <w:color w:val="000000" w:themeColor="text1"/>
                      <w:lang w:val="en-US" w:eastAsia="zh-CN"/>
                      <w14:textFill>
                        <w14:solidFill>
                          <w14:schemeClr w14:val="tx1"/>
                        </w14:solidFill>
                      </w14:textFill>
                    </w:rPr>
                  </w:pPr>
                  <w:r>
                    <w:rPr>
                      <w:color w:val="000000" w:themeColor="text1"/>
                      <w:szCs w:val="21"/>
                      <w14:textFill>
                        <w14:solidFill>
                          <w14:schemeClr w14:val="tx1"/>
                        </w14:solidFill>
                      </w14:textFill>
                    </w:rPr>
                    <w:t>间断排放</w:t>
                  </w:r>
                </w:p>
              </w:tc>
              <w:tc>
                <w:tcPr>
                  <w:tcW w:w="1550" w:type="pct"/>
                  <w:vMerge w:val="continue"/>
                  <w:vAlign w:val="center"/>
                </w:tcPr>
                <w:p w14:paraId="170FB547">
                  <w:pPr>
                    <w:jc w:val="center"/>
                    <w:rPr>
                      <w:color w:val="000000" w:themeColor="text1"/>
                      <w:szCs w:val="21"/>
                      <w14:textFill>
                        <w14:solidFill>
                          <w14:schemeClr w14:val="tx1"/>
                        </w14:solidFill>
                      </w14:textFill>
                    </w:rPr>
                  </w:pPr>
                </w:p>
              </w:tc>
            </w:tr>
            <w:tr w14:paraId="306CFC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5BAADC43">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纯水制备用水</w:t>
                  </w:r>
                </w:p>
              </w:tc>
              <w:tc>
                <w:tcPr>
                  <w:tcW w:w="594" w:type="pct"/>
                  <w:vAlign w:val="center"/>
                </w:tcPr>
                <w:p w14:paraId="0929E838">
                  <w:pPr>
                    <w:jc w:val="center"/>
                    <w:rPr>
                      <w:rFonts w:hint="eastAsia" w:eastAsia="宋体"/>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26.943</w:t>
                  </w:r>
                </w:p>
              </w:tc>
              <w:tc>
                <w:tcPr>
                  <w:tcW w:w="639" w:type="pct"/>
                  <w:vAlign w:val="center"/>
                </w:tcPr>
                <w:p w14:paraId="62707AC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3" w:type="pct"/>
                  <w:vAlign w:val="center"/>
                </w:tcPr>
                <w:p w14:paraId="65627472">
                  <w:pPr>
                    <w:jc w:val="center"/>
                    <w:rPr>
                      <w:rFonts w:hint="eastAsia" w:eastAsia="宋体"/>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8.083</w:t>
                  </w:r>
                </w:p>
              </w:tc>
              <w:tc>
                <w:tcPr>
                  <w:tcW w:w="675" w:type="pct"/>
                  <w:vAlign w:val="center"/>
                </w:tcPr>
                <w:p w14:paraId="7A4F573E">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间断排放</w:t>
                  </w:r>
                </w:p>
              </w:tc>
              <w:tc>
                <w:tcPr>
                  <w:tcW w:w="1550" w:type="pct"/>
                  <w:vMerge w:val="continue"/>
                  <w:vAlign w:val="center"/>
                </w:tcPr>
                <w:p w14:paraId="3E987AB0">
                  <w:pPr>
                    <w:jc w:val="center"/>
                    <w:rPr>
                      <w:color w:val="000000" w:themeColor="text1"/>
                      <w:szCs w:val="21"/>
                      <w14:textFill>
                        <w14:solidFill>
                          <w14:schemeClr w14:val="tx1"/>
                        </w14:solidFill>
                      </w14:textFill>
                    </w:rPr>
                  </w:pPr>
                </w:p>
              </w:tc>
            </w:tr>
            <w:tr w14:paraId="4FDF34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4C7EE9DC">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化验室用水</w:t>
                  </w:r>
                </w:p>
              </w:tc>
              <w:tc>
                <w:tcPr>
                  <w:tcW w:w="594" w:type="pct"/>
                  <w:vAlign w:val="center"/>
                </w:tcPr>
                <w:p w14:paraId="2BE9E344">
                  <w:pPr>
                    <w:jc w:val="center"/>
                    <w:rPr>
                      <w:rFonts w:hint="eastAsia" w:eastAsia="宋体"/>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0.1</w:t>
                  </w:r>
                </w:p>
              </w:tc>
              <w:tc>
                <w:tcPr>
                  <w:tcW w:w="639" w:type="pct"/>
                  <w:vAlign w:val="center"/>
                </w:tcPr>
                <w:p w14:paraId="2C05B73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新鲜水</w:t>
                  </w:r>
                </w:p>
              </w:tc>
              <w:tc>
                <w:tcPr>
                  <w:tcW w:w="513" w:type="pct"/>
                  <w:vAlign w:val="center"/>
                </w:tcPr>
                <w:p w14:paraId="56C14C92">
                  <w:pPr>
                    <w:jc w:val="center"/>
                    <w:rPr>
                      <w:rFonts w:hint="eastAsia" w:eastAsia="宋体"/>
                      <w:color w:val="000000" w:themeColor="text1"/>
                      <w:szCs w:val="21"/>
                      <w:lang w:val="en-US" w:eastAsia="zh-CN"/>
                      <w14:textFill>
                        <w14:solidFill>
                          <w14:schemeClr w14:val="tx1"/>
                        </w14:solidFill>
                      </w14:textFill>
                    </w:rPr>
                  </w:pPr>
                  <w:r>
                    <w:rPr>
                      <w:rFonts w:hint="eastAsia" w:eastAsia="宋体"/>
                      <w:color w:val="000000" w:themeColor="text1"/>
                      <w:szCs w:val="21"/>
                      <w:lang w:val="en-US" w:eastAsia="zh-CN"/>
                      <w14:textFill>
                        <w14:solidFill>
                          <w14:schemeClr w14:val="tx1"/>
                        </w14:solidFill>
                      </w14:textFill>
                    </w:rPr>
                    <w:t>0.09</w:t>
                  </w:r>
                </w:p>
              </w:tc>
              <w:tc>
                <w:tcPr>
                  <w:tcW w:w="675" w:type="pct"/>
                  <w:vAlign w:val="center"/>
                </w:tcPr>
                <w:p w14:paraId="4B9C35E9">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间断排放</w:t>
                  </w:r>
                </w:p>
              </w:tc>
              <w:tc>
                <w:tcPr>
                  <w:tcW w:w="1550" w:type="pct"/>
                  <w:vMerge w:val="continue"/>
                  <w:vAlign w:val="center"/>
                </w:tcPr>
                <w:p w14:paraId="6FAEC8BC">
                  <w:pPr>
                    <w:jc w:val="center"/>
                    <w:rPr>
                      <w:color w:val="000000" w:themeColor="text1"/>
                      <w:szCs w:val="21"/>
                      <w14:textFill>
                        <w14:solidFill>
                          <w14:schemeClr w14:val="tx1"/>
                        </w14:solidFill>
                      </w14:textFill>
                    </w:rPr>
                  </w:pPr>
                </w:p>
              </w:tc>
            </w:tr>
            <w:tr w14:paraId="7FB562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216A2547">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和面用水</w:t>
                  </w:r>
                </w:p>
              </w:tc>
              <w:tc>
                <w:tcPr>
                  <w:tcW w:w="594" w:type="pct"/>
                  <w:vAlign w:val="center"/>
                </w:tcPr>
                <w:p w14:paraId="5CA541FE">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0.36</w:t>
                  </w:r>
                </w:p>
              </w:tc>
              <w:tc>
                <w:tcPr>
                  <w:tcW w:w="639" w:type="pct"/>
                  <w:vAlign w:val="center"/>
                </w:tcPr>
                <w:p w14:paraId="0175AD1E">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纯</w:t>
                  </w:r>
                  <w:r>
                    <w:rPr>
                      <w:color w:val="000000" w:themeColor="text1"/>
                      <w:szCs w:val="21"/>
                      <w14:textFill>
                        <w14:solidFill>
                          <w14:schemeClr w14:val="tx1"/>
                        </w14:solidFill>
                      </w14:textFill>
                    </w:rPr>
                    <w:t>水</w:t>
                  </w:r>
                </w:p>
              </w:tc>
              <w:tc>
                <w:tcPr>
                  <w:tcW w:w="513" w:type="pct"/>
                  <w:vAlign w:val="center"/>
                </w:tcPr>
                <w:p w14:paraId="3D7174E6">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75" w:type="pct"/>
                  <w:vAlign w:val="center"/>
                </w:tcPr>
                <w:p w14:paraId="0128E0B0">
                  <w:pPr>
                    <w:jc w:val="center"/>
                    <w:rPr>
                      <w:rFonts w:hint="eastAsia"/>
                      <w:color w:val="000000" w:themeColor="text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1550" w:type="pct"/>
                  <w:vAlign w:val="center"/>
                </w:tcPr>
                <w:p w14:paraId="25EB69E6">
                  <w:pPr>
                    <w:jc w:val="center"/>
                    <w:rPr>
                      <w:rFonts w:hint="default"/>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全部进入产品，不外排</w:t>
                  </w:r>
                </w:p>
              </w:tc>
            </w:tr>
            <w:tr w14:paraId="2B61A9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61266F1E">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蒸米用水</w:t>
                  </w:r>
                </w:p>
              </w:tc>
              <w:tc>
                <w:tcPr>
                  <w:tcW w:w="594" w:type="pct"/>
                  <w:vAlign w:val="center"/>
                </w:tcPr>
                <w:p w14:paraId="1AFEE9CA">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3.3</w:t>
                  </w:r>
                </w:p>
              </w:tc>
              <w:tc>
                <w:tcPr>
                  <w:tcW w:w="639" w:type="pct"/>
                  <w:vAlign w:val="center"/>
                </w:tcPr>
                <w:p w14:paraId="29A29947">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纯</w:t>
                  </w:r>
                  <w:r>
                    <w:rPr>
                      <w:color w:val="000000" w:themeColor="text1"/>
                      <w:szCs w:val="21"/>
                      <w14:textFill>
                        <w14:solidFill>
                          <w14:schemeClr w14:val="tx1"/>
                        </w14:solidFill>
                      </w14:textFill>
                    </w:rPr>
                    <w:t>水</w:t>
                  </w:r>
                </w:p>
              </w:tc>
              <w:tc>
                <w:tcPr>
                  <w:tcW w:w="513" w:type="pct"/>
                  <w:vAlign w:val="center"/>
                </w:tcPr>
                <w:p w14:paraId="12F86D73">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75" w:type="pct"/>
                  <w:vAlign w:val="center"/>
                </w:tcPr>
                <w:p w14:paraId="5C792810">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1550" w:type="pct"/>
                  <w:vAlign w:val="center"/>
                </w:tcPr>
                <w:p w14:paraId="04D05007">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全部进入产品，不外排</w:t>
                  </w:r>
                </w:p>
              </w:tc>
            </w:tr>
            <w:tr w14:paraId="34C6FE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027" w:type="pct"/>
                  <w:vAlign w:val="center"/>
                </w:tcPr>
                <w:p w14:paraId="0F05668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合计</w:t>
                  </w:r>
                </w:p>
              </w:tc>
              <w:tc>
                <w:tcPr>
                  <w:tcW w:w="594" w:type="pct"/>
                  <w:vAlign w:val="center"/>
                </w:tcPr>
                <w:p w14:paraId="6142F636">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68.911</w:t>
                  </w:r>
                </w:p>
              </w:tc>
              <w:tc>
                <w:tcPr>
                  <w:tcW w:w="639" w:type="pct"/>
                  <w:vAlign w:val="center"/>
                </w:tcPr>
                <w:p w14:paraId="2AE51DF0">
                  <w:pPr>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新鲜水</w:t>
                  </w:r>
                </w:p>
              </w:tc>
              <w:tc>
                <w:tcPr>
                  <w:tcW w:w="513" w:type="pct"/>
                  <w:vAlign w:val="center"/>
                </w:tcPr>
                <w:p w14:paraId="1C00F218">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46.625</w:t>
                  </w:r>
                </w:p>
              </w:tc>
              <w:tc>
                <w:tcPr>
                  <w:tcW w:w="675" w:type="pct"/>
                  <w:vAlign w:val="center"/>
                </w:tcPr>
                <w:p w14:paraId="7AA324B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550" w:type="pct"/>
                  <w:vAlign w:val="center"/>
                </w:tcPr>
                <w:p w14:paraId="730DFAB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bl>
          <w:tbl>
            <w:tblPr>
              <w:tblStyle w:val="21"/>
              <w:tblW w:w="928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79"/>
            </w:tblGrid>
            <w:tr w14:paraId="31A3A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Borders>
                    <w:top w:val="nil"/>
                    <w:left w:val="nil"/>
                    <w:bottom w:val="nil"/>
                    <w:right w:val="nil"/>
                  </w:tcBorders>
                  <w:vAlign w:val="center"/>
                </w:tcPr>
                <w:p w14:paraId="759D79E4">
                  <w:pPr>
                    <w:jc w:val="center"/>
                    <w:rPr>
                      <w:rFonts w:hint="eastAsia" w:ascii="Times New Roman" w:hAnsi="Times New Roman" w:eastAsia="宋体" w:cs="Times New Roman"/>
                      <w:b w:val="0"/>
                      <w:bCs/>
                      <w:color w:val="000000"/>
                      <w:sz w:val="24"/>
                      <w:szCs w:val="24"/>
                      <w:vertAlign w:val="baseline"/>
                      <w:lang w:eastAsia="zh-CN"/>
                    </w:rPr>
                  </w:pPr>
                  <w:r>
                    <w:drawing>
                      <wp:inline distT="0" distB="0" distL="114300" distR="114300">
                        <wp:extent cx="5865495" cy="4921885"/>
                        <wp:effectExtent l="0" t="0" r="1905" b="12065"/>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pic:cNvPicPr>
                              </pic:nvPicPr>
                              <pic:blipFill>
                                <a:blip r:embed="rId13"/>
                                <a:stretch>
                                  <a:fillRect/>
                                </a:stretch>
                              </pic:blipFill>
                              <pic:spPr>
                                <a:xfrm>
                                  <a:off x="0" y="0"/>
                                  <a:ext cx="5865495" cy="4921885"/>
                                </a:xfrm>
                                <a:prstGeom prst="rect">
                                  <a:avLst/>
                                </a:prstGeom>
                                <a:noFill/>
                                <a:ln>
                                  <a:noFill/>
                                </a:ln>
                              </pic:spPr>
                            </pic:pic>
                          </a:graphicData>
                        </a:graphic>
                      </wp:inline>
                    </w:drawing>
                  </w:r>
                  <w:r>
                    <w:rPr>
                      <w:sz w:val="24"/>
                    </w:rPr>
                    <mc:AlternateContent>
                      <mc:Choice Requires="wps">
                        <w:drawing>
                          <wp:anchor distT="0" distB="0" distL="114300" distR="114300" simplePos="0" relativeHeight="251662336" behindDoc="0" locked="0" layoutInCell="1" allowOverlap="1">
                            <wp:simplePos x="0" y="0"/>
                            <wp:positionH relativeFrom="column">
                              <wp:posOffset>3195955</wp:posOffset>
                            </wp:positionH>
                            <wp:positionV relativeFrom="paragraph">
                              <wp:posOffset>3966845</wp:posOffset>
                            </wp:positionV>
                            <wp:extent cx="513080" cy="263525"/>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51308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E0D0F9">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0.09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65pt;margin-top:312.35pt;height:20.75pt;width:40.4pt;z-index:251662336;mso-width-relative:page;mso-height-relative:page;" filled="f" stroked="f" coordsize="21600,21600" o:gfxdata="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6wW8XcAAAACwEAAA8AAAAAAAAAAQAgAAAAIgAAAGRy&#10;cy9kb3ducmV2LnhtbFBLAQIUABQAAAAIAIdO4kAEnPg7OgIAAGkEAAAOAAAAAAAAAAEAIAAAACsB&#10;AABkcnMvZTJvRG9jLnhtbFBLBQYAAAAABgAGAFkBAADXBQAAAAA=&#10;">
                            <v:fill on="f" focussize="0,0"/>
                            <v:stroke on="f" weight="0.5pt"/>
                            <v:imagedata o:title=""/>
                            <o:lock v:ext="edit" aspectratio="f"/>
                            <v:textbox>
                              <w:txbxContent>
                                <w:p w14:paraId="5DE0D0F9">
                                  <w:pPr>
                                    <w:jc w:val="center"/>
                                    <w:rPr>
                                      <w:rFonts w:hint="default" w:eastAsia="宋体"/>
                                      <w:color w:val="000000" w:themeColor="text1"/>
                                      <w:sz w:val="18"/>
                                      <w:szCs w:val="21"/>
                                      <w:lang w:val="en-US" w:eastAsia="zh-CN"/>
                                      <w14:textFill>
                                        <w14:solidFill>
                                          <w14:schemeClr w14:val="tx1"/>
                                        </w14:solidFill>
                                      </w14:textFill>
                                    </w:rPr>
                                  </w:pPr>
                                  <w:r>
                                    <w:rPr>
                                      <w:rFonts w:hint="eastAsia" w:eastAsia="宋体"/>
                                      <w:color w:val="000000" w:themeColor="text1"/>
                                      <w:sz w:val="18"/>
                                      <w:szCs w:val="21"/>
                                      <w:lang w:val="en-US" w:eastAsia="zh-CN"/>
                                      <w14:textFill>
                                        <w14:solidFill>
                                          <w14:schemeClr w14:val="tx1"/>
                                        </w14:solidFill>
                                      </w14:textFill>
                                    </w:rPr>
                                    <w:t>0.09</w:t>
                                  </w:r>
                                </w:p>
                              </w:txbxContent>
                            </v:textbox>
                          </v:shape>
                        </w:pict>
                      </mc:Fallback>
                    </mc:AlternateContent>
                  </w:r>
                </w:p>
              </w:tc>
            </w:tr>
            <w:tr w14:paraId="2CC57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Borders>
                    <w:top w:val="nil"/>
                    <w:left w:val="nil"/>
                    <w:bottom w:val="nil"/>
                    <w:right w:val="nil"/>
                  </w:tcBorders>
                  <w:vAlign w:val="center"/>
                </w:tcPr>
                <w:p w14:paraId="48338C70">
                  <w:pPr>
                    <w:spacing w:line="360" w:lineRule="auto"/>
                    <w:jc w:val="center"/>
                    <w:rPr>
                      <w:rFonts w:hint="eastAsia" w:ascii="Times New Roman" w:hAnsi="Times New Roman" w:eastAsia="宋体" w:cs="Times New Roman"/>
                      <w:b w:val="0"/>
                      <w:bCs/>
                      <w:color w:val="000000"/>
                      <w:sz w:val="24"/>
                      <w:szCs w:val="24"/>
                      <w:vertAlign w:val="baseline"/>
                      <w:lang w:eastAsia="zh-CN"/>
                    </w:rPr>
                  </w:pPr>
                  <w:commentRangeStart w:id="60"/>
                  <w:r>
                    <w:rPr>
                      <w:b/>
                      <w:color w:val="000000" w:themeColor="text1"/>
                      <w:sz w:val="24"/>
                      <w14:textFill>
                        <w14:solidFill>
                          <w14:schemeClr w14:val="tx1"/>
                        </w14:solidFill>
                      </w14:textFill>
                    </w:rPr>
                    <w:t>图2-1</w:t>
                  </w:r>
                  <w:r>
                    <w:rPr>
                      <w:rFonts w:hint="eastAsia"/>
                      <w:b/>
                      <w:color w:val="000000" w:themeColor="text1"/>
                      <w:sz w:val="24"/>
                      <w14:textFill>
                        <w14:solidFill>
                          <w14:schemeClr w14:val="tx1"/>
                        </w14:solidFill>
                      </w14:textFill>
                    </w:rPr>
                    <w:t xml:space="preserve">  </w:t>
                  </w:r>
                  <w:commentRangeEnd w:id="60"/>
                  <w:r>
                    <w:commentReference w:id="60"/>
                  </w:r>
                  <w:r>
                    <w:rPr>
                      <w:b/>
                      <w:color w:val="000000" w:themeColor="text1"/>
                      <w:sz w:val="24"/>
                      <w14:textFill>
                        <w14:solidFill>
                          <w14:schemeClr w14:val="tx1"/>
                        </w14:solidFill>
                      </w14:textFill>
                    </w:rPr>
                    <w:t>项目营运期水平衡图    单位：m</w:t>
                  </w:r>
                  <w:r>
                    <w:rPr>
                      <w:b/>
                      <w:color w:val="000000" w:themeColor="text1"/>
                      <w:sz w:val="24"/>
                      <w:vertAlign w:val="superscript"/>
                      <w14:textFill>
                        <w14:solidFill>
                          <w14:schemeClr w14:val="tx1"/>
                        </w14:solidFill>
                      </w14:textFill>
                    </w:rPr>
                    <w:t>3</w:t>
                  </w:r>
                  <w:r>
                    <w:rPr>
                      <w:b/>
                      <w:color w:val="000000" w:themeColor="text1"/>
                      <w:sz w:val="24"/>
                      <w14:textFill>
                        <w14:solidFill>
                          <w14:schemeClr w14:val="tx1"/>
                        </w14:solidFill>
                      </w14:textFill>
                    </w:rPr>
                    <w:t>/d</w:t>
                  </w:r>
                </w:p>
              </w:tc>
            </w:tr>
          </w:tbl>
          <w:p w14:paraId="2C7F16FD">
            <w:pPr>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7</w:t>
            </w: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劳动定员及工作制度</w:t>
            </w:r>
          </w:p>
          <w:p w14:paraId="61A0B31C">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本项目劳动定员</w:t>
            </w:r>
            <w:r>
              <w:rPr>
                <w:rFonts w:hint="eastAsia"/>
                <w:color w:val="000000" w:themeColor="text1"/>
                <w:sz w:val="24"/>
                <w:lang w:val="en-US" w:eastAsia="zh-CN"/>
                <w14:textFill>
                  <w14:solidFill>
                    <w14:schemeClr w14:val="tx1"/>
                  </w14:solidFill>
                </w14:textFill>
              </w:rPr>
              <w:t>150</w:t>
            </w:r>
            <w:r>
              <w:rPr>
                <w:color w:val="000000" w:themeColor="text1"/>
                <w:sz w:val="24"/>
                <w14:textFill>
                  <w14:solidFill>
                    <w14:schemeClr w14:val="tx1"/>
                  </w14:solidFill>
                </w14:textFill>
              </w:rPr>
              <w:t>人，均不在厂区食宿，采用</w:t>
            </w:r>
            <w:r>
              <w:rPr>
                <w:rFonts w:hint="eastAsia"/>
                <w:color w:val="000000" w:themeColor="text1"/>
                <w:sz w:val="24"/>
                <w:lang w:val="en-US" w:eastAsia="zh-CN"/>
                <w14:textFill>
                  <w14:solidFill>
                    <w14:schemeClr w14:val="tx1"/>
                  </w14:solidFill>
                </w14:textFill>
              </w:rPr>
              <w:t>单</w:t>
            </w:r>
            <w:r>
              <w:rPr>
                <w:color w:val="000000" w:themeColor="text1"/>
                <w:sz w:val="24"/>
                <w14:textFill>
                  <w14:solidFill>
                    <w14:schemeClr w14:val="tx1"/>
                  </w14:solidFill>
                </w14:textFill>
              </w:rPr>
              <w:t>班×</w:t>
            </w:r>
            <w:r>
              <w:rPr>
                <w:rFonts w:hint="eastAsia"/>
                <w:color w:val="000000" w:themeColor="text1"/>
                <w:sz w:val="24"/>
                <w14:textFill>
                  <w14:solidFill>
                    <w14:schemeClr w14:val="tx1"/>
                  </w14:solidFill>
                </w14:textFill>
              </w:rPr>
              <w:t>8</w:t>
            </w:r>
            <w:r>
              <w:rPr>
                <w:color w:val="000000" w:themeColor="text1"/>
                <w:sz w:val="24"/>
                <w14:textFill>
                  <w14:solidFill>
                    <w14:schemeClr w14:val="tx1"/>
                  </w14:solidFill>
                </w14:textFill>
              </w:rPr>
              <w:t>h/d工作制，全年工作时间为</w:t>
            </w:r>
            <w:r>
              <w:rPr>
                <w:rFonts w:hint="eastAsia"/>
                <w:color w:val="000000" w:themeColor="text1"/>
                <w:sz w:val="24"/>
                <w:lang w:val="en-US" w:eastAsia="zh-CN"/>
                <w14:textFill>
                  <w14:solidFill>
                    <w14:schemeClr w14:val="tx1"/>
                  </w14:solidFill>
                </w14:textFill>
              </w:rPr>
              <w:t>200</w:t>
            </w:r>
            <w:r>
              <w:rPr>
                <w:color w:val="000000" w:themeColor="text1"/>
                <w:sz w:val="24"/>
                <w14:textFill>
                  <w14:solidFill>
                    <w14:schemeClr w14:val="tx1"/>
                  </w14:solidFill>
                </w14:textFill>
              </w:rPr>
              <w:t>天。</w:t>
            </w:r>
          </w:p>
          <w:p w14:paraId="7541FC3F">
            <w:pPr>
              <w:spacing w:line="360" w:lineRule="auto"/>
              <w:ind w:firstLine="482" w:firstLineChars="200"/>
              <w:rPr>
                <w:ins w:id="58" w:author="Administrator" w:date="2025-10-03T23:12:07Z"/>
                <w:rFonts w:hint="eastAsia"/>
                <w:b/>
                <w:color w:val="000000" w:themeColor="text1"/>
                <w:sz w:val="24"/>
                <w:lang w:val="en-US" w:eastAsia="zh-CN"/>
                <w14:textFill>
                  <w14:solidFill>
                    <w14:schemeClr w14:val="tx1"/>
                  </w14:solidFill>
                </w14:textFill>
              </w:rPr>
            </w:pPr>
          </w:p>
          <w:p w14:paraId="503D1583">
            <w:pPr>
              <w:spacing w:line="360" w:lineRule="auto"/>
              <w:ind w:firstLine="482" w:firstLineChars="200"/>
              <w:rPr>
                <w:ins w:id="59" w:author="Administrator" w:date="2025-10-03T23:12:07Z"/>
                <w:rFonts w:hint="eastAsia"/>
                <w:b/>
                <w:color w:val="000000" w:themeColor="text1"/>
                <w:sz w:val="24"/>
                <w:lang w:val="en-US" w:eastAsia="zh-CN"/>
                <w14:textFill>
                  <w14:solidFill>
                    <w14:schemeClr w14:val="tx1"/>
                  </w14:solidFill>
                </w14:textFill>
              </w:rPr>
            </w:pPr>
            <w:ins w:id="60" w:author="Administrator" w:date="2025-10-03T23:12:12Z">
              <w:r>
                <w:rPr>
                  <w:rFonts w:hint="eastAsia"/>
                  <w:b/>
                  <w:color w:val="000000" w:themeColor="text1"/>
                  <w:sz w:val="24"/>
                  <w:lang w:val="en-US" w:eastAsia="zh-CN"/>
                  <w14:textFill>
                    <w14:solidFill>
                      <w14:schemeClr w14:val="tx1"/>
                    </w14:solidFill>
                  </w14:textFill>
                </w:rPr>
                <w:t>燃气</w:t>
              </w:r>
            </w:ins>
            <w:ins w:id="61" w:author="Administrator" w:date="2025-10-03T23:12:13Z">
              <w:r>
                <w:rPr>
                  <w:rFonts w:hint="eastAsia"/>
                  <w:b/>
                  <w:color w:val="000000" w:themeColor="text1"/>
                  <w:sz w:val="24"/>
                  <w:lang w:val="en-US" w:eastAsia="zh-CN"/>
                  <w14:textFill>
                    <w14:solidFill>
                      <w14:schemeClr w14:val="tx1"/>
                    </w14:solidFill>
                  </w14:textFill>
                </w:rPr>
                <w:t>锅炉</w:t>
              </w:r>
            </w:ins>
            <w:ins w:id="62" w:author="Administrator" w:date="2025-10-03T23:12:14Z">
              <w:r>
                <w:rPr>
                  <w:rFonts w:hint="eastAsia"/>
                  <w:b/>
                  <w:color w:val="000000" w:themeColor="text1"/>
                  <w:sz w:val="24"/>
                  <w:lang w:val="en-US" w:eastAsia="zh-CN"/>
                  <w14:textFill>
                    <w14:solidFill>
                      <w14:schemeClr w14:val="tx1"/>
                    </w14:solidFill>
                  </w14:textFill>
                </w:rPr>
                <w:t>系统、</w:t>
              </w:r>
            </w:ins>
            <w:ins w:id="63" w:author="Administrator" w:date="2025-10-03T23:12:20Z">
              <w:r>
                <w:rPr>
                  <w:rFonts w:hint="eastAsia"/>
                  <w:b/>
                  <w:color w:val="000000" w:themeColor="text1"/>
                  <w:sz w:val="24"/>
                  <w:lang w:val="en-US" w:eastAsia="zh-CN"/>
                  <w14:textFill>
                    <w14:solidFill>
                      <w14:schemeClr w14:val="tx1"/>
                    </w14:solidFill>
                  </w14:textFill>
                </w:rPr>
                <w:t>制冷</w:t>
              </w:r>
            </w:ins>
            <w:ins w:id="64" w:author="Administrator" w:date="2025-10-03T23:12:21Z">
              <w:r>
                <w:rPr>
                  <w:rFonts w:hint="eastAsia"/>
                  <w:b/>
                  <w:color w:val="000000" w:themeColor="text1"/>
                  <w:sz w:val="24"/>
                  <w:lang w:val="en-US" w:eastAsia="zh-CN"/>
                  <w14:textFill>
                    <w14:solidFill>
                      <w14:schemeClr w14:val="tx1"/>
                    </w14:solidFill>
                  </w14:textFill>
                </w:rPr>
                <w:t>系统</w:t>
              </w:r>
            </w:ins>
            <w:ins w:id="65" w:author="Administrator" w:date="2025-10-03T23:13:05Z">
              <w:r>
                <w:rPr>
                  <w:rFonts w:hint="eastAsia"/>
                  <w:b/>
                  <w:color w:val="000000" w:themeColor="text1"/>
                  <w:sz w:val="24"/>
                  <w:lang w:val="en-US" w:eastAsia="zh-CN"/>
                  <w14:textFill>
                    <w14:solidFill>
                      <w14:schemeClr w14:val="tx1"/>
                    </w14:solidFill>
                  </w14:textFill>
                </w:rPr>
                <w:t>、</w:t>
              </w:r>
            </w:ins>
            <w:ins w:id="66" w:author="Administrator" w:date="2025-10-03T23:13:10Z">
              <w:r>
                <w:rPr>
                  <w:rFonts w:hint="eastAsia"/>
                  <w:b/>
                  <w:color w:val="000000" w:themeColor="text1"/>
                  <w:sz w:val="24"/>
                  <w:lang w:val="en-US" w:eastAsia="zh-CN"/>
                  <w14:textFill>
                    <w14:solidFill>
                      <w14:schemeClr w14:val="tx1"/>
                    </w14:solidFill>
                  </w14:textFill>
                </w:rPr>
                <w:t>供气</w:t>
              </w:r>
            </w:ins>
            <w:ins w:id="67" w:author="Administrator" w:date="2025-10-03T23:13:11Z">
              <w:r>
                <w:rPr>
                  <w:rFonts w:hint="eastAsia"/>
                  <w:b/>
                  <w:color w:val="000000" w:themeColor="text1"/>
                  <w:sz w:val="24"/>
                  <w:lang w:val="en-US" w:eastAsia="zh-CN"/>
                  <w14:textFill>
                    <w14:solidFill>
                      <w14:schemeClr w14:val="tx1"/>
                    </w14:solidFill>
                  </w14:textFill>
                </w:rPr>
                <w:t>工程</w:t>
              </w:r>
            </w:ins>
            <w:ins w:id="68" w:author="Administrator" w:date="2025-10-03T23:13:12Z">
              <w:r>
                <w:rPr>
                  <w:rFonts w:hint="eastAsia"/>
                  <w:b/>
                  <w:color w:val="000000" w:themeColor="text1"/>
                  <w:sz w:val="24"/>
                  <w:lang w:val="en-US" w:eastAsia="zh-CN"/>
                  <w14:textFill>
                    <w14:solidFill>
                      <w14:schemeClr w14:val="tx1"/>
                    </w14:solidFill>
                  </w14:textFill>
                </w:rPr>
                <w:t>、</w:t>
              </w:r>
            </w:ins>
            <w:ins w:id="69" w:author="Administrator" w:date="2025-10-03T23:13:21Z">
              <w:r>
                <w:rPr>
                  <w:rFonts w:hint="eastAsia"/>
                  <w:b/>
                  <w:color w:val="000000" w:themeColor="text1"/>
                  <w:sz w:val="24"/>
                  <w:lang w:val="en-US" w:eastAsia="zh-CN"/>
                  <w14:textFill>
                    <w14:solidFill>
                      <w14:schemeClr w14:val="tx1"/>
                    </w14:solidFill>
                  </w14:textFill>
                </w:rPr>
                <w:t>纯水</w:t>
              </w:r>
            </w:ins>
            <w:ins w:id="70" w:author="Administrator" w:date="2025-10-03T23:13:22Z">
              <w:r>
                <w:rPr>
                  <w:rFonts w:hint="eastAsia"/>
                  <w:b/>
                  <w:color w:val="000000" w:themeColor="text1"/>
                  <w:sz w:val="24"/>
                  <w:lang w:val="en-US" w:eastAsia="zh-CN"/>
                  <w14:textFill>
                    <w14:solidFill>
                      <w14:schemeClr w14:val="tx1"/>
                    </w14:solidFill>
                  </w14:textFill>
                </w:rPr>
                <w:t>系统</w:t>
              </w:r>
            </w:ins>
            <w:ins w:id="71" w:author="Administrator" w:date="2025-10-03T23:12:25Z">
              <w:r>
                <w:rPr>
                  <w:rFonts w:hint="eastAsia"/>
                  <w:b/>
                  <w:color w:val="000000" w:themeColor="text1"/>
                  <w:sz w:val="24"/>
                  <w:lang w:val="en-US" w:eastAsia="zh-CN"/>
                  <w14:textFill>
                    <w14:solidFill>
                      <w14:schemeClr w14:val="tx1"/>
                    </w14:solidFill>
                  </w14:textFill>
                </w:rPr>
                <w:t>等</w:t>
              </w:r>
            </w:ins>
            <w:ins w:id="72" w:author="Administrator" w:date="2025-10-03T23:12:26Z">
              <w:r>
                <w:rPr>
                  <w:rFonts w:hint="eastAsia"/>
                  <w:b/>
                  <w:color w:val="000000" w:themeColor="text1"/>
                  <w:sz w:val="24"/>
                  <w:lang w:val="en-US" w:eastAsia="zh-CN"/>
                  <w14:textFill>
                    <w14:solidFill>
                      <w14:schemeClr w14:val="tx1"/>
                    </w14:solidFill>
                  </w14:textFill>
                </w:rPr>
                <w:t>需要</w:t>
              </w:r>
            </w:ins>
            <w:ins w:id="73" w:author="Administrator" w:date="2025-10-03T23:12:27Z">
              <w:r>
                <w:rPr>
                  <w:rFonts w:hint="eastAsia"/>
                  <w:b/>
                  <w:color w:val="000000" w:themeColor="text1"/>
                  <w:sz w:val="24"/>
                  <w:lang w:val="en-US" w:eastAsia="zh-CN"/>
                  <w14:textFill>
                    <w14:solidFill>
                      <w14:schemeClr w14:val="tx1"/>
                    </w14:solidFill>
                  </w14:textFill>
                </w:rPr>
                <w:t>再</w:t>
              </w:r>
            </w:ins>
            <w:ins w:id="74" w:author="Administrator" w:date="2025-10-03T23:12:29Z">
              <w:r>
                <w:rPr>
                  <w:rFonts w:hint="eastAsia"/>
                  <w:b/>
                  <w:color w:val="000000" w:themeColor="text1"/>
                  <w:sz w:val="24"/>
                  <w:lang w:val="en-US" w:eastAsia="zh-CN"/>
                  <w14:textFill>
                    <w14:solidFill>
                      <w14:schemeClr w14:val="tx1"/>
                    </w14:solidFill>
                  </w14:textFill>
                </w:rPr>
                <w:t>详细</w:t>
              </w:r>
            </w:ins>
            <w:ins w:id="75" w:author="Administrator" w:date="2025-10-03T23:12:30Z">
              <w:r>
                <w:rPr>
                  <w:rFonts w:hint="eastAsia"/>
                  <w:b/>
                  <w:color w:val="000000" w:themeColor="text1"/>
                  <w:sz w:val="24"/>
                  <w:lang w:val="en-US" w:eastAsia="zh-CN"/>
                  <w14:textFill>
                    <w14:solidFill>
                      <w14:schemeClr w14:val="tx1"/>
                    </w14:solidFill>
                  </w14:textFill>
                </w:rPr>
                <w:t>介绍</w:t>
              </w:r>
            </w:ins>
            <w:ins w:id="76" w:author="Administrator" w:date="2025-10-03T23:12:31Z">
              <w:r>
                <w:rPr>
                  <w:rFonts w:hint="eastAsia"/>
                  <w:b/>
                  <w:color w:val="000000" w:themeColor="text1"/>
                  <w:sz w:val="24"/>
                  <w:lang w:val="en-US" w:eastAsia="zh-CN"/>
                  <w14:textFill>
                    <w14:solidFill>
                      <w14:schemeClr w14:val="tx1"/>
                    </w14:solidFill>
                  </w14:textFill>
                </w:rPr>
                <w:t>一下</w:t>
              </w:r>
            </w:ins>
            <w:ins w:id="77" w:author="Administrator" w:date="2025-10-03T23:13:25Z">
              <w:r>
                <w:rPr>
                  <w:rFonts w:hint="eastAsia"/>
                  <w:b/>
                  <w:color w:val="000000" w:themeColor="text1"/>
                  <w:sz w:val="24"/>
                  <w:lang w:val="en-US" w:eastAsia="zh-CN"/>
                  <w14:textFill>
                    <w14:solidFill>
                      <w14:schemeClr w14:val="tx1"/>
                    </w14:solidFill>
                  </w14:textFill>
                </w:rPr>
                <w:t>，</w:t>
              </w:r>
            </w:ins>
            <w:ins w:id="78" w:author="Administrator" w:date="2025-10-03T23:13:26Z">
              <w:r>
                <w:rPr>
                  <w:rFonts w:hint="eastAsia"/>
                  <w:b/>
                  <w:color w:val="000000" w:themeColor="text1"/>
                  <w:sz w:val="24"/>
                  <w:lang w:val="en-US" w:eastAsia="zh-CN"/>
                  <w14:textFill>
                    <w14:solidFill>
                      <w14:schemeClr w14:val="tx1"/>
                    </w14:solidFill>
                  </w14:textFill>
                </w:rPr>
                <w:t>位置，</w:t>
              </w:r>
            </w:ins>
            <w:ins w:id="79" w:author="Administrator" w:date="2025-10-03T23:13:27Z">
              <w:r>
                <w:rPr>
                  <w:rFonts w:hint="eastAsia"/>
                  <w:b/>
                  <w:color w:val="000000" w:themeColor="text1"/>
                  <w:sz w:val="24"/>
                  <w:lang w:val="en-US" w:eastAsia="zh-CN"/>
                  <w14:textFill>
                    <w14:solidFill>
                      <w14:schemeClr w14:val="tx1"/>
                    </w14:solidFill>
                  </w14:textFill>
                </w:rPr>
                <w:t>数量，</w:t>
              </w:r>
            </w:ins>
            <w:ins w:id="80" w:author="Administrator" w:date="2025-10-03T23:13:29Z">
              <w:r>
                <w:rPr>
                  <w:rFonts w:hint="eastAsia"/>
                  <w:b/>
                  <w:color w:val="000000" w:themeColor="text1"/>
                  <w:sz w:val="24"/>
                  <w:lang w:val="en-US" w:eastAsia="zh-CN"/>
                  <w14:textFill>
                    <w14:solidFill>
                      <w14:schemeClr w14:val="tx1"/>
                    </w14:solidFill>
                  </w14:textFill>
                </w:rPr>
                <w:t>规模，</w:t>
              </w:r>
            </w:ins>
            <w:ins w:id="81" w:author="Administrator" w:date="2025-10-03T23:13:31Z">
              <w:r>
                <w:rPr>
                  <w:rFonts w:hint="eastAsia"/>
                  <w:b/>
                  <w:color w:val="000000" w:themeColor="text1"/>
                  <w:sz w:val="24"/>
                  <w:lang w:val="en-US" w:eastAsia="zh-CN"/>
                  <w14:textFill>
                    <w14:solidFill>
                      <w14:schemeClr w14:val="tx1"/>
                    </w14:solidFill>
                  </w14:textFill>
                </w:rPr>
                <w:t>工艺</w:t>
              </w:r>
            </w:ins>
            <w:ins w:id="82" w:author="Administrator" w:date="2025-10-03T23:13:33Z">
              <w:r>
                <w:rPr>
                  <w:rFonts w:hint="eastAsia"/>
                  <w:b/>
                  <w:color w:val="000000" w:themeColor="text1"/>
                  <w:sz w:val="24"/>
                  <w:lang w:val="en-US" w:eastAsia="zh-CN"/>
                  <w14:textFill>
                    <w14:solidFill>
                      <w14:schemeClr w14:val="tx1"/>
                    </w14:solidFill>
                  </w14:textFill>
                </w:rPr>
                <w:t>等</w:t>
              </w:r>
            </w:ins>
          </w:p>
          <w:p w14:paraId="5325944B">
            <w:pPr>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lang w:val="en-US" w:eastAsia="zh-CN"/>
                <w14:textFill>
                  <w14:solidFill>
                    <w14:schemeClr w14:val="tx1"/>
                  </w14:solidFill>
                </w14:textFill>
              </w:rPr>
              <w:t>8</w:t>
            </w:r>
            <w:r>
              <w:rPr>
                <w:b/>
                <w:color w:val="000000" w:themeColor="text1"/>
                <w:sz w:val="24"/>
                <w14:textFill>
                  <w14:solidFill>
                    <w14:schemeClr w14:val="tx1"/>
                  </w14:solidFill>
                </w14:textFill>
              </w:rPr>
              <w:t>、厂区平面布置</w:t>
            </w:r>
          </w:p>
          <w:p w14:paraId="61E61B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color w:val="000000" w:themeColor="text1"/>
                <w:sz w:val="24"/>
                <w14:textFill>
                  <w14:solidFill>
                    <w14:schemeClr w14:val="tx1"/>
                  </w14:solidFill>
                </w14:textFill>
              </w:rPr>
              <w:t>本项目位于</w:t>
            </w:r>
            <w:r>
              <w:rPr>
                <w:rFonts w:hint="eastAsia"/>
                <w:color w:val="000000" w:themeColor="text1"/>
                <w:sz w:val="24"/>
                <w:lang w:val="en-US" w:eastAsia="zh-CN"/>
                <w14:textFill>
                  <w14:solidFill>
                    <w14:schemeClr w14:val="tx1"/>
                  </w14:solidFill>
                </w14:textFill>
              </w:rPr>
              <w:t>南阳市镇平县乡村振兴创业园4号楼1楼南</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北</w:t>
            </w:r>
            <w:r>
              <w:rPr>
                <w:color w:val="000000" w:themeColor="text1"/>
                <w:sz w:val="24"/>
                <w14:textFill>
                  <w14:solidFill>
                    <w14:schemeClr w14:val="tx1"/>
                  </w14:solidFill>
                </w14:textFill>
              </w:rPr>
              <w:t>临</w:t>
            </w:r>
            <w:r>
              <w:rPr>
                <w:rFonts w:hint="eastAsia"/>
                <w:color w:val="000000" w:themeColor="text1"/>
                <w:sz w:val="24"/>
                <w:lang w:val="en-US" w:eastAsia="zh-CN"/>
                <w14:textFill>
                  <w14:solidFill>
                    <w14:schemeClr w14:val="tx1"/>
                  </w14:solidFill>
                </w14:textFill>
              </w:rPr>
              <w:t>杏山大道</w:t>
            </w:r>
            <w:r>
              <w:rPr>
                <w:color w:val="000000" w:themeColor="text1"/>
                <w:sz w:val="24"/>
                <w14:textFill>
                  <w14:solidFill>
                    <w14:schemeClr w14:val="tx1"/>
                  </w14:solidFill>
                </w14:textFill>
              </w:rPr>
              <w:t>，交通便利</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项目</w:t>
            </w:r>
            <w:r>
              <w:rPr>
                <w:rFonts w:hint="eastAsia"/>
                <w:color w:val="000000" w:themeColor="text1"/>
                <w:sz w:val="24"/>
                <w:lang w:val="en-US" w:eastAsia="zh-CN"/>
                <w14:textFill>
                  <w14:solidFill>
                    <w14:schemeClr w14:val="tx1"/>
                  </w14:solidFill>
                </w14:textFill>
              </w:rPr>
              <w:t>占地面积3672.2</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strike w:val="0"/>
                <w:dstrike w:val="0"/>
                <w:color w:val="000000" w:themeColor="text1"/>
                <w:sz w:val="24"/>
                <w:szCs w:val="24"/>
                <w:highlight w:val="none"/>
                <w:u w:val="none" w:color="auto"/>
                <w:vertAlign w:val="superscript"/>
                <w:lang w:eastAsia="zh-CN"/>
                <w14:textFill>
                  <w14:solidFill>
                    <w14:schemeClr w14:val="tx1"/>
                  </w14:solidFill>
                </w14:textFill>
              </w:rPr>
              <w:t>2</w:t>
            </w:r>
            <w:r>
              <w:rPr>
                <w:color w:val="000000" w:themeColor="text1"/>
                <w:sz w:val="24"/>
                <w14:textFill>
                  <w14:solidFill>
                    <w14:schemeClr w14:val="tx1"/>
                  </w14:solidFill>
                </w14:textFill>
              </w:rPr>
              <w:t>，租赁标准化</w:t>
            </w:r>
            <w:r>
              <w:rPr>
                <w:rFonts w:hint="eastAsia"/>
                <w:sz w:val="24"/>
                <w:szCs w:val="24"/>
                <w:vertAlign w:val="baseline"/>
              </w:rPr>
              <w:t>生产车间</w:t>
            </w:r>
            <w:r>
              <w:rPr>
                <w:rFonts w:hint="eastAsia"/>
                <w:color w:val="000000" w:themeColor="text1"/>
                <w:sz w:val="24"/>
                <w:lang w:val="en-US" w:eastAsia="zh-CN"/>
                <w14:textFill>
                  <w14:solidFill>
                    <w14:schemeClr w14:val="tx1"/>
                  </w14:solidFill>
                </w14:textFill>
              </w:rPr>
              <w:t>共计</w:t>
            </w:r>
            <w:r>
              <w:rPr>
                <w:color w:val="000000" w:themeColor="text1"/>
                <w:sz w:val="24"/>
                <w14:textFill>
                  <w14:solidFill>
                    <w14:schemeClr w14:val="tx1"/>
                  </w14:solidFill>
                </w14:textFill>
              </w:rPr>
              <w:t>建筑面积</w:t>
            </w:r>
            <w:r>
              <w:rPr>
                <w:rFonts w:hint="eastAsia"/>
                <w:color w:val="000000" w:themeColor="text1"/>
                <w:sz w:val="24"/>
                <w:lang w:val="en-US" w:eastAsia="zh-CN"/>
                <w14:textFill>
                  <w14:solidFill>
                    <w14:schemeClr w14:val="tx1"/>
                  </w14:solidFill>
                </w14:textFill>
              </w:rPr>
              <w:t>3672.2</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strike w:val="0"/>
                <w:dstrike w:val="0"/>
                <w:color w:val="000000" w:themeColor="text1"/>
                <w:sz w:val="24"/>
                <w:szCs w:val="24"/>
                <w:highlight w:val="none"/>
                <w:u w:val="none" w:color="auto"/>
                <w:vertAlign w:val="superscript"/>
                <w:lang w:eastAsia="zh-CN"/>
                <w14:textFill>
                  <w14:solidFill>
                    <w14:schemeClr w14:val="tx1"/>
                  </w14:solidFill>
                </w14:textFill>
              </w:rPr>
              <w:t>2</w:t>
            </w:r>
            <w:r>
              <w:rPr>
                <w:color w:val="000000" w:themeColor="text1"/>
                <w:sz w:val="24"/>
                <w14:textFill>
                  <w14:solidFill>
                    <w14:schemeClr w14:val="tx1"/>
                  </w14:solidFill>
                </w14:textFill>
              </w:rPr>
              <w:t>，生产车间主要布设的有</w:t>
            </w:r>
            <w:r>
              <w:rPr>
                <w:rFonts w:hint="eastAsia"/>
                <w:color w:val="000000" w:themeColor="text1"/>
                <w:sz w:val="24"/>
                <w:lang w:val="en-US" w:eastAsia="zh-CN"/>
                <w14:textFill>
                  <w14:solidFill>
                    <w14:schemeClr w14:val="tx1"/>
                  </w14:solidFill>
                </w14:textFill>
              </w:rPr>
              <w:t>净菜粗加工间、净菜精加工间、解冻间、净肉加工间、净菜二级库、净肉二级库、主食副食库、和面间、面食加工间、热调熟化间、分餐间、发货缓冲间、餐具清洗间、消毒库等</w:t>
            </w:r>
            <w:r>
              <w:rPr>
                <w:color w:val="000000" w:themeColor="text1"/>
                <w:sz w:val="24"/>
                <w14:textFill>
                  <w14:solidFill>
                    <w14:schemeClr w14:val="tx1"/>
                  </w14:solidFill>
                </w14:textFill>
              </w:rPr>
              <w:t>，车间内布局紧凑，各工序互相衔接，方便生产；总之，项目平面布局简单，功能分区明确，从环保角度分析，本项目平面布置是合理的。项目具体平面布置见附图2。</w:t>
            </w:r>
          </w:p>
        </w:tc>
      </w:tr>
      <w:tr w14:paraId="6DCD4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9" w:type="pct"/>
            <w:vAlign w:val="center"/>
          </w:tcPr>
          <w:p w14:paraId="071C2373">
            <w:pPr>
              <w:numPr>
                <w:ilvl w:val="0"/>
                <w:numId w:val="0"/>
              </w:numPr>
              <w:jc w:val="both"/>
              <w:rPr>
                <w:sz w:val="24"/>
                <w:szCs w:val="24"/>
                <w:vertAlign w:val="baseline"/>
              </w:rPr>
            </w:pPr>
            <w:r>
              <w:rPr>
                <w:sz w:val="24"/>
                <w:szCs w:val="24"/>
                <w:vertAlign w:val="baseline"/>
              </w:rPr>
              <w:t>工艺流程和产排污环节</w:t>
            </w:r>
          </w:p>
        </w:tc>
        <w:tc>
          <w:tcPr>
            <w:tcW w:w="4770" w:type="pct"/>
            <w:vAlign w:val="top"/>
          </w:tcPr>
          <w:p w14:paraId="374E5214">
            <w:pPr>
              <w:spacing w:line="360" w:lineRule="auto"/>
              <w:ind w:firstLine="482" w:firstLineChars="200"/>
              <w:rPr>
                <w:b/>
                <w:color w:val="000000"/>
                <w:sz w:val="24"/>
              </w:rPr>
            </w:pPr>
            <w:r>
              <w:rPr>
                <w:b/>
                <w:color w:val="000000"/>
                <w:sz w:val="24"/>
              </w:rPr>
              <w:t>1、生产工艺流程</w:t>
            </w:r>
          </w:p>
          <w:tbl>
            <w:tblPr>
              <w:tblStyle w:val="21"/>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84"/>
            </w:tblGrid>
            <w:tr w14:paraId="17FB2D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82" w:type="dxa"/>
                  <w:vAlign w:val="center"/>
                </w:tcPr>
                <w:p w14:paraId="20E15CF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sz w:val="24"/>
                      <w:szCs w:val="24"/>
                      <w:vertAlign w:val="baseline"/>
                      <w:lang w:val="en-US" w:eastAsia="zh-CN"/>
                    </w:rPr>
                  </w:pPr>
                  <w:r>
                    <w:drawing>
                      <wp:inline distT="0" distB="0" distL="114300" distR="114300">
                        <wp:extent cx="5815330" cy="3204845"/>
                        <wp:effectExtent l="0" t="0" r="13970" b="14605"/>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14"/>
                                <a:stretch>
                                  <a:fillRect/>
                                </a:stretch>
                              </pic:blipFill>
                              <pic:spPr>
                                <a:xfrm>
                                  <a:off x="0" y="0"/>
                                  <a:ext cx="5815330" cy="3204845"/>
                                </a:xfrm>
                                <a:prstGeom prst="rect">
                                  <a:avLst/>
                                </a:prstGeom>
                                <a:noFill/>
                                <a:ln>
                                  <a:noFill/>
                                </a:ln>
                              </pic:spPr>
                            </pic:pic>
                          </a:graphicData>
                        </a:graphic>
                      </wp:inline>
                    </w:drawing>
                  </w:r>
                </w:p>
              </w:tc>
            </w:tr>
            <w:tr w14:paraId="60C7D9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282" w:type="dxa"/>
                  <w:vAlign w:val="center"/>
                </w:tcPr>
                <w:p w14:paraId="4A72CF9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sz w:val="24"/>
                      <w:szCs w:val="24"/>
                      <w:vertAlign w:val="baseline"/>
                      <w:lang w:val="en-US" w:eastAsia="zh-CN"/>
                    </w:rPr>
                  </w:pPr>
                  <w:r>
                    <w:rPr>
                      <w:rFonts w:hint="eastAsia"/>
                      <w:b/>
                      <w:bCs/>
                      <w:sz w:val="24"/>
                      <w:szCs w:val="24"/>
                      <w:vertAlign w:val="baseline"/>
                      <w:lang w:val="en-US" w:eastAsia="zh-CN"/>
                    </w:rPr>
                    <w:t>图2-2  热链餐食</w:t>
                  </w:r>
                  <w:r>
                    <w:rPr>
                      <w:rFonts w:hint="eastAsia"/>
                      <w:b/>
                      <w:bCs/>
                      <w:color w:val="000000"/>
                      <w:sz w:val="24"/>
                    </w:rPr>
                    <w:t>生产</w:t>
                  </w:r>
                  <w:r>
                    <w:rPr>
                      <w:b/>
                      <w:bCs/>
                      <w:color w:val="000000"/>
                      <w:sz w:val="24"/>
                    </w:rPr>
                    <w:t>工艺流程及产污环节示意图</w:t>
                  </w:r>
                </w:p>
              </w:tc>
            </w:tr>
          </w:tbl>
          <w:p w14:paraId="25EA333A">
            <w:pPr>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496B60C3">
            <w:p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（1）</w:t>
            </w:r>
            <w:r>
              <w:rPr>
                <w:rFonts w:hint="eastAsia"/>
                <w:sz w:val="24"/>
                <w:szCs w:val="24"/>
                <w:lang w:val="en-US" w:eastAsia="zh-CN"/>
              </w:rPr>
              <w:t>肉类</w:t>
            </w:r>
            <w:r>
              <w:rPr>
                <w:rFonts w:hint="default"/>
                <w:sz w:val="24"/>
                <w:szCs w:val="24"/>
                <w:lang w:val="en-US" w:eastAsia="zh-CN"/>
              </w:rPr>
              <w:t>：</w:t>
            </w:r>
          </w:p>
          <w:p w14:paraId="33E65446">
            <w:p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①解冻或不解冻</w:t>
            </w:r>
            <w:r>
              <w:rPr>
                <w:rFonts w:hint="eastAsia"/>
                <w:sz w:val="24"/>
                <w:szCs w:val="24"/>
                <w:lang w:val="en-US" w:eastAsia="zh-CN"/>
              </w:rPr>
              <w:t>：</w:t>
            </w:r>
            <w:commentRangeStart w:id="61"/>
            <w:r>
              <w:rPr>
                <w:rFonts w:hint="default"/>
                <w:sz w:val="24"/>
                <w:szCs w:val="24"/>
                <w:lang w:val="en-US" w:eastAsia="zh-CN"/>
              </w:rPr>
              <w:t>鲜肉可直接处理，冷冻肉需要先进行解冻，该</w:t>
            </w:r>
            <w:commentRangeEnd w:id="61"/>
            <w:r>
              <w:commentReference w:id="61"/>
            </w:r>
            <w:r>
              <w:rPr>
                <w:rFonts w:hint="default"/>
                <w:sz w:val="24"/>
                <w:szCs w:val="24"/>
                <w:lang w:val="en-US" w:eastAsia="zh-CN"/>
              </w:rPr>
              <w:t>过程会产生解冻废水。</w:t>
            </w:r>
          </w:p>
          <w:p w14:paraId="334D9CCF">
            <w:p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②清洗</w:t>
            </w:r>
            <w:r>
              <w:rPr>
                <w:rFonts w:hint="eastAsia"/>
                <w:sz w:val="24"/>
                <w:szCs w:val="24"/>
                <w:lang w:val="en-US" w:eastAsia="zh-CN"/>
              </w:rPr>
              <w:t>：</w:t>
            </w:r>
            <w:r>
              <w:rPr>
                <w:rFonts w:hint="default"/>
                <w:sz w:val="24"/>
                <w:szCs w:val="24"/>
                <w:lang w:val="en-US" w:eastAsia="zh-CN"/>
              </w:rPr>
              <w:t>将肉放入水池中人工清洗，该过程会产生肉末残渣和清洗废水。</w:t>
            </w:r>
          </w:p>
          <w:p w14:paraId="2907385E">
            <w:p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③切分</w:t>
            </w:r>
            <w:r>
              <w:rPr>
                <w:rFonts w:hint="eastAsia"/>
                <w:sz w:val="24"/>
                <w:szCs w:val="24"/>
                <w:lang w:val="en-US" w:eastAsia="zh-CN"/>
              </w:rPr>
              <w:t>：部分冷冻肉不进行解冻，直接使用冻肉切块机切分；鲜肉/解冻肉需要先使用鲜肉开条机对鲜肉进行开条；再根据所需制作的餐食对肉类进行不同的处理（包括</w:t>
            </w:r>
            <w:commentRangeStart w:id="62"/>
            <w:r>
              <w:rPr>
                <w:rFonts w:hint="eastAsia"/>
                <w:sz w:val="24"/>
                <w:szCs w:val="24"/>
                <w:lang w:val="en-US" w:eastAsia="zh-CN"/>
              </w:rPr>
              <w:t>嫩肉、</w:t>
            </w:r>
            <w:commentRangeEnd w:id="62"/>
            <w:r>
              <w:commentReference w:id="62"/>
            </w:r>
            <w:r>
              <w:rPr>
                <w:rFonts w:hint="eastAsia"/>
                <w:sz w:val="24"/>
                <w:szCs w:val="24"/>
                <w:lang w:val="en-US" w:eastAsia="zh-CN"/>
              </w:rPr>
              <w:t>切丝、切片、切丁以及绞肉等操作），切分后的肉类放入净肉二级库（冷冻库）内，保持低温低氧环境。该过程会产生设备噪声。</w:t>
            </w:r>
          </w:p>
          <w:p w14:paraId="654FA0D1">
            <w:p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（2）叶类菜</w:t>
            </w:r>
          </w:p>
          <w:p w14:paraId="7727FDF1">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①清洗：清洗干净是延长蔬菜保存时间的重要处理过程。蔬菜上细菌数量越少，净菜的保存时间就越长。清洗干净不仅可以减少病原菌数，还可以洗去附着在净菜表面的细胞液，减少变色。此段工序使用清洗机清洗，该过程会产生清洗废水和设备噪声。</w:t>
            </w:r>
          </w:p>
          <w:p w14:paraId="2FDC287F">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②挑拣：清洗完成后的叶类菜先由人工进行分级挑选，按规格要求把产品分成不同等级，把一些杂物、黄叶等剔除，该过程会产生叶类菜残渣。</w:t>
            </w:r>
          </w:p>
          <w:p w14:paraId="460C8381">
            <w:p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③切分：清洗好的叶类菜先使用叶类菜切菜机进行切分，切分后净菜的褐变主要是酶褐变，防止酶褐变主要从控制酶和氧两方面入手，主要措施为放入净菜二级库（保鲜库）内，保持低温低氧环境。该过程会产生叶类菜残渣和设备噪声。</w:t>
            </w:r>
          </w:p>
          <w:p w14:paraId="7A229B68">
            <w:p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（3）球茎菜</w:t>
            </w:r>
          </w:p>
          <w:p w14:paraId="5CA7F1F3">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①清洗：清洗干净是延长蔬菜保存时间的重要处理过程。蔬菜上细菌数量越少，净菜的保存时间就越长。清洗干净不仅可以减少病原菌数，还可以洗去附着在净菜表面的细胞液，减少变色。此段工序使用清洗机清洗，该过程会产生清洗废水和设备噪声。</w:t>
            </w:r>
          </w:p>
          <w:p w14:paraId="76231531">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②去皮：清洗完成后的球茎菜先用毛刷去皮机进行去皮，该过程会产生球茎菜残渣。</w:t>
            </w:r>
          </w:p>
          <w:p w14:paraId="4A2A6635">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③切分：去皮后的球茎菜经提升机输送至分拣工位分拣后进入球茎菜切菜机进行切分，该过程会产生球茎菜残渣和设备噪声。</w:t>
            </w:r>
          </w:p>
          <w:p w14:paraId="174798CB">
            <w:pPr>
              <w:adjustRightInd w:val="0"/>
              <w:snapToGrid w:val="0"/>
              <w:spacing w:line="360" w:lineRule="auto"/>
              <w:ind w:firstLine="480" w:firstLineChars="200"/>
              <w:rPr>
                <w:rFonts w:hint="default"/>
                <w:sz w:val="24"/>
                <w:szCs w:val="24"/>
                <w:lang w:val="en-US" w:eastAsia="zh-CN"/>
              </w:rPr>
            </w:pPr>
            <w:r>
              <w:rPr>
                <w:rFonts w:hint="eastAsia" w:ascii="宋体" w:hAnsi="宋体" w:eastAsia="宋体" w:cs="宋体"/>
                <w:sz w:val="24"/>
                <w:szCs w:val="24"/>
                <w:lang w:val="en-US" w:eastAsia="zh-CN"/>
              </w:rPr>
              <w:t>④</w:t>
            </w:r>
            <w:r>
              <w:rPr>
                <w:rFonts w:hint="eastAsia"/>
                <w:sz w:val="24"/>
                <w:szCs w:val="24"/>
                <w:lang w:val="en-US" w:eastAsia="zh-CN"/>
              </w:rPr>
              <w:t>清洗：切分后的球茎菜经提升机输送至涡流震动清洗机清洗，清洗后的净菜的褐变主要是酶褐变，防止酶褐变主要从控制酶和氧两方面入手，主要措施为放入净菜二级库（保鲜库）内，保持低温低氧环境。该过程会产生球茎菜残渣和设备噪声。</w:t>
            </w:r>
          </w:p>
          <w:p w14:paraId="4581E244">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（4）馒头</w:t>
            </w:r>
          </w:p>
          <w:p w14:paraId="49A6A3CD">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①和面：将外购面粉、酵母等按照一定比例在配料间调配后放入和面机中混合，和面机人工上料，先放纯水后放面粉，</w:t>
            </w:r>
            <w:r>
              <w:rPr>
                <w:rFonts w:hint="eastAsia"/>
                <w:sz w:val="24"/>
                <w:szCs w:val="24"/>
                <w:highlight w:val="none"/>
                <w:lang w:val="en-US" w:eastAsia="zh-CN"/>
              </w:rPr>
              <w:t>和面机密闭</w:t>
            </w:r>
            <w:r>
              <w:rPr>
                <w:rFonts w:hint="eastAsia"/>
                <w:sz w:val="24"/>
                <w:szCs w:val="24"/>
                <w:lang w:val="en-US" w:eastAsia="zh-CN"/>
              </w:rPr>
              <w:t>，</w:t>
            </w:r>
            <w:commentRangeStart w:id="63"/>
            <w:r>
              <w:rPr>
                <w:rFonts w:hint="eastAsia"/>
                <w:sz w:val="24"/>
                <w:szCs w:val="24"/>
                <w:lang w:val="en-US" w:eastAsia="zh-CN"/>
              </w:rPr>
              <w:t>一次和面量为一袋面粉，投料速度缓慢，该过程会产生投料粉尘和设备噪声。</w:t>
            </w:r>
            <w:commentRangeEnd w:id="63"/>
            <w:r>
              <w:commentReference w:id="63"/>
            </w:r>
          </w:p>
          <w:p w14:paraId="38A0378F">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②成型：面团在醒发库静置醒发后进入馒头自动化流水线进行成型，该过程会产生设备噪声。</w:t>
            </w:r>
          </w:p>
          <w:p w14:paraId="42ADD89A">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③醒发：为了使馒头更加松软、口感更佳，成型后需要放入醒发库再次静置醒发。</w:t>
            </w:r>
          </w:p>
          <w:p w14:paraId="172B0572">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（5）米饭</w:t>
            </w:r>
          </w:p>
          <w:p w14:paraId="41829388">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①洗米：大米需经人工清洗，该过程会产生清洗废水。</w:t>
            </w:r>
          </w:p>
          <w:p w14:paraId="75F1FE68">
            <w:p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（6）熟化</w:t>
            </w:r>
          </w:p>
          <w:p w14:paraId="51AE0C69">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清洗切分后的蔬菜、肉类需要进入熟化部分，将蔬菜、肉类倒入电炒锅、燃气炒锅以及燃气汤锅内进行熟化，其中燃气炒锅和燃气汤锅采用天然气加热，电炒锅采用电加热；该工序会产生设备运行噪声、油烟</w:t>
            </w:r>
            <w:commentRangeStart w:id="64"/>
            <w:r>
              <w:rPr>
                <w:rFonts w:hint="eastAsia"/>
                <w:sz w:val="24"/>
                <w:szCs w:val="24"/>
                <w:lang w:val="en-US" w:eastAsia="zh-CN"/>
              </w:rPr>
              <w:t>和恶臭，</w:t>
            </w:r>
            <w:commentRangeEnd w:id="64"/>
            <w:r>
              <w:commentReference w:id="64"/>
            </w:r>
            <w:r>
              <w:rPr>
                <w:rFonts w:hint="eastAsia"/>
                <w:sz w:val="24"/>
                <w:szCs w:val="24"/>
                <w:lang w:val="en-US" w:eastAsia="zh-CN"/>
              </w:rPr>
              <w:t>使用天然气过程中会产生颗粒物、SO</w:t>
            </w:r>
            <w:r>
              <w:rPr>
                <w:rFonts w:hint="eastAsia"/>
                <w:sz w:val="24"/>
                <w:szCs w:val="24"/>
                <w:vertAlign w:val="subscript"/>
                <w:lang w:val="en-US" w:eastAsia="zh-CN"/>
              </w:rPr>
              <w:t>2</w:t>
            </w:r>
            <w:r>
              <w:rPr>
                <w:rFonts w:hint="eastAsia"/>
                <w:sz w:val="24"/>
                <w:szCs w:val="24"/>
                <w:lang w:val="en-US" w:eastAsia="zh-CN"/>
              </w:rPr>
              <w:t>、NO</w:t>
            </w:r>
            <w:r>
              <w:rPr>
                <w:rFonts w:hint="eastAsia"/>
                <w:sz w:val="24"/>
                <w:szCs w:val="24"/>
                <w:vertAlign w:val="subscript"/>
                <w:lang w:val="en-US" w:eastAsia="zh-CN"/>
              </w:rPr>
              <w:t>x</w:t>
            </w:r>
            <w:r>
              <w:rPr>
                <w:rFonts w:hint="eastAsia"/>
                <w:sz w:val="24"/>
                <w:szCs w:val="24"/>
                <w:lang w:val="en-US" w:eastAsia="zh-CN"/>
              </w:rPr>
              <w:t>。</w:t>
            </w:r>
          </w:p>
          <w:p w14:paraId="1106E26F">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（7）蒸制</w:t>
            </w:r>
          </w:p>
          <w:p w14:paraId="09D61F76">
            <w:p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将醒发后馒头、清洗后的大米（大米蒸制时需要添加水，添加水的比例为大米：水=1:1）以及外购的面条送入蒸箱中进行蒸制，蒸箱用蒸汽由蒸汽发生器提供，蒸汽发生器采用采用天然气做能源。</w:t>
            </w:r>
            <w:r>
              <w:rPr>
                <w:rFonts w:hint="default"/>
                <w:sz w:val="24"/>
                <w:szCs w:val="24"/>
                <w:lang w:val="en-US" w:eastAsia="zh-CN"/>
              </w:rPr>
              <w:t>自来水先通过</w:t>
            </w:r>
            <w:r>
              <w:rPr>
                <w:rFonts w:hint="eastAsia"/>
                <w:sz w:val="24"/>
                <w:szCs w:val="24"/>
                <w:lang w:val="en-US" w:eastAsia="zh-CN"/>
              </w:rPr>
              <w:t>纯水</w:t>
            </w:r>
            <w:r>
              <w:rPr>
                <w:rFonts w:hint="default"/>
                <w:sz w:val="24"/>
                <w:szCs w:val="24"/>
                <w:lang w:val="en-US" w:eastAsia="zh-CN"/>
              </w:rPr>
              <w:t>制备系统</w:t>
            </w:r>
            <w:r>
              <w:rPr>
                <w:rFonts w:hint="eastAsia"/>
                <w:sz w:val="24"/>
                <w:szCs w:val="24"/>
                <w:lang w:val="en-US" w:eastAsia="zh-CN"/>
              </w:rPr>
              <w:t>制得纯水</w:t>
            </w:r>
            <w:r>
              <w:rPr>
                <w:rFonts w:hint="default"/>
                <w:sz w:val="24"/>
                <w:szCs w:val="24"/>
                <w:lang w:val="en-US" w:eastAsia="zh-CN"/>
              </w:rPr>
              <w:t>，</w:t>
            </w:r>
            <w:r>
              <w:rPr>
                <w:rFonts w:hint="eastAsia"/>
                <w:sz w:val="24"/>
                <w:szCs w:val="24"/>
                <w:lang w:val="en-US" w:eastAsia="zh-CN"/>
              </w:rPr>
              <w:t>纯水</w:t>
            </w:r>
            <w:r>
              <w:rPr>
                <w:rFonts w:hint="default"/>
                <w:sz w:val="24"/>
                <w:szCs w:val="24"/>
                <w:lang w:val="en-US" w:eastAsia="zh-CN"/>
              </w:rPr>
              <w:t>用于</w:t>
            </w:r>
            <w:r>
              <w:rPr>
                <w:rFonts w:hint="eastAsia"/>
                <w:sz w:val="24"/>
                <w:szCs w:val="24"/>
                <w:lang w:val="en-US" w:eastAsia="zh-CN"/>
              </w:rPr>
              <w:t>蒸汽发生器</w:t>
            </w:r>
            <w:r>
              <w:rPr>
                <w:rFonts w:hint="default"/>
                <w:sz w:val="24"/>
                <w:szCs w:val="24"/>
                <w:lang w:val="en-US" w:eastAsia="zh-CN"/>
              </w:rPr>
              <w:t>生产蒸汽。蒸汽在使用过程中</w:t>
            </w:r>
            <w:r>
              <w:rPr>
                <w:rFonts w:hint="eastAsia"/>
                <w:sz w:val="24"/>
                <w:szCs w:val="24"/>
                <w:lang w:val="en-US" w:eastAsia="zh-CN"/>
              </w:rPr>
              <w:t>全部</w:t>
            </w:r>
            <w:r>
              <w:rPr>
                <w:rFonts w:hint="default"/>
                <w:sz w:val="24"/>
                <w:szCs w:val="24"/>
                <w:lang w:val="en-US" w:eastAsia="zh-CN"/>
              </w:rPr>
              <w:t>损耗。</w:t>
            </w:r>
          </w:p>
          <w:p w14:paraId="72DDDCDD">
            <w:pPr>
              <w:numPr>
                <w:ilvl w:val="0"/>
                <w:numId w:val="0"/>
              </w:num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（8）分餐</w:t>
            </w:r>
          </w:p>
          <w:p w14:paraId="1195ECA6">
            <w:pPr>
              <w:numPr>
                <w:ilvl w:val="0"/>
                <w:numId w:val="0"/>
              </w:num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烹饪完成的菜品</w:t>
            </w:r>
            <w:r>
              <w:rPr>
                <w:rFonts w:hint="eastAsia"/>
                <w:sz w:val="24"/>
                <w:szCs w:val="24"/>
                <w:lang w:val="en-US" w:eastAsia="zh-CN"/>
              </w:rPr>
              <w:t>和主食</w:t>
            </w:r>
            <w:r>
              <w:rPr>
                <w:rFonts w:hint="default"/>
                <w:sz w:val="24"/>
                <w:szCs w:val="24"/>
                <w:lang w:val="en-US" w:eastAsia="zh-CN"/>
              </w:rPr>
              <w:t>由工作人员送至分餐区</w:t>
            </w:r>
            <w:r>
              <w:rPr>
                <w:rFonts w:hint="eastAsia"/>
                <w:sz w:val="24"/>
                <w:szCs w:val="24"/>
                <w:lang w:val="en-US" w:eastAsia="zh-CN"/>
              </w:rPr>
              <w:t>采用餐桶配餐传输机、自动分饭机对</w:t>
            </w:r>
            <w:r>
              <w:rPr>
                <w:rFonts w:hint="default"/>
                <w:sz w:val="24"/>
                <w:szCs w:val="24"/>
                <w:lang w:val="en-US" w:eastAsia="zh-CN"/>
              </w:rPr>
              <w:t>烹饪完成的菜品</w:t>
            </w:r>
            <w:r>
              <w:rPr>
                <w:rFonts w:hint="eastAsia"/>
                <w:sz w:val="24"/>
                <w:szCs w:val="24"/>
                <w:lang w:val="en-US" w:eastAsia="zh-CN"/>
              </w:rPr>
              <w:t>和主食</w:t>
            </w:r>
            <w:r>
              <w:rPr>
                <w:rFonts w:hint="default"/>
                <w:sz w:val="24"/>
                <w:szCs w:val="24"/>
                <w:lang w:val="en-US" w:eastAsia="zh-CN"/>
              </w:rPr>
              <w:t>进行分装。</w:t>
            </w:r>
          </w:p>
          <w:p w14:paraId="6462B901">
            <w:pPr>
              <w:numPr>
                <w:ilvl w:val="0"/>
                <w:numId w:val="0"/>
              </w:num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（9）加热、配送</w:t>
            </w:r>
          </w:p>
          <w:p w14:paraId="1E25A3E0">
            <w:pPr>
              <w:numPr>
                <w:ilvl w:val="0"/>
                <w:numId w:val="0"/>
              </w:num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分餐完成后</w:t>
            </w:r>
            <w:r>
              <w:rPr>
                <w:rFonts w:hint="default"/>
                <w:sz w:val="24"/>
                <w:szCs w:val="24"/>
                <w:lang w:val="en-US" w:eastAsia="zh-CN"/>
              </w:rPr>
              <w:t>餐食出厂前使用微波</w:t>
            </w:r>
            <w:r>
              <w:rPr>
                <w:rFonts w:hint="eastAsia"/>
                <w:sz w:val="24"/>
                <w:szCs w:val="24"/>
                <w:lang w:val="en-US" w:eastAsia="zh-CN"/>
              </w:rPr>
              <w:t>加热隧道</w:t>
            </w:r>
            <w:r>
              <w:rPr>
                <w:rFonts w:hint="default"/>
                <w:sz w:val="24"/>
                <w:szCs w:val="24"/>
                <w:lang w:val="en-US" w:eastAsia="zh-CN"/>
              </w:rPr>
              <w:t>进行加热，加热后常温配</w:t>
            </w:r>
            <w:commentRangeStart w:id="65"/>
            <w:r>
              <w:rPr>
                <w:rFonts w:hint="default"/>
                <w:sz w:val="24"/>
                <w:szCs w:val="24"/>
                <w:lang w:val="en-US" w:eastAsia="zh-CN"/>
              </w:rPr>
              <w:t>送至客户单位。</w:t>
            </w:r>
            <w:commentRangeEnd w:id="65"/>
            <w:r>
              <w:commentReference w:id="65"/>
            </w:r>
          </w:p>
          <w:p w14:paraId="225F69DA">
            <w:pPr>
              <w:numPr>
                <w:ilvl w:val="0"/>
                <w:numId w:val="0"/>
              </w:num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（10）餐具回收</w:t>
            </w:r>
          </w:p>
          <w:p w14:paraId="40465F1B">
            <w:pPr>
              <w:numPr>
                <w:ilvl w:val="0"/>
                <w:numId w:val="0"/>
              </w:num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用餐完成后回收餐盒，回到厂区，剩余的快餐</w:t>
            </w:r>
            <w:ins w:id="83" w:author="Administrator" w:date="2025-10-03T23:15:23Z">
              <w:r>
                <w:rPr>
                  <w:rFonts w:hint="eastAsia"/>
                  <w:sz w:val="24"/>
                  <w:szCs w:val="24"/>
                  <w:lang w:val="en-US" w:eastAsia="zh-CN"/>
                </w:rPr>
                <w:t>？</w:t>
              </w:r>
            </w:ins>
            <w:ins w:id="84" w:author="Administrator" w:date="2025-10-03T23:15:24Z">
              <w:r>
                <w:rPr>
                  <w:rFonts w:hint="eastAsia"/>
                  <w:sz w:val="24"/>
                  <w:szCs w:val="24"/>
                  <w:lang w:val="en-US" w:eastAsia="zh-CN"/>
                </w:rPr>
                <w:t>？？</w:t>
              </w:r>
            </w:ins>
            <w:r>
              <w:rPr>
                <w:rFonts w:hint="default"/>
                <w:sz w:val="24"/>
                <w:szCs w:val="24"/>
                <w:lang w:val="en-US" w:eastAsia="zh-CN"/>
              </w:rPr>
              <w:t>为餐厨垃圾，餐盒回收后清洗再利用。</w:t>
            </w:r>
          </w:p>
          <w:p w14:paraId="2306998E">
            <w:pPr>
              <w:numPr>
                <w:ilvl w:val="0"/>
                <w:numId w:val="0"/>
              </w:num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（11）餐具/</w:t>
            </w:r>
            <w:r>
              <w:rPr>
                <w:rFonts w:hint="default"/>
                <w:sz w:val="24"/>
                <w:szCs w:val="24"/>
                <w:lang w:val="en-US" w:eastAsia="zh-CN"/>
              </w:rPr>
              <w:t>设备清洗</w:t>
            </w:r>
          </w:p>
          <w:p w14:paraId="6B9B2620">
            <w:pPr>
              <w:numPr>
                <w:ilvl w:val="0"/>
                <w:numId w:val="0"/>
              </w:num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送餐完成后对相关设备及餐具进行清洗，包括蒸</w:t>
            </w:r>
            <w:r>
              <w:rPr>
                <w:rFonts w:hint="eastAsia"/>
                <w:sz w:val="24"/>
                <w:szCs w:val="24"/>
                <w:lang w:val="en-US" w:eastAsia="zh-CN"/>
              </w:rPr>
              <w:t>箱</w:t>
            </w:r>
            <w:r>
              <w:rPr>
                <w:rFonts w:hint="default"/>
                <w:sz w:val="24"/>
                <w:szCs w:val="24"/>
                <w:lang w:val="en-US" w:eastAsia="zh-CN"/>
              </w:rPr>
              <w:t>、洗碗机、切菜机、切肉机、洗菜机、洗箱机、分餐线等。该过程会产生设备及餐具清洗废水。</w:t>
            </w:r>
          </w:p>
          <w:p w14:paraId="586A2A95">
            <w:pPr>
              <w:numPr>
                <w:ilvl w:val="0"/>
                <w:numId w:val="0"/>
              </w:numPr>
              <w:adjustRightInd w:val="0"/>
              <w:snapToGrid w:val="0"/>
              <w:spacing w:line="360" w:lineRule="auto"/>
              <w:ind w:firstLine="480" w:firstLineChars="200"/>
              <w:rPr>
                <w:rFonts w:hint="default"/>
                <w:sz w:val="24"/>
                <w:szCs w:val="24"/>
                <w:lang w:val="en-US" w:eastAsia="zh-CN"/>
              </w:rPr>
            </w:pPr>
            <w:r>
              <w:rPr>
                <w:rFonts w:hint="eastAsia"/>
                <w:sz w:val="24"/>
                <w:szCs w:val="24"/>
                <w:lang w:val="en-US" w:eastAsia="zh-CN"/>
              </w:rPr>
              <w:t>（12）</w:t>
            </w:r>
            <w:r>
              <w:rPr>
                <w:rFonts w:hint="default"/>
                <w:sz w:val="24"/>
                <w:szCs w:val="24"/>
                <w:lang w:val="en-US" w:eastAsia="zh-CN"/>
              </w:rPr>
              <w:t>地面清洗</w:t>
            </w:r>
          </w:p>
          <w:p w14:paraId="70D8A261">
            <w:pPr>
              <w:numPr>
                <w:ilvl w:val="0"/>
                <w:numId w:val="0"/>
              </w:numPr>
              <w:adjustRightInd w:val="0"/>
              <w:snapToGrid w:val="0"/>
              <w:spacing w:line="360" w:lineRule="auto"/>
              <w:ind w:firstLine="480" w:firstLineChars="200"/>
              <w:rPr>
                <w:rFonts w:hint="default"/>
                <w:sz w:val="24"/>
                <w:szCs w:val="24"/>
                <w:lang w:val="en-US" w:eastAsia="zh-CN"/>
              </w:rPr>
            </w:pPr>
            <w:r>
              <w:rPr>
                <w:rFonts w:hint="default"/>
                <w:sz w:val="24"/>
                <w:szCs w:val="24"/>
                <w:lang w:val="en-US" w:eastAsia="zh-CN"/>
              </w:rPr>
              <w:t>员工对项目厂房进行清洁，该过程中会地面清洗废水。</w:t>
            </w:r>
          </w:p>
          <w:p w14:paraId="4855F48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000000" w:themeColor="text1"/>
                <w:sz w:val="24"/>
                <w:szCs w:val="24"/>
                <w:u w:val="none"/>
                <w14:textFill>
                  <w14:solidFill>
                    <w14:schemeClr w14:val="tx1"/>
                  </w14:solidFill>
                </w14:textFill>
              </w:rPr>
            </w:pPr>
            <w:r>
              <w:rPr>
                <w:rFonts w:hint="default" w:ascii="Times New Roman" w:hAnsi="Times New Roman" w:eastAsia="宋体" w:cs="Times New Roman"/>
                <w:b/>
                <w:color w:val="000000" w:themeColor="text1"/>
                <w:sz w:val="24"/>
                <w:szCs w:val="24"/>
                <w:u w:val="none"/>
                <w14:textFill>
                  <w14:solidFill>
                    <w14:schemeClr w14:val="tx1"/>
                  </w14:solidFill>
                </w14:textFill>
              </w:rPr>
              <w:t>2、主要产排污环节</w:t>
            </w:r>
          </w:p>
          <w:p w14:paraId="7F4C4C97">
            <w:pPr>
              <w:pStyle w:val="19"/>
              <w:spacing w:line="360" w:lineRule="auto"/>
              <w:ind w:firstLine="482"/>
              <w:jc w:val="center"/>
              <w:rPr>
                <w:rFonts w:hint="default" w:ascii="Times New Roman" w:hAnsi="Times New Roman" w:eastAsia="宋体" w:cs="Times New Roman"/>
                <w:b/>
                <w:color w:val="FF0000"/>
                <w:sz w:val="24"/>
                <w:szCs w:val="24"/>
                <w:u w:val="single"/>
              </w:rPr>
            </w:pPr>
            <w:r>
              <w:rPr>
                <w:rFonts w:hint="default" w:ascii="Times New Roman" w:hAnsi="Times New Roman" w:eastAsia="宋体" w:cs="Times New Roman"/>
                <w:b/>
                <w:color w:val="000000" w:themeColor="text1"/>
                <w:sz w:val="24"/>
                <w:szCs w:val="24"/>
                <w:u w:val="none"/>
                <w14:textFill>
                  <w14:solidFill>
                    <w14:schemeClr w14:val="tx1"/>
                  </w14:solidFill>
                </w14:textFill>
              </w:rPr>
              <w:t>表2-</w:t>
            </w:r>
            <w:r>
              <w:rPr>
                <w:rFonts w:hint="eastAsia" w:ascii="Times New Roman" w:hAnsi="Times New Roman" w:cs="Times New Roman"/>
                <w:b/>
                <w:color w:val="000000" w:themeColor="text1"/>
                <w:sz w:val="24"/>
                <w:szCs w:val="24"/>
                <w:u w:val="none"/>
                <w:lang w:val="en-US" w:eastAsia="zh-CN"/>
                <w14:textFill>
                  <w14:solidFill>
                    <w14:schemeClr w14:val="tx1"/>
                  </w14:solidFill>
                </w14:textFill>
              </w:rPr>
              <w:t xml:space="preserve">7  </w:t>
            </w:r>
            <w:r>
              <w:rPr>
                <w:rFonts w:hint="default" w:ascii="Times New Roman" w:hAnsi="Times New Roman" w:eastAsia="宋体" w:cs="Times New Roman"/>
                <w:b/>
                <w:color w:val="000000" w:themeColor="text1"/>
                <w:sz w:val="24"/>
                <w:szCs w:val="24"/>
                <w:u w:val="none"/>
                <w14:textFill>
                  <w14:solidFill>
                    <w14:schemeClr w14:val="tx1"/>
                  </w14:solidFill>
                </w14:textFill>
              </w:rPr>
              <w:t>项目主要产排污环节一览表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1"/>
              <w:gridCol w:w="1976"/>
              <w:gridCol w:w="3403"/>
              <w:gridCol w:w="2785"/>
            </w:tblGrid>
            <w:tr w14:paraId="20108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noWrap w:val="0"/>
                  <w:vAlign w:val="center"/>
                </w:tcPr>
                <w:p w14:paraId="2E7E09FA">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污染类别</w:t>
                  </w:r>
                </w:p>
              </w:tc>
              <w:tc>
                <w:tcPr>
                  <w:tcW w:w="1065" w:type="pct"/>
                  <w:noWrap w:val="0"/>
                  <w:vAlign w:val="center"/>
                </w:tcPr>
                <w:p w14:paraId="45A0C7F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污染源</w:t>
                  </w:r>
                </w:p>
              </w:tc>
              <w:tc>
                <w:tcPr>
                  <w:tcW w:w="1833" w:type="pct"/>
                  <w:noWrap w:val="0"/>
                  <w:vAlign w:val="center"/>
                </w:tcPr>
                <w:p w14:paraId="7EBDF624">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产污环节</w:t>
                  </w:r>
                </w:p>
              </w:tc>
              <w:tc>
                <w:tcPr>
                  <w:tcW w:w="1501" w:type="pct"/>
                  <w:noWrap w:val="0"/>
                  <w:vAlign w:val="center"/>
                </w:tcPr>
                <w:p w14:paraId="4CB72DC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主要污染因子</w:t>
                  </w:r>
                </w:p>
              </w:tc>
            </w:tr>
            <w:tr w14:paraId="5C74F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restart"/>
                  <w:noWrap w:val="0"/>
                  <w:vAlign w:val="center"/>
                </w:tcPr>
                <w:p w14:paraId="665A38A2">
                  <w:pPr>
                    <w:keepNext w:val="0"/>
                    <w:keepLines w:val="0"/>
                    <w:pageBreakBefore w:val="0"/>
                    <w:widowControl w:val="0"/>
                    <w:kinsoku/>
                    <w:wordWrap/>
                    <w:overflowPunct/>
                    <w:topLinePunct w:val="0"/>
                    <w:bidi w:val="0"/>
                    <w:jc w:val="center"/>
                    <w:textAlignment w:val="auto"/>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废</w:t>
                  </w: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气</w:t>
                  </w:r>
                </w:p>
              </w:tc>
              <w:tc>
                <w:tcPr>
                  <w:tcW w:w="1065" w:type="pct"/>
                  <w:noWrap w:val="0"/>
                  <w:vAlign w:val="center"/>
                </w:tcPr>
                <w:p w14:paraId="25D5DAEF">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和面</w:t>
                  </w:r>
                  <w:r>
                    <w:rPr>
                      <w:rFonts w:hint="eastAsia" w:cs="Times New Roman"/>
                      <w:color w:val="000000" w:themeColor="text1"/>
                      <w:sz w:val="21"/>
                      <w:szCs w:val="21"/>
                      <w:highlight w:val="none"/>
                      <w:u w:val="none"/>
                      <w:lang w:val="en-US" w:eastAsia="zh-CN"/>
                      <w14:textFill>
                        <w14:solidFill>
                          <w14:schemeClr w14:val="tx1"/>
                        </w14:solidFill>
                      </w14:textFill>
                    </w:rPr>
                    <w:t>工序</w:t>
                  </w:r>
                </w:p>
              </w:tc>
              <w:tc>
                <w:tcPr>
                  <w:tcW w:w="1833" w:type="pct"/>
                  <w:noWrap w:val="0"/>
                  <w:vAlign w:val="center"/>
                </w:tcPr>
                <w:p w14:paraId="1FEF249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和面废气</w:t>
                  </w:r>
                </w:p>
              </w:tc>
              <w:tc>
                <w:tcPr>
                  <w:tcW w:w="1501" w:type="pct"/>
                  <w:noWrap w:val="0"/>
                  <w:vAlign w:val="center"/>
                </w:tcPr>
                <w:p w14:paraId="2DEBA175">
                  <w:pPr>
                    <w:keepNext w:val="0"/>
                    <w:keepLines w:val="0"/>
                    <w:pageBreakBefore w:val="0"/>
                    <w:widowControl w:val="0"/>
                    <w:kinsoku/>
                    <w:wordWrap/>
                    <w:overflowPunct/>
                    <w:topLinePunct w:val="0"/>
                    <w:bidi w:val="0"/>
                    <w:snapToGrid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颗粒物</w:t>
                  </w:r>
                </w:p>
              </w:tc>
            </w:tr>
            <w:tr w14:paraId="3EBAC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B32702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p>
              </w:tc>
              <w:tc>
                <w:tcPr>
                  <w:tcW w:w="1065" w:type="pct"/>
                  <w:vMerge w:val="restart"/>
                  <w:noWrap w:val="0"/>
                  <w:vAlign w:val="center"/>
                </w:tcPr>
                <w:p w14:paraId="23849AB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cs="Times New Roman"/>
                      <w:color w:val="000000" w:themeColor="text1"/>
                      <w:sz w:val="21"/>
                      <w:szCs w:val="21"/>
                      <w:highlight w:val="none"/>
                      <w:u w:val="none"/>
                      <w:lang w:val="en-US" w:eastAsia="zh-CN"/>
                      <w14:textFill>
                        <w14:solidFill>
                          <w14:schemeClr w14:val="tx1"/>
                        </w14:solidFill>
                      </w14:textFill>
                    </w:rPr>
                    <w:t>熟化工序</w:t>
                  </w:r>
                </w:p>
              </w:tc>
              <w:tc>
                <w:tcPr>
                  <w:tcW w:w="1833" w:type="pct"/>
                  <w:noWrap w:val="0"/>
                  <w:vAlign w:val="center"/>
                </w:tcPr>
                <w:p w14:paraId="73D3D4E5">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熟化过程废气</w:t>
                  </w:r>
                </w:p>
              </w:tc>
              <w:tc>
                <w:tcPr>
                  <w:tcW w:w="1501" w:type="pct"/>
                  <w:noWrap w:val="0"/>
                  <w:vAlign w:val="center"/>
                </w:tcPr>
                <w:p w14:paraId="2780D6E3">
                  <w:pPr>
                    <w:keepNext w:val="0"/>
                    <w:keepLines w:val="0"/>
                    <w:pageBreakBefore w:val="0"/>
                    <w:widowControl w:val="0"/>
                    <w:kinsoku/>
                    <w:wordWrap/>
                    <w:overflowPunct/>
                    <w:topLinePunct w:val="0"/>
                    <w:bidi w:val="0"/>
                    <w:snapToGrid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油烟、非甲烷总烃</w:t>
                  </w:r>
                </w:p>
              </w:tc>
            </w:tr>
            <w:tr w14:paraId="7F099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326602C5">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p>
              </w:tc>
              <w:tc>
                <w:tcPr>
                  <w:tcW w:w="1065" w:type="pct"/>
                  <w:vMerge w:val="continue"/>
                  <w:noWrap w:val="0"/>
                  <w:vAlign w:val="center"/>
                </w:tcPr>
                <w:p w14:paraId="523B4716">
                  <w:pPr>
                    <w:keepNext w:val="0"/>
                    <w:keepLines w:val="0"/>
                    <w:pageBreakBefore w:val="0"/>
                    <w:widowControl w:val="0"/>
                    <w:kinsoku/>
                    <w:wordWrap/>
                    <w:overflowPunct/>
                    <w:topLinePunct w:val="0"/>
                    <w:bidi w:val="0"/>
                    <w:jc w:val="center"/>
                    <w:textAlignment w:val="auto"/>
                    <w:rPr>
                      <w:rFonts w:hint="eastAsia" w:cs="Times New Roman"/>
                      <w:color w:val="000000" w:themeColor="text1"/>
                      <w:sz w:val="21"/>
                      <w:szCs w:val="21"/>
                      <w:highlight w:val="none"/>
                      <w:u w:val="none"/>
                      <w:lang w:val="en-US" w:eastAsia="zh-CN"/>
                      <w14:textFill>
                        <w14:solidFill>
                          <w14:schemeClr w14:val="tx1"/>
                        </w14:solidFill>
                      </w14:textFill>
                    </w:rPr>
                  </w:pPr>
                </w:p>
              </w:tc>
              <w:tc>
                <w:tcPr>
                  <w:tcW w:w="1833" w:type="pct"/>
                  <w:noWrap w:val="0"/>
                  <w:vAlign w:val="center"/>
                </w:tcPr>
                <w:p w14:paraId="1FFC47ED">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天然气燃烧废气</w:t>
                  </w:r>
                </w:p>
              </w:tc>
              <w:tc>
                <w:tcPr>
                  <w:tcW w:w="1501" w:type="pct"/>
                  <w:noWrap w:val="0"/>
                  <w:vAlign w:val="center"/>
                </w:tcPr>
                <w:p w14:paraId="1515DF38">
                  <w:pPr>
                    <w:keepNext w:val="0"/>
                    <w:keepLines w:val="0"/>
                    <w:pageBreakBefore w:val="0"/>
                    <w:widowControl w:val="0"/>
                    <w:kinsoku/>
                    <w:wordWrap/>
                    <w:overflowPunct/>
                    <w:topLinePunct w:val="0"/>
                    <w:bidi w:val="0"/>
                    <w:snapToGrid w:val="0"/>
                    <w:jc w:val="center"/>
                    <w:textAlignment w:val="auto"/>
                    <w:rPr>
                      <w:rFonts w:hint="eastAsia"/>
                      <w:color w:val="000000" w:themeColor="text1"/>
                      <w:highlight w:val="none"/>
                      <w:u w:val="none"/>
                      <w14:textFill>
                        <w14:solidFill>
                          <w14:schemeClr w14:val="tx1"/>
                        </w14:solidFill>
                      </w14:textFill>
                    </w:rPr>
                  </w:pPr>
                  <w:r>
                    <w:rPr>
                      <w:rFonts w:hint="eastAsia"/>
                      <w:color w:val="000000" w:themeColor="text1"/>
                      <w:highlight w:val="none"/>
                      <w:u w:val="none"/>
                      <w14:textFill>
                        <w14:solidFill>
                          <w14:schemeClr w14:val="tx1"/>
                        </w14:solidFill>
                      </w14:textFill>
                    </w:rPr>
                    <w:t>颗粒物、SO</w:t>
                  </w:r>
                  <w:r>
                    <w:rPr>
                      <w:rFonts w:hint="eastAsia"/>
                      <w:color w:val="000000" w:themeColor="text1"/>
                      <w:highlight w:val="none"/>
                      <w:u w:val="none"/>
                      <w:vertAlign w:val="subscript"/>
                      <w14:textFill>
                        <w14:solidFill>
                          <w14:schemeClr w14:val="tx1"/>
                        </w14:solidFill>
                      </w14:textFill>
                    </w:rPr>
                    <w:t>2</w:t>
                  </w:r>
                  <w:r>
                    <w:rPr>
                      <w:rFonts w:hint="eastAsia"/>
                      <w:color w:val="000000" w:themeColor="text1"/>
                      <w:highlight w:val="none"/>
                      <w:u w:val="none"/>
                      <w14:textFill>
                        <w14:solidFill>
                          <w14:schemeClr w14:val="tx1"/>
                        </w14:solidFill>
                      </w14:textFill>
                    </w:rPr>
                    <w:t>、NOx</w:t>
                  </w:r>
                </w:p>
              </w:tc>
            </w:tr>
            <w:tr w14:paraId="37D87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770516A">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p>
              </w:tc>
              <w:tc>
                <w:tcPr>
                  <w:tcW w:w="1065" w:type="pct"/>
                  <w:shd w:val="clear" w:color="auto" w:fill="auto"/>
                  <w:noWrap w:val="0"/>
                  <w:vAlign w:val="center"/>
                </w:tcPr>
                <w:p w14:paraId="28E51776">
                  <w:pPr>
                    <w:keepNext w:val="0"/>
                    <w:keepLines w:val="0"/>
                    <w:pageBreakBefore w:val="0"/>
                    <w:widowControl w:val="0"/>
                    <w:kinsoku/>
                    <w:wordWrap/>
                    <w:overflowPunct/>
                    <w:topLinePunct w:val="0"/>
                    <w:autoSpaceDE/>
                    <w:autoSpaceDN/>
                    <w:bidi w:val="0"/>
                    <w:spacing w:line="360" w:lineRule="exact"/>
                    <w:jc w:val="center"/>
                    <w:textAlignment w:val="auto"/>
                    <w:rPr>
                      <w:rFonts w:hint="eastAsia" w:ascii="Times New Roman" w:hAnsi="Times New Roman" w:eastAsia="宋体" w:cs="Times New Roman"/>
                      <w:color w:val="000000" w:themeColor="text1"/>
                      <w:kern w:val="2"/>
                      <w:sz w:val="21"/>
                      <w:szCs w:val="24"/>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4"/>
                      <w:highlight w:val="none"/>
                      <w:u w:val="none"/>
                      <w:lang w:val="en-US" w:eastAsia="zh-CN" w:bidi="ar-SA"/>
                      <w14:textFill>
                        <w14:solidFill>
                          <w14:schemeClr w14:val="tx1"/>
                        </w14:solidFill>
                      </w14:textFill>
                    </w:rPr>
                    <w:t>天然气蒸汽发生器</w:t>
                  </w:r>
                </w:p>
              </w:tc>
              <w:tc>
                <w:tcPr>
                  <w:tcW w:w="1833" w:type="pct"/>
                  <w:shd w:val="clear" w:color="auto" w:fill="auto"/>
                  <w:noWrap w:val="0"/>
                  <w:vAlign w:val="center"/>
                </w:tcPr>
                <w:p w14:paraId="537F26D3">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000000" w:themeColor="text1"/>
                      <w:kern w:val="2"/>
                      <w:sz w:val="21"/>
                      <w:szCs w:val="24"/>
                      <w:highlight w:val="none"/>
                      <w:u w:val="none"/>
                      <w:lang w:val="en-US" w:eastAsia="zh-CN" w:bidi="ar-SA"/>
                      <w14:textFill>
                        <w14:solidFill>
                          <w14:schemeClr w14:val="tx1"/>
                        </w14:solidFill>
                      </w14:textFill>
                    </w:rPr>
                  </w:pPr>
                  <w:r>
                    <w:rPr>
                      <w:rFonts w:hint="eastAsia"/>
                      <w:color w:val="000000" w:themeColor="text1"/>
                      <w:highlight w:val="none"/>
                      <w:u w:val="none"/>
                      <w14:textFill>
                        <w14:solidFill>
                          <w14:schemeClr w14:val="tx1"/>
                        </w14:solidFill>
                      </w14:textFill>
                    </w:rPr>
                    <w:t>天然气燃烧废气</w:t>
                  </w:r>
                </w:p>
              </w:tc>
              <w:tc>
                <w:tcPr>
                  <w:tcW w:w="1501" w:type="pct"/>
                  <w:shd w:val="clear" w:color="auto" w:fill="auto"/>
                  <w:noWrap w:val="0"/>
                  <w:vAlign w:val="center"/>
                </w:tcPr>
                <w:p w14:paraId="7B083267">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000000" w:themeColor="text1"/>
                      <w:kern w:val="2"/>
                      <w:sz w:val="21"/>
                      <w:szCs w:val="24"/>
                      <w:highlight w:val="none"/>
                      <w:u w:val="none"/>
                      <w:lang w:val="en-US" w:eastAsia="zh-CN" w:bidi="ar-SA"/>
                      <w14:textFill>
                        <w14:solidFill>
                          <w14:schemeClr w14:val="tx1"/>
                        </w14:solidFill>
                      </w14:textFill>
                    </w:rPr>
                  </w:pPr>
                  <w:r>
                    <w:rPr>
                      <w:rFonts w:hint="eastAsia"/>
                      <w:color w:val="000000" w:themeColor="text1"/>
                      <w:highlight w:val="none"/>
                      <w:u w:val="none"/>
                      <w14:textFill>
                        <w14:solidFill>
                          <w14:schemeClr w14:val="tx1"/>
                        </w14:solidFill>
                      </w14:textFill>
                    </w:rPr>
                    <w:t>颗粒物、SO</w:t>
                  </w:r>
                  <w:r>
                    <w:rPr>
                      <w:rFonts w:hint="eastAsia"/>
                      <w:color w:val="000000" w:themeColor="text1"/>
                      <w:highlight w:val="none"/>
                      <w:u w:val="none"/>
                      <w:vertAlign w:val="subscript"/>
                      <w14:textFill>
                        <w14:solidFill>
                          <w14:schemeClr w14:val="tx1"/>
                        </w14:solidFill>
                      </w14:textFill>
                    </w:rPr>
                    <w:t>2</w:t>
                  </w:r>
                  <w:r>
                    <w:rPr>
                      <w:rFonts w:hint="eastAsia"/>
                      <w:color w:val="000000" w:themeColor="text1"/>
                      <w:highlight w:val="none"/>
                      <w:u w:val="none"/>
                      <w14:textFill>
                        <w14:solidFill>
                          <w14:schemeClr w14:val="tx1"/>
                        </w14:solidFill>
                      </w14:textFill>
                    </w:rPr>
                    <w:t>、NOx</w:t>
                  </w:r>
                </w:p>
              </w:tc>
            </w:tr>
            <w:tr w14:paraId="5C9B7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32126D73">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p>
              </w:tc>
              <w:tc>
                <w:tcPr>
                  <w:tcW w:w="1976" w:type="dxa"/>
                  <w:shd w:val="clear" w:color="auto" w:fill="auto"/>
                  <w:noWrap w:val="0"/>
                  <w:vAlign w:val="center"/>
                </w:tcPr>
                <w:p w14:paraId="0E5C581B">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4"/>
                      <w:highlight w:val="none"/>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w:t>
                  </w:r>
                </w:p>
              </w:tc>
              <w:tc>
                <w:tcPr>
                  <w:tcW w:w="3403" w:type="dxa"/>
                  <w:shd w:val="clear" w:color="auto" w:fill="auto"/>
                  <w:noWrap w:val="0"/>
                  <w:vAlign w:val="center"/>
                </w:tcPr>
                <w:p w14:paraId="4E4EB901">
                  <w:pPr>
                    <w:keepNext w:val="0"/>
                    <w:keepLines w:val="0"/>
                    <w:pageBreakBefore w:val="0"/>
                    <w:kinsoku/>
                    <w:wordWrap/>
                    <w:overflowPunct/>
                    <w:topLinePunct w:val="0"/>
                    <w:autoSpaceDE/>
                    <w:autoSpaceDN/>
                    <w:bidi w:val="0"/>
                    <w:spacing w:line="240" w:lineRule="auto"/>
                    <w:jc w:val="center"/>
                    <w:textAlignment w:val="auto"/>
                    <w:outlineLvl w:val="0"/>
                    <w:rPr>
                      <w:rFonts w:hint="eastAsia"/>
                      <w:color w:val="000000" w:themeColor="text1"/>
                      <w:highlight w:val="none"/>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污水处理站恶臭</w:t>
                  </w:r>
                </w:p>
              </w:tc>
              <w:tc>
                <w:tcPr>
                  <w:tcW w:w="2785" w:type="dxa"/>
                  <w:shd w:val="clear" w:color="auto" w:fill="auto"/>
                  <w:noWrap w:val="0"/>
                  <w:vAlign w:val="center"/>
                </w:tcPr>
                <w:p w14:paraId="03DB600C">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highlight w:val="none"/>
                      <w:u w:val="none"/>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r>
            <w:tr w14:paraId="5CCEF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restart"/>
                  <w:noWrap w:val="0"/>
                  <w:vAlign w:val="center"/>
                </w:tcPr>
                <w:p w14:paraId="33F635B9">
                  <w:pPr>
                    <w:keepNext w:val="0"/>
                    <w:keepLines w:val="0"/>
                    <w:pageBreakBefore w:val="0"/>
                    <w:widowControl w:val="0"/>
                    <w:kinsoku/>
                    <w:wordWrap/>
                    <w:overflowPunct/>
                    <w:topLinePunct w:val="0"/>
                    <w:bidi w:val="0"/>
                    <w:jc w:val="center"/>
                    <w:textAlignment w:val="auto"/>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cs="Times New Roman"/>
                      <w:color w:val="000000" w:themeColor="text1"/>
                      <w:sz w:val="21"/>
                      <w:szCs w:val="21"/>
                      <w:highlight w:val="none"/>
                      <w:u w:val="none"/>
                      <w:lang w:val="en-US" w:eastAsia="zh-CN"/>
                      <w14:textFill>
                        <w14:solidFill>
                          <w14:schemeClr w14:val="tx1"/>
                        </w14:solidFill>
                      </w14:textFill>
                    </w:rPr>
                    <w:t>废水</w:t>
                  </w:r>
                </w:p>
              </w:tc>
              <w:tc>
                <w:tcPr>
                  <w:tcW w:w="1065" w:type="pct"/>
                  <w:shd w:val="clear" w:color="auto" w:fill="auto"/>
                  <w:noWrap w:val="0"/>
                  <w:vAlign w:val="center"/>
                </w:tcPr>
                <w:p w14:paraId="7AC5C53A">
                  <w:pPr>
                    <w:keepNext w:val="0"/>
                    <w:keepLines w:val="0"/>
                    <w:pageBreakBefore w:val="0"/>
                    <w:widowControl w:val="0"/>
                    <w:kinsoku/>
                    <w:wordWrap/>
                    <w:overflowPunct/>
                    <w:topLinePunct w:val="0"/>
                    <w:bidi w:val="0"/>
                    <w:jc w:val="center"/>
                    <w:textAlignment w:val="auto"/>
                    <w:rPr>
                      <w:rFonts w:hint="default" w:eastAsia="宋体"/>
                      <w:color w:val="000000" w:themeColor="text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职工生活</w:t>
                  </w:r>
                </w:p>
              </w:tc>
              <w:tc>
                <w:tcPr>
                  <w:tcW w:w="1833" w:type="pct"/>
                  <w:shd w:val="clear" w:color="auto" w:fill="auto"/>
                  <w:noWrap w:val="0"/>
                  <w:vAlign w:val="center"/>
                </w:tcPr>
                <w:p w14:paraId="037F5059">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eastAsia="宋体"/>
                      <w:color w:val="000000" w:themeColor="text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14:textFill>
                        <w14:solidFill>
                          <w14:schemeClr w14:val="tx1"/>
                        </w14:solidFill>
                      </w14:textFill>
                    </w:rPr>
                    <w:t>职工生活污水</w:t>
                  </w:r>
                </w:p>
              </w:tc>
              <w:tc>
                <w:tcPr>
                  <w:tcW w:w="1501" w:type="pct"/>
                  <w:shd w:val="clear" w:color="auto" w:fill="auto"/>
                  <w:noWrap w:val="0"/>
                  <w:vAlign w:val="center"/>
                </w:tcPr>
                <w:p w14:paraId="273D064A">
                  <w:pPr>
                    <w:keepNext w:val="0"/>
                    <w:keepLines w:val="0"/>
                    <w:pageBreakBefore w:val="0"/>
                    <w:widowControl w:val="0"/>
                    <w:kinsoku/>
                    <w:wordWrap/>
                    <w:overflowPunct/>
                    <w:topLinePunct w:val="0"/>
                    <w:bidi w:val="0"/>
                    <w:snapToGrid w:val="0"/>
                    <w:jc w:val="center"/>
                    <w:textAlignment w:val="auto"/>
                    <w:rPr>
                      <w:rFonts w:hint="default" w:eastAsia="宋体"/>
                      <w:color w:val="000000" w:themeColor="text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val="none"/>
                      <w14:textFill>
                        <w14:solidFill>
                          <w14:schemeClr w14:val="tx1"/>
                        </w14:solidFill>
                      </w14:textFill>
                    </w:rPr>
                    <w:t>COD、BOD</w:t>
                  </w:r>
                  <w:r>
                    <w:rPr>
                      <w:rFonts w:hint="default" w:ascii="Times New Roman" w:hAnsi="Times New Roman" w:eastAsia="宋体" w:cs="Times New Roman"/>
                      <w:color w:val="000000" w:themeColor="text1"/>
                      <w:kern w:val="0"/>
                      <w:sz w:val="21"/>
                      <w:szCs w:val="21"/>
                      <w:highlight w:val="none"/>
                      <w:u w:val="none"/>
                      <w:vertAlign w:val="subscript"/>
                      <w14:textFill>
                        <w14:solidFill>
                          <w14:schemeClr w14:val="tx1"/>
                        </w14:solidFill>
                      </w14:textFill>
                    </w:rPr>
                    <w:t>5</w:t>
                  </w:r>
                  <w:r>
                    <w:rPr>
                      <w:rFonts w:hint="default" w:ascii="Times New Roman" w:hAnsi="Times New Roman" w:eastAsia="宋体" w:cs="Times New Roman"/>
                      <w:color w:val="000000" w:themeColor="text1"/>
                      <w:kern w:val="0"/>
                      <w:sz w:val="21"/>
                      <w:szCs w:val="21"/>
                      <w:highlight w:val="none"/>
                      <w:u w:val="none"/>
                      <w14:textFill>
                        <w14:solidFill>
                          <w14:schemeClr w14:val="tx1"/>
                        </w14:solidFill>
                      </w14:textFill>
                    </w:rPr>
                    <w:t>、NH</w:t>
                  </w:r>
                  <w:r>
                    <w:rPr>
                      <w:rFonts w:hint="default" w:ascii="Times New Roman" w:hAnsi="Times New Roman" w:eastAsia="宋体" w:cs="Times New Roman"/>
                      <w:color w:val="000000" w:themeColor="text1"/>
                      <w:kern w:val="0"/>
                      <w:sz w:val="21"/>
                      <w:szCs w:val="21"/>
                      <w:highlight w:val="none"/>
                      <w:u w:val="none"/>
                      <w:vertAlign w:val="subscript"/>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u w:val="none"/>
                      <w14:textFill>
                        <w14:solidFill>
                          <w14:schemeClr w14:val="tx1"/>
                        </w14:solidFill>
                      </w14:textFill>
                    </w:rPr>
                    <w:t>-N、SS</w:t>
                  </w:r>
                </w:p>
              </w:tc>
            </w:tr>
            <w:tr w14:paraId="4CDF1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2" w:hRule="atLeast"/>
                <w:jc w:val="center"/>
              </w:trPr>
              <w:tc>
                <w:tcPr>
                  <w:tcW w:w="599" w:type="pct"/>
                  <w:vMerge w:val="continue"/>
                  <w:noWrap w:val="0"/>
                  <w:vAlign w:val="center"/>
                </w:tcPr>
                <w:p w14:paraId="46BDBAC9">
                  <w:pPr>
                    <w:keepNext w:val="0"/>
                    <w:keepLines w:val="0"/>
                    <w:pageBreakBefore w:val="0"/>
                    <w:widowControl w:val="0"/>
                    <w:kinsoku/>
                    <w:wordWrap/>
                    <w:overflowPunct/>
                    <w:topLinePunct w:val="0"/>
                    <w:bidi w:val="0"/>
                    <w:jc w:val="center"/>
                    <w:textAlignment w:val="auto"/>
                    <w:rPr>
                      <w:rFonts w:hint="eastAsia" w:cs="Times New Roman"/>
                      <w:color w:val="000000" w:themeColor="text1"/>
                      <w:sz w:val="21"/>
                      <w:szCs w:val="21"/>
                      <w:highlight w:val="none"/>
                      <w:u w:val="none"/>
                      <w:lang w:val="en-US" w:eastAsia="zh-CN"/>
                      <w14:textFill>
                        <w14:solidFill>
                          <w14:schemeClr w14:val="tx1"/>
                        </w14:solidFill>
                      </w14:textFill>
                    </w:rPr>
                  </w:pPr>
                </w:p>
              </w:tc>
              <w:tc>
                <w:tcPr>
                  <w:tcW w:w="1065" w:type="pct"/>
                  <w:shd w:val="clear" w:color="auto" w:fill="auto"/>
                  <w:noWrap w:val="0"/>
                  <w:vAlign w:val="center"/>
                </w:tcPr>
                <w:p w14:paraId="4D1A0364">
                  <w:pPr>
                    <w:keepNext w:val="0"/>
                    <w:keepLines w:val="0"/>
                    <w:pageBreakBefore w:val="0"/>
                    <w:widowControl w:val="0"/>
                    <w:kinsoku/>
                    <w:wordWrap/>
                    <w:overflowPunct/>
                    <w:topLinePunct w:val="0"/>
                    <w:bidi w:val="0"/>
                    <w:jc w:val="center"/>
                    <w:textAlignment w:val="auto"/>
                    <w:rPr>
                      <w:rFonts w:hint="eastAsia"/>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生产车间</w:t>
                  </w:r>
                </w:p>
              </w:tc>
              <w:tc>
                <w:tcPr>
                  <w:tcW w:w="1833" w:type="pct"/>
                  <w:shd w:val="clear" w:color="auto" w:fill="auto"/>
                  <w:noWrap w:val="0"/>
                  <w:vAlign w:val="center"/>
                </w:tcPr>
                <w:p w14:paraId="269E3A2F">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highlight w:val="none"/>
                      <w:u w:val="none"/>
                      <w:lang w:val="en-US" w:eastAsia="zh-CN"/>
                      <w14:textFill>
                        <w14:solidFill>
                          <w14:schemeClr w14:val="tx1"/>
                        </w14:solidFill>
                      </w14:textFill>
                    </w:rPr>
                  </w:pPr>
                  <w:r>
                    <w:rPr>
                      <w:rFonts w:hint="eastAsia"/>
                      <w:color w:val="000000" w:themeColor="text1"/>
                      <w:highlight w:val="none"/>
                      <w:u w:val="none"/>
                      <w:lang w:val="en-US" w:eastAsia="zh-CN"/>
                      <w14:textFill>
                        <w14:solidFill>
                          <w14:schemeClr w14:val="tx1"/>
                        </w14:solidFill>
                      </w14:textFill>
                    </w:rPr>
                    <w:t>生产废水（肉类解冻清洗废水、蔬菜清洗废水、洗米废水、设备清洗废水、餐具回收清洗废水、蒸汽发生器排污水、纯水制备浓水以及化验室废水）</w:t>
                  </w:r>
                </w:p>
              </w:tc>
              <w:tc>
                <w:tcPr>
                  <w:tcW w:w="1501" w:type="pct"/>
                  <w:shd w:val="clear" w:color="auto" w:fill="auto"/>
                  <w:noWrap w:val="0"/>
                  <w:vAlign w:val="center"/>
                </w:tcPr>
                <w:p w14:paraId="7F57EAD4">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highlight w:val="none"/>
                      <w:u w:val="none"/>
                      <w:lang w:val="en-US" w:eastAsia="zh-CN"/>
                      <w14:textFill>
                        <w14:solidFill>
                          <w14:schemeClr w14:val="tx1"/>
                        </w14:solidFill>
                      </w14:textFill>
                    </w:rPr>
                  </w:pPr>
                  <w:r>
                    <w:rPr>
                      <w:color w:val="000000" w:themeColor="text1"/>
                      <w:sz w:val="21"/>
                      <w:szCs w:val="21"/>
                      <w14:textFill>
                        <w14:solidFill>
                          <w14:schemeClr w14:val="tx1"/>
                        </w14:solidFill>
                      </w14:textFill>
                    </w:rPr>
                    <w:t>COD、BOD</w:t>
                  </w:r>
                  <w:r>
                    <w:rPr>
                      <w:color w:val="000000" w:themeColor="text1"/>
                      <w:sz w:val="21"/>
                      <w:szCs w:val="21"/>
                      <w:vertAlign w:val="subscript"/>
                      <w14:textFill>
                        <w14:solidFill>
                          <w14:schemeClr w14:val="tx1"/>
                        </w14:solidFill>
                      </w14:textFill>
                    </w:rPr>
                    <w:t>5</w:t>
                  </w:r>
                  <w:r>
                    <w:rPr>
                      <w:color w:val="000000" w:themeColor="text1"/>
                      <w:sz w:val="21"/>
                      <w:szCs w:val="21"/>
                      <w14:textFill>
                        <w14:solidFill>
                          <w14:schemeClr w14:val="tx1"/>
                        </w14:solidFill>
                      </w14:textFill>
                    </w:rPr>
                    <w:t>、SS、NH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w:t>
                  </w:r>
                  <w:r>
                    <w:rPr>
                      <w:rFonts w:hint="eastAsia"/>
                      <w:bCs/>
                      <w:color w:val="000000" w:themeColor="text1"/>
                      <w:sz w:val="21"/>
                      <w:szCs w:val="21"/>
                      <w14:textFill>
                        <w14:solidFill>
                          <w14:schemeClr w14:val="tx1"/>
                        </w14:solidFill>
                      </w14:textFill>
                    </w:rPr>
                    <w:t>TP</w:t>
                  </w:r>
                  <w:r>
                    <w:rPr>
                      <w:rFonts w:hint="eastAsia"/>
                      <w:color w:val="000000" w:themeColor="text1"/>
                      <w:sz w:val="21"/>
                      <w:szCs w:val="21"/>
                      <w14:textFill>
                        <w14:solidFill>
                          <w14:schemeClr w14:val="tx1"/>
                        </w14:solidFill>
                      </w14:textFill>
                    </w:rPr>
                    <w:t>、动植物油</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LAS</w:t>
                  </w:r>
                </w:p>
              </w:tc>
            </w:tr>
            <w:tr w14:paraId="3F614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noWrap w:val="0"/>
                  <w:vAlign w:val="center"/>
                </w:tcPr>
                <w:p w14:paraId="613166D2">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噪声</w:t>
                  </w:r>
                </w:p>
              </w:tc>
              <w:tc>
                <w:tcPr>
                  <w:tcW w:w="1065" w:type="pct"/>
                  <w:noWrap w:val="0"/>
                  <w:vAlign w:val="center"/>
                </w:tcPr>
                <w:p w14:paraId="427756F8">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生产设备</w:t>
                  </w:r>
                </w:p>
              </w:tc>
              <w:tc>
                <w:tcPr>
                  <w:tcW w:w="1833" w:type="pct"/>
                  <w:noWrap w:val="0"/>
                  <w:vAlign w:val="center"/>
                </w:tcPr>
                <w:p w14:paraId="0D790384">
                  <w:pPr>
                    <w:keepNext w:val="0"/>
                    <w:keepLines w:val="0"/>
                    <w:pageBreakBefore w:val="0"/>
                    <w:widowControl w:val="0"/>
                    <w:kinsoku/>
                    <w:wordWrap/>
                    <w:overflowPunct/>
                    <w:topLinePunct w:val="0"/>
                    <w:bidi w:val="0"/>
                    <w:snapToGrid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切菜机</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w:t>
                  </w:r>
                  <w:r>
                    <w:rPr>
                      <w:rFonts w:hint="eastAsia" w:cs="Times New Roman"/>
                      <w:bCs/>
                      <w:color w:val="000000" w:themeColor="text1"/>
                      <w:sz w:val="21"/>
                      <w:szCs w:val="21"/>
                      <w:u w:val="none"/>
                      <w:lang w:val="en-US" w:eastAsia="zh-CN"/>
                      <w14:textFill>
                        <w14:solidFill>
                          <w14:schemeClr w14:val="tx1"/>
                        </w14:solidFill>
                      </w14:textFill>
                    </w:rPr>
                    <w:t>和</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面机、</w:t>
                  </w:r>
                  <w:r>
                    <w:rPr>
                      <w:rFonts w:hint="default" w:eastAsia="宋体"/>
                      <w:color w:val="000000" w:themeColor="text1"/>
                      <w:sz w:val="21"/>
                      <w:szCs w:val="21"/>
                      <w:vertAlign w:val="baseline"/>
                      <w:lang w:val="en-US" w:eastAsia="zh-CN"/>
                      <w14:textFill>
                        <w14:solidFill>
                          <w14:schemeClr w14:val="tx1"/>
                        </w14:solidFill>
                      </w14:textFill>
                    </w:rPr>
                    <w:t>鲜肉开条机</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以及风机</w:t>
                  </w:r>
                  <w:r>
                    <w:rPr>
                      <w:rFonts w:hint="default" w:ascii="Times New Roman" w:hAnsi="Times New Roman" w:eastAsia="宋体" w:cs="Times New Roman"/>
                      <w:bCs/>
                      <w:color w:val="000000" w:themeColor="text1"/>
                      <w:sz w:val="21"/>
                      <w:szCs w:val="21"/>
                      <w:u w:val="none"/>
                      <w14:textFill>
                        <w14:solidFill>
                          <w14:schemeClr w14:val="tx1"/>
                        </w14:solidFill>
                      </w14:textFill>
                    </w:rPr>
                    <w:t>等设备</w:t>
                  </w:r>
                </w:p>
              </w:tc>
              <w:tc>
                <w:tcPr>
                  <w:tcW w:w="1501" w:type="pct"/>
                  <w:noWrap w:val="0"/>
                  <w:vAlign w:val="center"/>
                </w:tcPr>
                <w:p w14:paraId="7D8011E5">
                  <w:pPr>
                    <w:keepNext w:val="0"/>
                    <w:keepLines w:val="0"/>
                    <w:pageBreakBefore w:val="0"/>
                    <w:widowControl w:val="0"/>
                    <w:kinsoku/>
                    <w:wordWrap/>
                    <w:overflowPunct/>
                    <w:topLinePunct w:val="0"/>
                    <w:bidi w:val="0"/>
                    <w:snapToGrid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机械噪声</w:t>
                  </w:r>
                </w:p>
              </w:tc>
            </w:tr>
            <w:tr w14:paraId="2D24F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restart"/>
                  <w:noWrap w:val="0"/>
                  <w:vAlign w:val="center"/>
                </w:tcPr>
                <w:p w14:paraId="7C5F3D77">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singl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固废</w:t>
                  </w:r>
                </w:p>
              </w:tc>
              <w:tc>
                <w:tcPr>
                  <w:tcW w:w="2899" w:type="pct"/>
                  <w:gridSpan w:val="2"/>
                  <w:shd w:val="clear" w:color="auto" w:fill="auto"/>
                  <w:noWrap w:val="0"/>
                  <w:vAlign w:val="center"/>
                </w:tcPr>
                <w:p w14:paraId="403128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w:t>
                  </w:r>
                </w:p>
              </w:tc>
              <w:tc>
                <w:tcPr>
                  <w:tcW w:w="1501" w:type="pct"/>
                  <w:shd w:val="clear" w:color="auto" w:fill="auto"/>
                  <w:noWrap w:val="0"/>
                  <w:vAlign w:val="center"/>
                </w:tcPr>
                <w:p w14:paraId="2A708E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生活垃圾</w:t>
                  </w:r>
                </w:p>
              </w:tc>
            </w:tr>
            <w:tr w14:paraId="7A278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D5C0F07">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p>
              </w:tc>
              <w:tc>
                <w:tcPr>
                  <w:tcW w:w="2899" w:type="pct"/>
                  <w:gridSpan w:val="2"/>
                  <w:shd w:val="clear" w:color="auto" w:fill="auto"/>
                  <w:noWrap w:val="0"/>
                  <w:vAlign w:val="center"/>
                </w:tcPr>
                <w:p w14:paraId="4ABE3D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w:t>
                  </w:r>
                </w:p>
              </w:tc>
              <w:tc>
                <w:tcPr>
                  <w:tcW w:w="1501" w:type="pct"/>
                  <w:shd w:val="clear" w:color="auto" w:fill="auto"/>
                  <w:noWrap w:val="0"/>
                  <w:vAlign w:val="center"/>
                </w:tcPr>
                <w:p w14:paraId="65F1024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污泥</w:t>
                  </w:r>
                </w:p>
              </w:tc>
            </w:tr>
            <w:tr w14:paraId="4B7BE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1172F044">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p>
              </w:tc>
              <w:tc>
                <w:tcPr>
                  <w:tcW w:w="2899" w:type="pct"/>
                  <w:gridSpan w:val="2"/>
                  <w:shd w:val="clear" w:color="auto" w:fill="auto"/>
                  <w:noWrap w:val="0"/>
                  <w:vAlign w:val="center"/>
                </w:tcPr>
                <w:p w14:paraId="5E3938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肉类清洗</w:t>
                  </w:r>
                </w:p>
              </w:tc>
              <w:tc>
                <w:tcPr>
                  <w:tcW w:w="1501" w:type="pct"/>
                  <w:shd w:val="clear" w:color="auto" w:fill="auto"/>
                  <w:noWrap w:val="0"/>
                  <w:vAlign w:val="center"/>
                </w:tcPr>
                <w:p w14:paraId="017A6F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肉末残渣</w:t>
                  </w:r>
                </w:p>
              </w:tc>
            </w:tr>
            <w:tr w14:paraId="4D3B7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1B6C6FF">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p>
              </w:tc>
              <w:tc>
                <w:tcPr>
                  <w:tcW w:w="2899" w:type="pct"/>
                  <w:gridSpan w:val="2"/>
                  <w:shd w:val="clear" w:color="auto" w:fill="auto"/>
                  <w:noWrap w:val="0"/>
                  <w:vAlign w:val="center"/>
                </w:tcPr>
                <w:p w14:paraId="032F7D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蔬菜清洗</w:t>
                  </w:r>
                </w:p>
              </w:tc>
              <w:tc>
                <w:tcPr>
                  <w:tcW w:w="1501" w:type="pct"/>
                  <w:shd w:val="clear" w:color="auto" w:fill="auto"/>
                  <w:noWrap w:val="0"/>
                  <w:vAlign w:val="center"/>
                </w:tcPr>
                <w:p w14:paraId="4AE045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r>
            <w:tr w14:paraId="72FB0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0AAA40ED">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p>
              </w:tc>
              <w:tc>
                <w:tcPr>
                  <w:tcW w:w="2899" w:type="pct"/>
                  <w:gridSpan w:val="2"/>
                  <w:shd w:val="clear" w:color="auto" w:fill="auto"/>
                  <w:noWrap w:val="0"/>
                  <w:vAlign w:val="center"/>
                </w:tcPr>
                <w:p w14:paraId="7F6A6C56">
                  <w:pPr>
                    <w:jc w:val="center"/>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隔油池、</w:t>
                  </w: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静电</w:t>
                  </w:r>
                  <w:r>
                    <w:rPr>
                      <w:rFonts w:hint="default" w:ascii="Times New Roman" w:hAnsi="Times New Roman" w:eastAsia="宋体" w:cs="Times New Roman"/>
                      <w:bCs/>
                      <w:color w:val="000000" w:themeColor="text1"/>
                      <w:kern w:val="0"/>
                      <w:sz w:val="21"/>
                      <w:szCs w:val="21"/>
                      <w:u w:val="none"/>
                      <w14:textFill>
                        <w14:solidFill>
                          <w14:schemeClr w14:val="tx1"/>
                        </w14:solidFill>
                      </w14:textFill>
                    </w:rPr>
                    <w:t>油烟净化器</w:t>
                  </w:r>
                </w:p>
              </w:tc>
              <w:tc>
                <w:tcPr>
                  <w:tcW w:w="1501" w:type="pct"/>
                  <w:shd w:val="clear" w:color="auto" w:fill="auto"/>
                  <w:noWrap w:val="0"/>
                  <w:vAlign w:val="center"/>
                </w:tcPr>
                <w:p w14:paraId="0F1B26CA">
                  <w:pPr>
                    <w:jc w:val="center"/>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废油脂</w:t>
                  </w:r>
                </w:p>
              </w:tc>
            </w:tr>
            <w:tr w14:paraId="79782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349183FE">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p>
              </w:tc>
              <w:tc>
                <w:tcPr>
                  <w:tcW w:w="2899" w:type="pct"/>
                  <w:gridSpan w:val="2"/>
                  <w:shd w:val="clear" w:color="auto" w:fill="auto"/>
                  <w:noWrap w:val="0"/>
                  <w:vAlign w:val="center"/>
                </w:tcPr>
                <w:p w14:paraId="2B54E20E">
                  <w:pPr>
                    <w:jc w:val="center"/>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eastAsia" w:cs="Times New Roman"/>
                      <w:bCs/>
                      <w:color w:val="000000" w:themeColor="text1"/>
                      <w:kern w:val="0"/>
                      <w:sz w:val="21"/>
                      <w:szCs w:val="21"/>
                      <w:u w:val="none"/>
                      <w:lang w:val="en-US" w:eastAsia="zh-CN"/>
                      <w14:textFill>
                        <w14:solidFill>
                          <w14:schemeClr w14:val="tx1"/>
                        </w14:solidFill>
                      </w14:textFill>
                    </w:rPr>
                    <w:t>餐具及设备清洗</w:t>
                  </w:r>
                </w:p>
              </w:tc>
              <w:tc>
                <w:tcPr>
                  <w:tcW w:w="1501" w:type="pct"/>
                  <w:shd w:val="clear" w:color="auto" w:fill="auto"/>
                  <w:noWrap w:val="0"/>
                  <w:vAlign w:val="center"/>
                </w:tcPr>
                <w:p w14:paraId="2477D199">
                  <w:pPr>
                    <w:jc w:val="center"/>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食品残渣</w:t>
                  </w:r>
                </w:p>
              </w:tc>
            </w:tr>
            <w:tr w14:paraId="3C53C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3B565B0F">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p>
              </w:tc>
              <w:tc>
                <w:tcPr>
                  <w:tcW w:w="2899" w:type="pct"/>
                  <w:gridSpan w:val="2"/>
                  <w:shd w:val="clear" w:color="auto" w:fill="auto"/>
                  <w:noWrap w:val="0"/>
                  <w:vAlign w:val="center"/>
                </w:tcPr>
                <w:p w14:paraId="0B653C6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原料拆包及产品包装</w:t>
                  </w:r>
                </w:p>
              </w:tc>
              <w:tc>
                <w:tcPr>
                  <w:tcW w:w="1501" w:type="pct"/>
                  <w:shd w:val="clear" w:color="auto" w:fill="auto"/>
                  <w:noWrap w:val="0"/>
                  <w:vAlign w:val="center"/>
                </w:tcPr>
                <w:p w14:paraId="6A1A66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r>
            <w:tr w14:paraId="06FEE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043BE99D">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single"/>
                      <w14:textFill>
                        <w14:solidFill>
                          <w14:schemeClr w14:val="tx1"/>
                        </w14:solidFill>
                      </w14:textFill>
                    </w:rPr>
                  </w:pPr>
                </w:p>
              </w:tc>
              <w:tc>
                <w:tcPr>
                  <w:tcW w:w="2899" w:type="pct"/>
                  <w:gridSpan w:val="2"/>
                  <w:shd w:val="clear" w:color="auto" w:fill="auto"/>
                  <w:noWrap w:val="0"/>
                  <w:vAlign w:val="center"/>
                </w:tcPr>
                <w:p w14:paraId="1433FE0A">
                  <w:pPr>
                    <w:jc w:val="center"/>
                    <w:rPr>
                      <w:rFonts w:hint="default"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501" w:type="pct"/>
                  <w:shd w:val="clear" w:color="auto" w:fill="auto"/>
                  <w:noWrap w:val="0"/>
                  <w:vAlign w:val="center"/>
                </w:tcPr>
                <w:p w14:paraId="0B9F5148">
                  <w:pPr>
                    <w:jc w:val="center"/>
                    <w:rPr>
                      <w:rFonts w:hint="default"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color w:val="000000" w:themeColor="text1"/>
                      <w:szCs w:val="21"/>
                      <w14:textFill>
                        <w14:solidFill>
                          <w14:schemeClr w14:val="tx1"/>
                        </w14:solidFill>
                      </w14:textFill>
                    </w:rPr>
                    <w:t>废石英砂</w:t>
                  </w:r>
                </w:p>
              </w:tc>
            </w:tr>
            <w:tr w14:paraId="29B2B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599" w:type="pct"/>
                  <w:vMerge w:val="continue"/>
                  <w:noWrap w:val="0"/>
                  <w:vAlign w:val="center"/>
                </w:tcPr>
                <w:p w14:paraId="6C378E00">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single"/>
                      <w14:textFill>
                        <w14:solidFill>
                          <w14:schemeClr w14:val="tx1"/>
                        </w14:solidFill>
                      </w14:textFill>
                    </w:rPr>
                  </w:pPr>
                </w:p>
              </w:tc>
              <w:tc>
                <w:tcPr>
                  <w:tcW w:w="2899" w:type="pct"/>
                  <w:gridSpan w:val="2"/>
                  <w:shd w:val="clear" w:color="auto" w:fill="auto"/>
                  <w:noWrap w:val="0"/>
                  <w:vAlign w:val="center"/>
                </w:tcPr>
                <w:p w14:paraId="3D853A09">
                  <w:pPr>
                    <w:jc w:val="center"/>
                    <w:rPr>
                      <w:rFonts w:hint="default"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501" w:type="pct"/>
                  <w:shd w:val="clear" w:color="auto" w:fill="auto"/>
                  <w:noWrap w:val="0"/>
                  <w:vAlign w:val="center"/>
                </w:tcPr>
                <w:p w14:paraId="7DDA6EB4">
                  <w:pPr>
                    <w:jc w:val="center"/>
                    <w:rPr>
                      <w:rFonts w:hint="default"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color w:val="000000" w:themeColor="text1"/>
                      <w:szCs w:val="21"/>
                      <w14:textFill>
                        <w14:solidFill>
                          <w14:schemeClr w14:val="tx1"/>
                        </w14:solidFill>
                      </w14:textFill>
                    </w:rPr>
                    <w:t>废滤芯</w:t>
                  </w:r>
                </w:p>
              </w:tc>
            </w:tr>
            <w:tr w14:paraId="4848F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4C0E22F1">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single"/>
                      <w14:textFill>
                        <w14:solidFill>
                          <w14:schemeClr w14:val="tx1"/>
                        </w14:solidFill>
                      </w14:textFill>
                    </w:rPr>
                  </w:pPr>
                </w:p>
              </w:tc>
              <w:tc>
                <w:tcPr>
                  <w:tcW w:w="2899" w:type="pct"/>
                  <w:gridSpan w:val="2"/>
                  <w:shd w:val="clear" w:color="auto" w:fill="auto"/>
                  <w:noWrap w:val="0"/>
                  <w:vAlign w:val="center"/>
                </w:tcPr>
                <w:p w14:paraId="2782A240">
                  <w:pPr>
                    <w:jc w:val="center"/>
                    <w:rPr>
                      <w:rFonts w:hint="eastAsia"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501" w:type="pct"/>
                  <w:shd w:val="clear" w:color="auto" w:fill="auto"/>
                  <w:noWrap w:val="0"/>
                  <w:vAlign w:val="center"/>
                </w:tcPr>
                <w:p w14:paraId="333CDFCC">
                  <w:pPr>
                    <w:jc w:val="center"/>
                    <w:rPr>
                      <w:rFonts w:hint="eastAsia"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color w:val="000000" w:themeColor="text1"/>
                      <w:szCs w:val="21"/>
                      <w14:textFill>
                        <w14:solidFill>
                          <w14:schemeClr w14:val="tx1"/>
                        </w14:solidFill>
                      </w14:textFill>
                    </w:rPr>
                    <w:t>废活性炭</w:t>
                  </w:r>
                </w:p>
              </w:tc>
            </w:tr>
            <w:tr w14:paraId="0C44A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090FC6CC">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single"/>
                      <w14:textFill>
                        <w14:solidFill>
                          <w14:schemeClr w14:val="tx1"/>
                        </w14:solidFill>
                      </w14:textFill>
                    </w:rPr>
                  </w:pPr>
                </w:p>
              </w:tc>
              <w:tc>
                <w:tcPr>
                  <w:tcW w:w="2899" w:type="pct"/>
                  <w:gridSpan w:val="2"/>
                  <w:shd w:val="clear" w:color="auto" w:fill="auto"/>
                  <w:noWrap w:val="0"/>
                  <w:vAlign w:val="center"/>
                </w:tcPr>
                <w:p w14:paraId="5C3EFADF">
                  <w:pPr>
                    <w:jc w:val="center"/>
                    <w:rPr>
                      <w:rFonts w:hint="eastAsia"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501" w:type="pct"/>
                  <w:shd w:val="clear" w:color="auto" w:fill="auto"/>
                  <w:noWrap w:val="0"/>
                  <w:vAlign w:val="center"/>
                </w:tcPr>
                <w:p w14:paraId="070ADB5B">
                  <w:pPr>
                    <w:jc w:val="center"/>
                    <w:rPr>
                      <w:rFonts w:hint="eastAsia"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bCs/>
                      <w:color w:val="000000" w:themeColor="text1"/>
                      <w:kern w:val="0"/>
                      <w:szCs w:val="21"/>
                      <w14:textFill>
                        <w14:solidFill>
                          <w14:schemeClr w14:val="tx1"/>
                        </w14:solidFill>
                      </w14:textFill>
                    </w:rPr>
                    <w:t>废反渗透膜</w:t>
                  </w:r>
                </w:p>
              </w:tc>
            </w:tr>
            <w:tr w14:paraId="6F033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vMerge w:val="continue"/>
                  <w:noWrap w:val="0"/>
                  <w:vAlign w:val="center"/>
                </w:tcPr>
                <w:p w14:paraId="701A824B">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color w:val="000000" w:themeColor="text1"/>
                      <w:sz w:val="21"/>
                      <w:szCs w:val="21"/>
                      <w:highlight w:val="none"/>
                      <w:u w:val="single"/>
                      <w14:textFill>
                        <w14:solidFill>
                          <w14:schemeClr w14:val="tx1"/>
                        </w14:solidFill>
                      </w14:textFill>
                    </w:rPr>
                  </w:pPr>
                </w:p>
              </w:tc>
              <w:tc>
                <w:tcPr>
                  <w:tcW w:w="2899" w:type="pct"/>
                  <w:gridSpan w:val="2"/>
                  <w:shd w:val="clear" w:color="auto" w:fill="auto"/>
                  <w:noWrap w:val="0"/>
                  <w:vAlign w:val="center"/>
                </w:tcPr>
                <w:p w14:paraId="7276AED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1501" w:type="pct"/>
                  <w:shd w:val="clear" w:color="auto" w:fill="auto"/>
                  <w:noWrap w:val="0"/>
                  <w:vAlign w:val="center"/>
                </w:tcPr>
                <w:p w14:paraId="5ABC8BC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r>
            <w:tr w14:paraId="27A8E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9" w:type="pct"/>
                  <w:noWrap w:val="0"/>
                  <w:vAlign w:val="center"/>
                </w:tcPr>
                <w:p w14:paraId="75BB5246">
                  <w:pPr>
                    <w:keepNext w:val="0"/>
                    <w:keepLines w:val="0"/>
                    <w:pageBreakBefore w:val="0"/>
                    <w:widowControl w:val="0"/>
                    <w:kinsoku/>
                    <w:wordWrap/>
                    <w:overflowPunct/>
                    <w:topLinePunct w:val="0"/>
                    <w:bidi w:val="0"/>
                    <w:jc w:val="center"/>
                    <w:textAlignment w:val="auto"/>
                    <w:rPr>
                      <w:rFonts w:hint="eastAsia" w:ascii="Times New Roman" w:hAnsi="Times New Roman" w:eastAsia="宋体" w:cs="Times New Roman"/>
                      <w:color w:val="000000" w:themeColor="text1"/>
                      <w:sz w:val="21"/>
                      <w:szCs w:val="21"/>
                      <w:highlight w:val="none"/>
                      <w:u w:val="singl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危废</w:t>
                  </w:r>
                </w:p>
              </w:tc>
              <w:tc>
                <w:tcPr>
                  <w:tcW w:w="2899" w:type="pct"/>
                  <w:gridSpan w:val="2"/>
                  <w:shd w:val="clear" w:color="auto" w:fill="auto"/>
                  <w:noWrap w:val="0"/>
                  <w:vAlign w:val="center"/>
                </w:tcPr>
                <w:p w14:paraId="57F8C293">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14:textFill>
                        <w14:solidFill>
                          <w14:schemeClr w14:val="tx1"/>
                        </w14:solidFill>
                      </w14:textFill>
                    </w:rPr>
                    <w:t>设备维护过程</w:t>
                  </w:r>
                </w:p>
              </w:tc>
              <w:tc>
                <w:tcPr>
                  <w:tcW w:w="1501" w:type="pct"/>
                  <w:shd w:val="clear" w:color="auto" w:fill="auto"/>
                  <w:noWrap w:val="0"/>
                  <w:vAlign w:val="center"/>
                </w:tcPr>
                <w:p w14:paraId="10FA0C75">
                  <w:pPr>
                    <w:keepNext w:val="0"/>
                    <w:keepLines w:val="0"/>
                    <w:pageBreakBefore w:val="0"/>
                    <w:tabs>
                      <w:tab w:val="left" w:pos="525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u w:val="none"/>
                      <w14:textFill>
                        <w14:solidFill>
                          <w14:schemeClr w14:val="tx1"/>
                        </w14:solidFill>
                      </w14:textFill>
                    </w:rPr>
                    <w:t>废润滑油、废润滑油桶</w:t>
                  </w:r>
                </w:p>
              </w:tc>
            </w:tr>
          </w:tbl>
          <w:p w14:paraId="2FF4162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val="en-US" w:eastAsia="zh-CN"/>
              </w:rPr>
            </w:pPr>
          </w:p>
        </w:tc>
      </w:tr>
      <w:tr w14:paraId="64176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9" w:type="pct"/>
            <w:vAlign w:val="center"/>
          </w:tcPr>
          <w:p w14:paraId="5EA8AC79">
            <w:pPr>
              <w:numPr>
                <w:ilvl w:val="0"/>
                <w:numId w:val="0"/>
              </w:numPr>
              <w:jc w:val="both"/>
              <w:rPr>
                <w:sz w:val="24"/>
                <w:szCs w:val="24"/>
                <w:vertAlign w:val="baseline"/>
              </w:rPr>
            </w:pPr>
            <w:r>
              <w:rPr>
                <w:rFonts w:hint="default"/>
                <w:sz w:val="24"/>
                <w:szCs w:val="24"/>
                <w:vertAlign w:val="baseline"/>
              </w:rPr>
              <w:t>与项目有关原有环境污染问题</w:t>
            </w:r>
          </w:p>
        </w:tc>
        <w:tc>
          <w:tcPr>
            <w:tcW w:w="4770" w:type="pct"/>
            <w:vAlign w:val="center"/>
          </w:tcPr>
          <w:p w14:paraId="0961E93B">
            <w:pPr>
              <w:pStyle w:val="36"/>
              <w:adjustRightInd/>
              <w:snapToGrid/>
              <w:spacing w:line="360" w:lineRule="auto"/>
              <w:ind w:firstLine="480"/>
              <w:rPr>
                <w:color w:val="000000"/>
              </w:rPr>
            </w:pPr>
            <w:r>
              <w:rPr>
                <w:color w:val="000000"/>
              </w:rPr>
              <w:t>本项目位于</w:t>
            </w:r>
            <w:r>
              <w:rPr>
                <w:rFonts w:hint="eastAsia" w:cs="Times New Roman"/>
                <w:color w:val="auto"/>
                <w:sz w:val="24"/>
                <w:szCs w:val="24"/>
                <w:lang w:val="en-US" w:eastAsia="zh-CN"/>
              </w:rPr>
              <w:t>南阳市镇平县乡村振兴创业园4号楼1楼南</w:t>
            </w:r>
            <w:r>
              <w:rPr>
                <w:color w:val="000000"/>
              </w:rPr>
              <w:t>，租赁</w:t>
            </w:r>
            <w:r>
              <w:rPr>
                <w:rFonts w:hint="default" w:ascii="Times New Roman" w:hAnsi="Times New Roman" w:eastAsia="宋体" w:cs="Times New Roman"/>
                <w:color w:val="auto"/>
                <w:sz w:val="24"/>
                <w:szCs w:val="24"/>
                <w:highlight w:val="none"/>
                <w:u w:val="none" w:color="auto"/>
                <w:lang w:val="en-US" w:eastAsia="zh-CN"/>
              </w:rPr>
              <w:t>生产车间</w:t>
            </w:r>
            <w:r>
              <w:rPr>
                <w:rFonts w:hint="default" w:ascii="Times New Roman" w:hAnsi="Times New Roman" w:eastAsia="宋体" w:cs="Times New Roman"/>
                <w:color w:val="auto"/>
                <w:sz w:val="24"/>
                <w:szCs w:val="24"/>
              </w:rPr>
              <w:t>进行建设</w:t>
            </w:r>
            <w:r>
              <w:rPr>
                <w:color w:val="000000"/>
              </w:rPr>
              <w:t>，属于新建项目，因此不存在与项目有关的原有污染环境问题。</w:t>
            </w:r>
          </w:p>
          <w:p w14:paraId="33D8FCC6">
            <w:pPr>
              <w:pStyle w:val="36"/>
              <w:adjustRightInd/>
              <w:snapToGrid/>
              <w:spacing w:line="360" w:lineRule="auto"/>
              <w:ind w:firstLine="480"/>
              <w:rPr>
                <w:rFonts w:hint="default"/>
                <w:lang w:val="en-US" w:eastAsia="zh-CN"/>
              </w:rPr>
            </w:pPr>
            <w:r>
              <w:rPr>
                <w:rFonts w:hint="default" w:ascii="Times New Roman" w:hAnsi="Times New Roman" w:eastAsia="宋体" w:cs="Times New Roman"/>
                <w:color w:val="auto"/>
                <w:sz w:val="24"/>
                <w:szCs w:val="24"/>
              </w:rPr>
              <w:t>本项目属于新建项目，经现场调查，项目尚未动工建设，因此不存在与本项目有关的原有污染环境问题。</w:t>
            </w:r>
          </w:p>
        </w:tc>
      </w:tr>
    </w:tbl>
    <w:p w14:paraId="2274CE56">
      <w:pPr>
        <w:numPr>
          <w:ilvl w:val="0"/>
          <w:numId w:val="3"/>
        </w:numPr>
        <w:sectPr>
          <w:pgSz w:w="11906" w:h="16838"/>
          <w:pgMar w:top="1440" w:right="1083" w:bottom="1440" w:left="1083" w:header="851" w:footer="992" w:gutter="0"/>
          <w:pgNumType w:fmt="decimal"/>
          <w:cols w:space="0" w:num="1"/>
          <w:rtlGutter w:val="0"/>
          <w:docGrid w:type="lines" w:linePitch="312" w:charSpace="0"/>
        </w:sectPr>
      </w:pPr>
    </w:p>
    <w:p w14:paraId="47F3F865">
      <w:pPr>
        <w:pStyle w:val="3"/>
        <w:numPr>
          <w:ilvl w:val="0"/>
          <w:numId w:val="0"/>
        </w:numPr>
        <w:spacing w:before="156"/>
        <w:ind w:firstLine="0" w:firstLineChars="0"/>
        <w:jc w:val="center"/>
        <w:rPr>
          <w:rFonts w:hint="eastAsia"/>
        </w:rPr>
      </w:pPr>
      <w:r>
        <w:rPr>
          <w:rFonts w:hint="eastAsia" w:ascii="Times New Roman" w:hAnsi="Times New Roman" w:eastAsia="宋体" w:cs="Times New Roman"/>
          <w:b/>
          <w:kern w:val="2"/>
          <w:sz w:val="30"/>
          <w:szCs w:val="24"/>
          <w:lang w:val="en-US" w:eastAsia="zh-CN" w:bidi="ar-SA"/>
        </w:rPr>
        <w:t>三、</w:t>
      </w:r>
      <w:r>
        <w:rPr>
          <w:rFonts w:hint="eastAsia"/>
        </w:rPr>
        <w:t>区域环境质量现状、环境保护目标及评价标准</w:t>
      </w:r>
    </w:p>
    <w:tbl>
      <w:tblPr>
        <w:tblStyle w:val="20"/>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5"/>
        <w:gridCol w:w="9493"/>
      </w:tblGrid>
      <w:tr w14:paraId="53BF3F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8" w:type="pct"/>
            <w:noWrap w:val="0"/>
            <w:vAlign w:val="center"/>
          </w:tcPr>
          <w:p w14:paraId="083C73B8">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区域环境质量现状</w:t>
            </w:r>
          </w:p>
        </w:tc>
        <w:tc>
          <w:tcPr>
            <w:tcW w:w="4771" w:type="pct"/>
            <w:noWrap w:val="0"/>
            <w:vAlign w:val="center"/>
          </w:tcPr>
          <w:p w14:paraId="1F4E2016">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u w:val="none"/>
              </w:rPr>
            </w:pPr>
            <w:r>
              <w:rPr>
                <w:rFonts w:hint="default" w:ascii="Times New Roman" w:hAnsi="Times New Roman" w:cs="Times New Roman"/>
                <w:bCs/>
                <w:color w:val="auto"/>
                <w:sz w:val="24"/>
                <w:u w:val="none"/>
              </w:rPr>
              <w:t>1、大气环境</w:t>
            </w:r>
          </w:p>
          <w:p w14:paraId="4E45E33D">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bCs/>
                <w:color w:val="auto"/>
                <w:sz w:val="24"/>
                <w:szCs w:val="24"/>
                <w:u w:val="none"/>
              </w:rPr>
            </w:pPr>
            <w:r>
              <w:rPr>
                <w:rFonts w:hint="default" w:ascii="Times New Roman" w:hAnsi="Times New Roman" w:cs="Times New Roman"/>
                <w:bCs/>
                <w:color w:val="auto"/>
                <w:sz w:val="24"/>
                <w:u w:val="none"/>
              </w:rPr>
              <w:t>本项目位于</w:t>
            </w:r>
            <w:r>
              <w:rPr>
                <w:rFonts w:hint="eastAsia" w:cs="Times New Roman"/>
                <w:bCs/>
                <w:color w:val="auto"/>
                <w:sz w:val="24"/>
                <w:u w:val="none"/>
                <w:lang w:val="en-US" w:eastAsia="zh-CN"/>
              </w:rPr>
              <w:t>南阳市镇平县乡村振兴创业园4号楼1楼南</w:t>
            </w:r>
            <w:r>
              <w:rPr>
                <w:rFonts w:hint="default" w:ascii="Times New Roman" w:hAnsi="Times New Roman" w:cs="Times New Roman"/>
                <w:bCs/>
                <w:color w:val="auto"/>
                <w:sz w:val="24"/>
                <w:u w:val="none"/>
              </w:rPr>
              <w:t>，</w:t>
            </w:r>
            <w:r>
              <w:rPr>
                <w:color w:val="auto"/>
                <w:sz w:val="24"/>
                <w:szCs w:val="24"/>
                <w:u w:val="none"/>
              </w:rPr>
              <w:t>根据环境空气质量功能区划分原则，项目所在区域为二类功能区，环境空气质量应执行《环境空气质量标准》（GB3095-2012）中的二级标准。</w:t>
            </w:r>
            <w:r>
              <w:rPr>
                <w:bCs/>
                <w:color w:val="auto"/>
                <w:sz w:val="24"/>
                <w:szCs w:val="24"/>
                <w:u w:val="none"/>
              </w:rPr>
              <w:t>本次评价采用《202</w:t>
            </w:r>
            <w:r>
              <w:rPr>
                <w:rFonts w:hint="eastAsia"/>
                <w:bCs/>
                <w:color w:val="auto"/>
                <w:sz w:val="24"/>
                <w:szCs w:val="24"/>
                <w:u w:val="none"/>
                <w:lang w:val="en-US" w:eastAsia="zh-CN"/>
              </w:rPr>
              <w:t>4</w:t>
            </w:r>
            <w:r>
              <w:rPr>
                <w:bCs/>
                <w:color w:val="auto"/>
                <w:sz w:val="24"/>
                <w:szCs w:val="24"/>
                <w:u w:val="none"/>
              </w:rPr>
              <w:t>年河南省南阳市生态环境质量报告》中</w:t>
            </w:r>
            <w:r>
              <w:rPr>
                <w:rFonts w:hint="eastAsia"/>
                <w:bCs/>
                <w:color w:val="auto"/>
                <w:sz w:val="24"/>
                <w:szCs w:val="24"/>
                <w:u w:val="none"/>
                <w:lang w:eastAsia="zh-CN"/>
              </w:rPr>
              <w:t>“</w:t>
            </w:r>
            <w:r>
              <w:rPr>
                <w:bCs/>
                <w:color w:val="auto"/>
                <w:sz w:val="24"/>
                <w:szCs w:val="24"/>
                <w:u w:val="none"/>
              </w:rPr>
              <w:t>202</w:t>
            </w:r>
            <w:r>
              <w:rPr>
                <w:rFonts w:hint="eastAsia"/>
                <w:bCs/>
                <w:color w:val="auto"/>
                <w:sz w:val="24"/>
                <w:szCs w:val="24"/>
                <w:u w:val="none"/>
                <w:lang w:val="en-US" w:eastAsia="zh-CN"/>
              </w:rPr>
              <w:t>4</w:t>
            </w:r>
            <w:r>
              <w:rPr>
                <w:bCs/>
                <w:color w:val="auto"/>
                <w:sz w:val="24"/>
                <w:szCs w:val="24"/>
                <w:u w:val="none"/>
              </w:rPr>
              <w:t>年南阳市各县（市、区）环境空气主要项目监测结果统计</w:t>
            </w:r>
            <w:r>
              <w:rPr>
                <w:rFonts w:hint="eastAsia"/>
                <w:bCs/>
                <w:color w:val="auto"/>
                <w:sz w:val="24"/>
                <w:szCs w:val="24"/>
                <w:u w:val="none"/>
                <w:lang w:eastAsia="zh-CN"/>
              </w:rPr>
              <w:t>”</w:t>
            </w:r>
            <w:r>
              <w:rPr>
                <w:bCs/>
                <w:color w:val="auto"/>
                <w:sz w:val="24"/>
                <w:szCs w:val="24"/>
                <w:u w:val="none"/>
              </w:rPr>
              <w:t>中镇平县的数据，详见下表。</w:t>
            </w:r>
          </w:p>
          <w:p w14:paraId="4704508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bCs/>
                <w:color w:val="auto"/>
                <w:sz w:val="24"/>
                <w:szCs w:val="24"/>
                <w:u w:val="none"/>
              </w:rPr>
            </w:pPr>
            <w:r>
              <w:rPr>
                <w:b/>
                <w:bCs/>
                <w:color w:val="auto"/>
                <w:sz w:val="24"/>
                <w:szCs w:val="24"/>
                <w:u w:val="none"/>
                <w:lang w:val="en-GB"/>
              </w:rPr>
              <w:t>表3-1</w:t>
            </w:r>
            <w:r>
              <w:rPr>
                <w:rFonts w:hint="eastAsia"/>
                <w:b/>
                <w:bCs/>
                <w:color w:val="auto"/>
                <w:sz w:val="24"/>
                <w:szCs w:val="24"/>
                <w:u w:val="none"/>
                <w:lang w:val="en-US" w:eastAsia="zh-CN"/>
              </w:rPr>
              <w:t xml:space="preserve">  </w:t>
            </w:r>
            <w:r>
              <w:rPr>
                <w:b/>
                <w:bCs/>
                <w:color w:val="auto"/>
                <w:sz w:val="24"/>
                <w:szCs w:val="24"/>
                <w:u w:val="none"/>
                <w:lang w:val="en-GB"/>
              </w:rPr>
              <w:t>镇平县202</w:t>
            </w:r>
            <w:r>
              <w:rPr>
                <w:rFonts w:hint="eastAsia"/>
                <w:b/>
                <w:bCs/>
                <w:color w:val="auto"/>
                <w:sz w:val="24"/>
                <w:szCs w:val="24"/>
                <w:u w:val="none"/>
                <w:lang w:val="en-US" w:eastAsia="zh-CN"/>
              </w:rPr>
              <w:t>4</w:t>
            </w:r>
            <w:r>
              <w:rPr>
                <w:b/>
                <w:bCs/>
                <w:color w:val="auto"/>
                <w:sz w:val="24"/>
                <w:szCs w:val="24"/>
                <w:u w:val="none"/>
                <w:lang w:val="en-GB"/>
              </w:rPr>
              <w:t>年环境空气监测及评价结果</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76"/>
              <w:gridCol w:w="3563"/>
              <w:gridCol w:w="1294"/>
              <w:gridCol w:w="1315"/>
              <w:gridCol w:w="1183"/>
              <w:gridCol w:w="1033"/>
            </w:tblGrid>
            <w:tr w14:paraId="042F8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noWrap w:val="0"/>
                  <w:vAlign w:val="center"/>
                </w:tcPr>
                <w:p w14:paraId="44830543">
                  <w:pPr>
                    <w:tabs>
                      <w:tab w:val="left" w:pos="1081"/>
                    </w:tabs>
                    <w:adjustRightInd w:val="0"/>
                    <w:snapToGrid w:val="0"/>
                    <w:jc w:val="center"/>
                    <w:rPr>
                      <w:bCs/>
                      <w:color w:val="auto"/>
                      <w:szCs w:val="21"/>
                      <w:u w:val="none"/>
                    </w:rPr>
                  </w:pPr>
                  <w:r>
                    <w:rPr>
                      <w:bCs/>
                      <w:color w:val="auto"/>
                      <w:szCs w:val="21"/>
                      <w:u w:val="none"/>
                    </w:rPr>
                    <w:t>污染物</w:t>
                  </w:r>
                </w:p>
              </w:tc>
              <w:tc>
                <w:tcPr>
                  <w:tcW w:w="1922" w:type="pct"/>
                  <w:tcBorders>
                    <w:top w:val="single" w:color="auto" w:sz="4" w:space="0"/>
                    <w:left w:val="nil"/>
                    <w:bottom w:val="single" w:color="auto" w:sz="4" w:space="0"/>
                    <w:right w:val="single" w:color="auto" w:sz="4" w:space="0"/>
                  </w:tcBorders>
                  <w:noWrap w:val="0"/>
                  <w:vAlign w:val="center"/>
                </w:tcPr>
                <w:p w14:paraId="16BDDE50">
                  <w:pPr>
                    <w:tabs>
                      <w:tab w:val="left" w:pos="1081"/>
                    </w:tabs>
                    <w:adjustRightInd w:val="0"/>
                    <w:snapToGrid w:val="0"/>
                    <w:jc w:val="center"/>
                    <w:rPr>
                      <w:bCs/>
                      <w:color w:val="auto"/>
                      <w:szCs w:val="21"/>
                      <w:u w:val="none"/>
                    </w:rPr>
                  </w:pPr>
                  <w:r>
                    <w:rPr>
                      <w:bCs/>
                      <w:color w:val="auto"/>
                      <w:szCs w:val="21"/>
                      <w:u w:val="none"/>
                    </w:rPr>
                    <w:t>年评价指标</w:t>
                  </w:r>
                </w:p>
              </w:tc>
              <w:tc>
                <w:tcPr>
                  <w:tcW w:w="698" w:type="pct"/>
                  <w:tcBorders>
                    <w:top w:val="single" w:color="auto" w:sz="4" w:space="0"/>
                    <w:left w:val="nil"/>
                    <w:bottom w:val="single" w:color="auto" w:sz="4" w:space="0"/>
                    <w:right w:val="single" w:color="auto" w:sz="4" w:space="0"/>
                  </w:tcBorders>
                  <w:noWrap w:val="0"/>
                  <w:vAlign w:val="center"/>
                </w:tcPr>
                <w:p w14:paraId="27D8807E">
                  <w:pPr>
                    <w:tabs>
                      <w:tab w:val="left" w:pos="1081"/>
                    </w:tabs>
                    <w:adjustRightInd w:val="0"/>
                    <w:snapToGrid w:val="0"/>
                    <w:jc w:val="center"/>
                    <w:rPr>
                      <w:bCs/>
                      <w:color w:val="auto"/>
                      <w:szCs w:val="21"/>
                      <w:u w:val="none"/>
                    </w:rPr>
                  </w:pPr>
                  <w:r>
                    <w:rPr>
                      <w:bCs/>
                      <w:color w:val="auto"/>
                      <w:szCs w:val="21"/>
                      <w:u w:val="none"/>
                    </w:rPr>
                    <w:t>现状浓度</w:t>
                  </w:r>
                </w:p>
                <w:p w14:paraId="6889D657">
                  <w:pPr>
                    <w:tabs>
                      <w:tab w:val="left" w:pos="1081"/>
                    </w:tabs>
                    <w:adjustRightInd w:val="0"/>
                    <w:snapToGrid w:val="0"/>
                    <w:jc w:val="center"/>
                    <w:rPr>
                      <w:bCs/>
                      <w:color w:val="auto"/>
                      <w:szCs w:val="21"/>
                      <w:u w:val="none"/>
                    </w:rPr>
                  </w:pPr>
                  <w:r>
                    <w:rPr>
                      <w:bCs/>
                      <w:color w:val="auto"/>
                      <w:szCs w:val="21"/>
                      <w:u w:val="none"/>
                    </w:rPr>
                    <w:t>（μg/m</w:t>
                  </w:r>
                  <w:r>
                    <w:rPr>
                      <w:bCs/>
                      <w:color w:val="auto"/>
                      <w:szCs w:val="21"/>
                      <w:u w:val="none"/>
                      <w:vertAlign w:val="superscript"/>
                    </w:rPr>
                    <w:t>3</w:t>
                  </w:r>
                  <w:r>
                    <w:rPr>
                      <w:bCs/>
                      <w:color w:val="auto"/>
                      <w:szCs w:val="21"/>
                      <w:u w:val="none"/>
                    </w:rPr>
                    <w:t>）</w:t>
                  </w:r>
                </w:p>
              </w:tc>
              <w:tc>
                <w:tcPr>
                  <w:tcW w:w="709" w:type="pct"/>
                  <w:tcBorders>
                    <w:top w:val="single" w:color="auto" w:sz="4" w:space="0"/>
                    <w:left w:val="nil"/>
                    <w:bottom w:val="single" w:color="auto" w:sz="4" w:space="0"/>
                    <w:right w:val="single" w:color="auto" w:sz="4" w:space="0"/>
                  </w:tcBorders>
                  <w:noWrap w:val="0"/>
                  <w:vAlign w:val="center"/>
                </w:tcPr>
                <w:p w14:paraId="41957BAD">
                  <w:pPr>
                    <w:tabs>
                      <w:tab w:val="left" w:pos="1081"/>
                    </w:tabs>
                    <w:adjustRightInd w:val="0"/>
                    <w:snapToGrid w:val="0"/>
                    <w:jc w:val="center"/>
                    <w:rPr>
                      <w:bCs/>
                      <w:color w:val="auto"/>
                      <w:szCs w:val="21"/>
                      <w:u w:val="none"/>
                    </w:rPr>
                  </w:pPr>
                  <w:r>
                    <w:rPr>
                      <w:bCs/>
                      <w:color w:val="auto"/>
                      <w:szCs w:val="21"/>
                      <w:u w:val="none"/>
                    </w:rPr>
                    <w:t>标准值</w:t>
                  </w:r>
                </w:p>
                <w:p w14:paraId="5328A900">
                  <w:pPr>
                    <w:tabs>
                      <w:tab w:val="left" w:pos="1081"/>
                    </w:tabs>
                    <w:adjustRightInd w:val="0"/>
                    <w:snapToGrid w:val="0"/>
                    <w:jc w:val="center"/>
                    <w:rPr>
                      <w:bCs/>
                      <w:color w:val="auto"/>
                      <w:szCs w:val="21"/>
                      <w:u w:val="none"/>
                    </w:rPr>
                  </w:pPr>
                  <w:r>
                    <w:rPr>
                      <w:bCs/>
                      <w:color w:val="auto"/>
                      <w:szCs w:val="21"/>
                      <w:u w:val="none"/>
                    </w:rPr>
                    <w:t>（μg/m</w:t>
                  </w:r>
                  <w:r>
                    <w:rPr>
                      <w:bCs/>
                      <w:color w:val="auto"/>
                      <w:szCs w:val="21"/>
                      <w:u w:val="none"/>
                      <w:vertAlign w:val="superscript"/>
                    </w:rPr>
                    <w:t>3</w:t>
                  </w:r>
                  <w:r>
                    <w:rPr>
                      <w:bCs/>
                      <w:color w:val="auto"/>
                      <w:szCs w:val="21"/>
                      <w:u w:val="none"/>
                    </w:rPr>
                    <w:t>）</w:t>
                  </w:r>
                </w:p>
              </w:tc>
              <w:tc>
                <w:tcPr>
                  <w:tcW w:w="638" w:type="pct"/>
                  <w:tcBorders>
                    <w:top w:val="single" w:color="auto" w:sz="4" w:space="0"/>
                    <w:left w:val="nil"/>
                    <w:bottom w:val="single" w:color="auto" w:sz="4" w:space="0"/>
                    <w:right w:val="single" w:color="auto" w:sz="4" w:space="0"/>
                  </w:tcBorders>
                  <w:noWrap w:val="0"/>
                  <w:vAlign w:val="center"/>
                </w:tcPr>
                <w:p w14:paraId="289A7827">
                  <w:pPr>
                    <w:tabs>
                      <w:tab w:val="left" w:pos="1081"/>
                    </w:tabs>
                    <w:adjustRightInd w:val="0"/>
                    <w:snapToGrid w:val="0"/>
                    <w:jc w:val="center"/>
                    <w:rPr>
                      <w:bCs/>
                      <w:color w:val="auto"/>
                      <w:szCs w:val="21"/>
                      <w:u w:val="none"/>
                    </w:rPr>
                  </w:pPr>
                  <w:r>
                    <w:rPr>
                      <w:bCs/>
                      <w:color w:val="auto"/>
                      <w:szCs w:val="21"/>
                      <w:u w:val="none"/>
                    </w:rPr>
                    <w:t>占标率%</w:t>
                  </w:r>
                </w:p>
              </w:tc>
              <w:tc>
                <w:tcPr>
                  <w:tcW w:w="557" w:type="pct"/>
                  <w:tcBorders>
                    <w:top w:val="single" w:color="auto" w:sz="4" w:space="0"/>
                    <w:left w:val="nil"/>
                    <w:bottom w:val="single" w:color="auto" w:sz="4" w:space="0"/>
                    <w:right w:val="single" w:color="auto" w:sz="4" w:space="0"/>
                  </w:tcBorders>
                  <w:noWrap w:val="0"/>
                  <w:vAlign w:val="center"/>
                </w:tcPr>
                <w:p w14:paraId="06467B3A">
                  <w:pPr>
                    <w:tabs>
                      <w:tab w:val="left" w:pos="1081"/>
                    </w:tabs>
                    <w:adjustRightInd w:val="0"/>
                    <w:snapToGrid w:val="0"/>
                    <w:jc w:val="center"/>
                    <w:rPr>
                      <w:bCs/>
                      <w:color w:val="auto"/>
                      <w:szCs w:val="21"/>
                      <w:u w:val="none"/>
                    </w:rPr>
                  </w:pPr>
                </w:p>
                <w:p w14:paraId="04888D76">
                  <w:pPr>
                    <w:tabs>
                      <w:tab w:val="left" w:pos="1081"/>
                    </w:tabs>
                    <w:adjustRightInd w:val="0"/>
                    <w:snapToGrid w:val="0"/>
                    <w:jc w:val="center"/>
                    <w:rPr>
                      <w:bCs/>
                      <w:color w:val="auto"/>
                      <w:szCs w:val="21"/>
                      <w:u w:val="none"/>
                    </w:rPr>
                  </w:pPr>
                  <w:r>
                    <w:rPr>
                      <w:bCs/>
                      <w:color w:val="auto"/>
                      <w:szCs w:val="21"/>
                      <w:u w:val="none"/>
                    </w:rPr>
                    <w:t>达标情况</w:t>
                  </w:r>
                </w:p>
              </w:tc>
            </w:tr>
            <w:tr w14:paraId="58366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672F476D">
                  <w:pPr>
                    <w:tabs>
                      <w:tab w:val="left" w:pos="1081"/>
                    </w:tabs>
                    <w:adjustRightInd w:val="0"/>
                    <w:snapToGrid w:val="0"/>
                    <w:jc w:val="center"/>
                    <w:rPr>
                      <w:bCs/>
                      <w:color w:val="auto"/>
                      <w:szCs w:val="21"/>
                      <w:u w:val="none"/>
                    </w:rPr>
                  </w:pPr>
                  <w:r>
                    <w:rPr>
                      <w:bCs/>
                      <w:color w:val="auto"/>
                      <w:szCs w:val="21"/>
                      <w:u w:val="none"/>
                    </w:rPr>
                    <w:t>SO</w:t>
                  </w:r>
                  <w:r>
                    <w:rPr>
                      <w:bCs/>
                      <w:color w:val="auto"/>
                      <w:szCs w:val="21"/>
                      <w:u w:val="none"/>
                      <w:vertAlign w:val="subscript"/>
                    </w:rPr>
                    <w:t>2</w:t>
                  </w:r>
                </w:p>
              </w:tc>
              <w:tc>
                <w:tcPr>
                  <w:tcW w:w="1922" w:type="pct"/>
                  <w:tcBorders>
                    <w:top w:val="single" w:color="auto" w:sz="4" w:space="0"/>
                    <w:left w:val="nil"/>
                    <w:bottom w:val="single" w:color="auto" w:sz="4" w:space="0"/>
                    <w:right w:val="single" w:color="auto" w:sz="4" w:space="0"/>
                  </w:tcBorders>
                  <w:noWrap w:val="0"/>
                  <w:vAlign w:val="center"/>
                </w:tcPr>
                <w:p w14:paraId="0EF9C5A6">
                  <w:pPr>
                    <w:tabs>
                      <w:tab w:val="left" w:pos="1081"/>
                    </w:tabs>
                    <w:adjustRightInd w:val="0"/>
                    <w:snapToGrid w:val="0"/>
                    <w:jc w:val="center"/>
                    <w:rPr>
                      <w:bCs/>
                      <w:color w:val="auto"/>
                      <w:szCs w:val="21"/>
                      <w:u w:val="none"/>
                    </w:rPr>
                  </w:pPr>
                  <w:r>
                    <w:rPr>
                      <w:bCs/>
                      <w:color w:val="auto"/>
                      <w:szCs w:val="21"/>
                      <w:u w:val="none"/>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72B2D43D">
                  <w:pPr>
                    <w:tabs>
                      <w:tab w:val="left" w:pos="1081"/>
                    </w:tabs>
                    <w:adjustRightInd w:val="0"/>
                    <w:snapToGrid w:val="0"/>
                    <w:jc w:val="center"/>
                    <w:rPr>
                      <w:rFonts w:hint="eastAsia" w:eastAsia="宋体"/>
                      <w:bCs/>
                      <w:color w:val="auto"/>
                      <w:szCs w:val="21"/>
                      <w:u w:val="none"/>
                      <w:lang w:eastAsia="zh-CN"/>
                    </w:rPr>
                  </w:pPr>
                  <w:r>
                    <w:rPr>
                      <w:rFonts w:hint="eastAsia"/>
                      <w:bCs/>
                      <w:color w:val="auto"/>
                      <w:szCs w:val="21"/>
                      <w:u w:val="none"/>
                      <w:lang w:val="en-US" w:eastAsia="zh-CN"/>
                    </w:rPr>
                    <w:t>7</w:t>
                  </w:r>
                </w:p>
              </w:tc>
              <w:tc>
                <w:tcPr>
                  <w:tcW w:w="709" w:type="pct"/>
                  <w:tcBorders>
                    <w:top w:val="single" w:color="auto" w:sz="4" w:space="0"/>
                    <w:left w:val="nil"/>
                    <w:bottom w:val="single" w:color="auto" w:sz="4" w:space="0"/>
                    <w:right w:val="single" w:color="auto" w:sz="4" w:space="0"/>
                  </w:tcBorders>
                  <w:noWrap w:val="0"/>
                  <w:vAlign w:val="center"/>
                </w:tcPr>
                <w:p w14:paraId="0FA741CD">
                  <w:pPr>
                    <w:tabs>
                      <w:tab w:val="left" w:pos="1081"/>
                    </w:tabs>
                    <w:adjustRightInd w:val="0"/>
                    <w:snapToGrid w:val="0"/>
                    <w:jc w:val="center"/>
                    <w:rPr>
                      <w:bCs/>
                      <w:color w:val="auto"/>
                      <w:szCs w:val="21"/>
                      <w:u w:val="none"/>
                    </w:rPr>
                  </w:pPr>
                  <w:r>
                    <w:rPr>
                      <w:bCs/>
                      <w:color w:val="auto"/>
                      <w:szCs w:val="21"/>
                      <w:u w:val="none"/>
                    </w:rPr>
                    <w:t>60</w:t>
                  </w:r>
                </w:p>
              </w:tc>
              <w:tc>
                <w:tcPr>
                  <w:tcW w:w="638" w:type="pct"/>
                  <w:tcBorders>
                    <w:top w:val="single" w:color="auto" w:sz="4" w:space="0"/>
                    <w:left w:val="nil"/>
                    <w:bottom w:val="single" w:color="auto" w:sz="4" w:space="0"/>
                    <w:right w:val="single" w:color="auto" w:sz="4" w:space="0"/>
                  </w:tcBorders>
                  <w:noWrap w:val="0"/>
                  <w:vAlign w:val="center"/>
                </w:tcPr>
                <w:p w14:paraId="6FF196FD">
                  <w:pPr>
                    <w:tabs>
                      <w:tab w:val="left" w:pos="1081"/>
                    </w:tabs>
                    <w:adjustRightInd w:val="0"/>
                    <w:snapToGrid w:val="0"/>
                    <w:jc w:val="center"/>
                    <w:rPr>
                      <w:bCs/>
                      <w:color w:val="auto"/>
                      <w:szCs w:val="21"/>
                      <w:u w:val="none"/>
                    </w:rPr>
                  </w:pPr>
                  <w:r>
                    <w:rPr>
                      <w:bCs/>
                      <w:color w:val="auto"/>
                      <w:szCs w:val="21"/>
                      <w:u w:val="none"/>
                    </w:rPr>
                    <w:t>8</w:t>
                  </w:r>
                </w:p>
              </w:tc>
              <w:tc>
                <w:tcPr>
                  <w:tcW w:w="557" w:type="pct"/>
                  <w:tcBorders>
                    <w:top w:val="single" w:color="auto" w:sz="4" w:space="0"/>
                    <w:left w:val="nil"/>
                    <w:bottom w:val="single" w:color="auto" w:sz="4" w:space="0"/>
                    <w:right w:val="single" w:color="auto" w:sz="4" w:space="0"/>
                  </w:tcBorders>
                  <w:noWrap w:val="0"/>
                  <w:vAlign w:val="center"/>
                </w:tcPr>
                <w:p w14:paraId="4C17322B">
                  <w:pPr>
                    <w:tabs>
                      <w:tab w:val="left" w:pos="1081"/>
                    </w:tabs>
                    <w:adjustRightInd w:val="0"/>
                    <w:snapToGrid w:val="0"/>
                    <w:jc w:val="center"/>
                    <w:rPr>
                      <w:bCs/>
                      <w:color w:val="auto"/>
                      <w:szCs w:val="21"/>
                      <w:u w:val="none"/>
                    </w:rPr>
                  </w:pPr>
                  <w:r>
                    <w:rPr>
                      <w:bCs/>
                      <w:color w:val="auto"/>
                      <w:szCs w:val="21"/>
                      <w:u w:val="none"/>
                    </w:rPr>
                    <w:t>达标</w:t>
                  </w:r>
                </w:p>
              </w:tc>
            </w:tr>
            <w:tr w14:paraId="366ED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4590A667">
                  <w:pPr>
                    <w:tabs>
                      <w:tab w:val="left" w:pos="1081"/>
                    </w:tabs>
                    <w:adjustRightInd w:val="0"/>
                    <w:snapToGrid w:val="0"/>
                    <w:jc w:val="center"/>
                    <w:rPr>
                      <w:bCs/>
                      <w:color w:val="auto"/>
                      <w:szCs w:val="21"/>
                      <w:u w:val="none"/>
                    </w:rPr>
                  </w:pPr>
                  <w:r>
                    <w:rPr>
                      <w:bCs/>
                      <w:color w:val="auto"/>
                      <w:szCs w:val="21"/>
                      <w:u w:val="none"/>
                    </w:rPr>
                    <w:t>NO</w:t>
                  </w:r>
                  <w:r>
                    <w:rPr>
                      <w:bCs/>
                      <w:color w:val="auto"/>
                      <w:szCs w:val="21"/>
                      <w:u w:val="none"/>
                      <w:vertAlign w:val="subscript"/>
                    </w:rPr>
                    <w:t>2</w:t>
                  </w:r>
                </w:p>
              </w:tc>
              <w:tc>
                <w:tcPr>
                  <w:tcW w:w="1922" w:type="pct"/>
                  <w:tcBorders>
                    <w:top w:val="single" w:color="auto" w:sz="4" w:space="0"/>
                    <w:left w:val="nil"/>
                    <w:bottom w:val="single" w:color="auto" w:sz="4" w:space="0"/>
                    <w:right w:val="single" w:color="auto" w:sz="4" w:space="0"/>
                  </w:tcBorders>
                  <w:noWrap w:val="0"/>
                  <w:vAlign w:val="center"/>
                </w:tcPr>
                <w:p w14:paraId="4791E3C8">
                  <w:pPr>
                    <w:tabs>
                      <w:tab w:val="left" w:pos="1081"/>
                    </w:tabs>
                    <w:adjustRightInd w:val="0"/>
                    <w:snapToGrid w:val="0"/>
                    <w:jc w:val="center"/>
                    <w:rPr>
                      <w:bCs/>
                      <w:color w:val="auto"/>
                      <w:szCs w:val="21"/>
                      <w:u w:val="none"/>
                    </w:rPr>
                  </w:pPr>
                  <w:r>
                    <w:rPr>
                      <w:bCs/>
                      <w:color w:val="auto"/>
                      <w:szCs w:val="21"/>
                      <w:u w:val="none"/>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4FCD43B1">
                  <w:pPr>
                    <w:tabs>
                      <w:tab w:val="left" w:pos="1081"/>
                    </w:tabs>
                    <w:adjustRightInd w:val="0"/>
                    <w:snapToGrid w:val="0"/>
                    <w:jc w:val="center"/>
                    <w:rPr>
                      <w:rFonts w:hint="eastAsia" w:eastAsia="宋体"/>
                      <w:bCs/>
                      <w:color w:val="auto"/>
                      <w:szCs w:val="21"/>
                      <w:u w:val="none"/>
                      <w:lang w:eastAsia="zh-CN"/>
                    </w:rPr>
                  </w:pPr>
                  <w:r>
                    <w:rPr>
                      <w:bCs/>
                      <w:color w:val="auto"/>
                      <w:szCs w:val="21"/>
                      <w:u w:val="none"/>
                    </w:rPr>
                    <w:t>1</w:t>
                  </w:r>
                  <w:r>
                    <w:rPr>
                      <w:rFonts w:hint="eastAsia"/>
                      <w:bCs/>
                      <w:color w:val="auto"/>
                      <w:szCs w:val="21"/>
                      <w:u w:val="none"/>
                      <w:lang w:val="en-US" w:eastAsia="zh-CN"/>
                    </w:rPr>
                    <w:t>4</w:t>
                  </w:r>
                </w:p>
              </w:tc>
              <w:tc>
                <w:tcPr>
                  <w:tcW w:w="709" w:type="pct"/>
                  <w:tcBorders>
                    <w:top w:val="single" w:color="auto" w:sz="4" w:space="0"/>
                    <w:left w:val="nil"/>
                    <w:bottom w:val="single" w:color="auto" w:sz="4" w:space="0"/>
                    <w:right w:val="single" w:color="auto" w:sz="4" w:space="0"/>
                  </w:tcBorders>
                  <w:noWrap w:val="0"/>
                  <w:vAlign w:val="center"/>
                </w:tcPr>
                <w:p w14:paraId="366CBCC5">
                  <w:pPr>
                    <w:tabs>
                      <w:tab w:val="left" w:pos="1081"/>
                    </w:tabs>
                    <w:adjustRightInd w:val="0"/>
                    <w:snapToGrid w:val="0"/>
                    <w:jc w:val="center"/>
                    <w:rPr>
                      <w:bCs/>
                      <w:color w:val="auto"/>
                      <w:szCs w:val="21"/>
                      <w:u w:val="none"/>
                    </w:rPr>
                  </w:pPr>
                  <w:r>
                    <w:rPr>
                      <w:bCs/>
                      <w:color w:val="auto"/>
                      <w:szCs w:val="21"/>
                      <w:u w:val="none"/>
                    </w:rPr>
                    <w:t>40</w:t>
                  </w:r>
                </w:p>
              </w:tc>
              <w:tc>
                <w:tcPr>
                  <w:tcW w:w="638" w:type="pct"/>
                  <w:tcBorders>
                    <w:top w:val="single" w:color="auto" w:sz="4" w:space="0"/>
                    <w:left w:val="nil"/>
                    <w:bottom w:val="single" w:color="auto" w:sz="4" w:space="0"/>
                    <w:right w:val="single" w:color="auto" w:sz="4" w:space="0"/>
                  </w:tcBorders>
                  <w:noWrap w:val="0"/>
                  <w:vAlign w:val="center"/>
                </w:tcPr>
                <w:p w14:paraId="394C69F3">
                  <w:pPr>
                    <w:tabs>
                      <w:tab w:val="left" w:pos="1081"/>
                    </w:tabs>
                    <w:adjustRightInd w:val="0"/>
                    <w:snapToGrid w:val="0"/>
                    <w:jc w:val="center"/>
                    <w:rPr>
                      <w:rFonts w:hint="default" w:eastAsia="宋体"/>
                      <w:bCs/>
                      <w:color w:val="auto"/>
                      <w:szCs w:val="21"/>
                      <w:u w:val="none"/>
                      <w:lang w:val="en-US" w:eastAsia="zh-CN"/>
                    </w:rPr>
                  </w:pPr>
                  <w:r>
                    <w:rPr>
                      <w:rFonts w:hint="eastAsia"/>
                      <w:bCs/>
                      <w:color w:val="auto"/>
                      <w:szCs w:val="21"/>
                      <w:u w:val="none"/>
                      <w:lang w:val="en-US" w:eastAsia="zh-CN"/>
                    </w:rPr>
                    <w:t>35</w:t>
                  </w:r>
                </w:p>
              </w:tc>
              <w:tc>
                <w:tcPr>
                  <w:tcW w:w="557" w:type="pct"/>
                  <w:tcBorders>
                    <w:top w:val="single" w:color="auto" w:sz="4" w:space="0"/>
                    <w:left w:val="nil"/>
                    <w:bottom w:val="single" w:color="auto" w:sz="4" w:space="0"/>
                    <w:right w:val="single" w:color="auto" w:sz="4" w:space="0"/>
                  </w:tcBorders>
                  <w:noWrap w:val="0"/>
                  <w:vAlign w:val="center"/>
                </w:tcPr>
                <w:p w14:paraId="766885B9">
                  <w:pPr>
                    <w:tabs>
                      <w:tab w:val="left" w:pos="1081"/>
                    </w:tabs>
                    <w:adjustRightInd w:val="0"/>
                    <w:snapToGrid w:val="0"/>
                    <w:jc w:val="center"/>
                    <w:rPr>
                      <w:bCs/>
                      <w:color w:val="auto"/>
                      <w:szCs w:val="21"/>
                      <w:u w:val="none"/>
                    </w:rPr>
                  </w:pPr>
                  <w:r>
                    <w:rPr>
                      <w:bCs/>
                      <w:color w:val="auto"/>
                      <w:szCs w:val="21"/>
                      <w:u w:val="none"/>
                    </w:rPr>
                    <w:t>达标</w:t>
                  </w:r>
                </w:p>
              </w:tc>
            </w:tr>
            <w:tr w14:paraId="4D62E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17E7977C">
                  <w:pPr>
                    <w:tabs>
                      <w:tab w:val="left" w:pos="1081"/>
                    </w:tabs>
                    <w:adjustRightInd w:val="0"/>
                    <w:snapToGrid w:val="0"/>
                    <w:jc w:val="center"/>
                    <w:rPr>
                      <w:bCs/>
                      <w:color w:val="auto"/>
                      <w:szCs w:val="21"/>
                      <w:u w:val="none"/>
                    </w:rPr>
                  </w:pPr>
                  <w:r>
                    <w:rPr>
                      <w:bCs/>
                      <w:color w:val="auto"/>
                      <w:szCs w:val="21"/>
                      <w:u w:val="none"/>
                    </w:rPr>
                    <w:t>PM</w:t>
                  </w:r>
                  <w:r>
                    <w:rPr>
                      <w:bCs/>
                      <w:color w:val="auto"/>
                      <w:szCs w:val="21"/>
                      <w:u w:val="none"/>
                      <w:vertAlign w:val="subscript"/>
                    </w:rPr>
                    <w:t>10</w:t>
                  </w:r>
                </w:p>
              </w:tc>
              <w:tc>
                <w:tcPr>
                  <w:tcW w:w="1922" w:type="pct"/>
                  <w:tcBorders>
                    <w:top w:val="single" w:color="auto" w:sz="4" w:space="0"/>
                    <w:left w:val="nil"/>
                    <w:bottom w:val="single" w:color="auto" w:sz="4" w:space="0"/>
                    <w:right w:val="single" w:color="auto" w:sz="4" w:space="0"/>
                  </w:tcBorders>
                  <w:noWrap w:val="0"/>
                  <w:vAlign w:val="center"/>
                </w:tcPr>
                <w:p w14:paraId="168600E1">
                  <w:pPr>
                    <w:tabs>
                      <w:tab w:val="left" w:pos="1081"/>
                    </w:tabs>
                    <w:adjustRightInd w:val="0"/>
                    <w:snapToGrid w:val="0"/>
                    <w:jc w:val="center"/>
                    <w:rPr>
                      <w:bCs/>
                      <w:color w:val="auto"/>
                      <w:szCs w:val="21"/>
                      <w:u w:val="none"/>
                    </w:rPr>
                  </w:pPr>
                  <w:r>
                    <w:rPr>
                      <w:bCs/>
                      <w:color w:val="auto"/>
                      <w:szCs w:val="21"/>
                      <w:u w:val="none"/>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50099599">
                  <w:pPr>
                    <w:tabs>
                      <w:tab w:val="left" w:pos="1081"/>
                    </w:tabs>
                    <w:adjustRightInd w:val="0"/>
                    <w:snapToGrid w:val="0"/>
                    <w:jc w:val="center"/>
                    <w:rPr>
                      <w:rFonts w:hint="default" w:eastAsia="宋体"/>
                      <w:bCs/>
                      <w:color w:val="auto"/>
                      <w:szCs w:val="21"/>
                      <w:u w:val="none"/>
                      <w:lang w:val="en-US" w:eastAsia="zh-CN"/>
                    </w:rPr>
                  </w:pPr>
                  <w:r>
                    <w:rPr>
                      <w:rFonts w:hint="eastAsia"/>
                      <w:bCs/>
                      <w:color w:val="auto"/>
                      <w:szCs w:val="21"/>
                      <w:u w:val="none"/>
                      <w:lang w:val="en-US" w:eastAsia="zh-CN"/>
                    </w:rPr>
                    <w:t>71</w:t>
                  </w:r>
                </w:p>
              </w:tc>
              <w:tc>
                <w:tcPr>
                  <w:tcW w:w="709" w:type="pct"/>
                  <w:tcBorders>
                    <w:top w:val="single" w:color="auto" w:sz="4" w:space="0"/>
                    <w:left w:val="nil"/>
                    <w:bottom w:val="single" w:color="auto" w:sz="4" w:space="0"/>
                    <w:right w:val="single" w:color="auto" w:sz="4" w:space="0"/>
                  </w:tcBorders>
                  <w:noWrap w:val="0"/>
                  <w:vAlign w:val="center"/>
                </w:tcPr>
                <w:p w14:paraId="43A614F2">
                  <w:pPr>
                    <w:tabs>
                      <w:tab w:val="left" w:pos="1081"/>
                    </w:tabs>
                    <w:adjustRightInd w:val="0"/>
                    <w:snapToGrid w:val="0"/>
                    <w:jc w:val="center"/>
                    <w:rPr>
                      <w:bCs/>
                      <w:color w:val="auto"/>
                      <w:szCs w:val="21"/>
                      <w:u w:val="none"/>
                    </w:rPr>
                  </w:pPr>
                  <w:r>
                    <w:rPr>
                      <w:bCs/>
                      <w:color w:val="auto"/>
                      <w:szCs w:val="21"/>
                      <w:u w:val="none"/>
                    </w:rPr>
                    <w:t>70</w:t>
                  </w:r>
                </w:p>
              </w:tc>
              <w:tc>
                <w:tcPr>
                  <w:tcW w:w="638" w:type="pct"/>
                  <w:tcBorders>
                    <w:top w:val="single" w:color="auto" w:sz="4" w:space="0"/>
                    <w:left w:val="nil"/>
                    <w:bottom w:val="single" w:color="auto" w:sz="4" w:space="0"/>
                    <w:right w:val="single" w:color="auto" w:sz="4" w:space="0"/>
                  </w:tcBorders>
                  <w:noWrap w:val="0"/>
                  <w:vAlign w:val="center"/>
                </w:tcPr>
                <w:p w14:paraId="5D06BD81">
                  <w:pPr>
                    <w:tabs>
                      <w:tab w:val="left" w:pos="1081"/>
                    </w:tabs>
                    <w:adjustRightInd w:val="0"/>
                    <w:snapToGrid w:val="0"/>
                    <w:jc w:val="center"/>
                    <w:rPr>
                      <w:rFonts w:hint="default" w:eastAsia="宋体"/>
                      <w:bCs/>
                      <w:color w:val="auto"/>
                      <w:szCs w:val="21"/>
                      <w:u w:val="none"/>
                      <w:lang w:val="en-US" w:eastAsia="zh-CN"/>
                    </w:rPr>
                  </w:pPr>
                  <w:r>
                    <w:rPr>
                      <w:rFonts w:hint="eastAsia"/>
                      <w:bCs/>
                      <w:color w:val="auto"/>
                      <w:szCs w:val="21"/>
                      <w:u w:val="none"/>
                      <w:lang w:val="en-US" w:eastAsia="zh-CN"/>
                    </w:rPr>
                    <w:t>101.4</w:t>
                  </w:r>
                </w:p>
              </w:tc>
              <w:tc>
                <w:tcPr>
                  <w:tcW w:w="557" w:type="pct"/>
                  <w:tcBorders>
                    <w:top w:val="single" w:color="auto" w:sz="4" w:space="0"/>
                    <w:left w:val="nil"/>
                    <w:bottom w:val="single" w:color="auto" w:sz="4" w:space="0"/>
                    <w:right w:val="single" w:color="auto" w:sz="4" w:space="0"/>
                  </w:tcBorders>
                  <w:noWrap w:val="0"/>
                  <w:vAlign w:val="center"/>
                </w:tcPr>
                <w:p w14:paraId="5CAE56A0">
                  <w:pPr>
                    <w:tabs>
                      <w:tab w:val="left" w:pos="1081"/>
                    </w:tabs>
                    <w:adjustRightInd w:val="0"/>
                    <w:snapToGrid w:val="0"/>
                    <w:jc w:val="center"/>
                    <w:rPr>
                      <w:bCs/>
                      <w:color w:val="auto"/>
                      <w:szCs w:val="21"/>
                      <w:u w:val="none"/>
                    </w:rPr>
                  </w:pPr>
                  <w:r>
                    <w:rPr>
                      <w:bCs/>
                      <w:color w:val="auto"/>
                      <w:szCs w:val="21"/>
                      <w:u w:val="none"/>
                    </w:rPr>
                    <w:t>超标</w:t>
                  </w:r>
                </w:p>
              </w:tc>
            </w:tr>
            <w:tr w14:paraId="70501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nil"/>
                    <w:left w:val="single" w:color="auto" w:sz="4" w:space="0"/>
                    <w:bottom w:val="single" w:color="auto" w:sz="4" w:space="0"/>
                    <w:right w:val="single" w:color="auto" w:sz="4" w:space="0"/>
                  </w:tcBorders>
                  <w:noWrap w:val="0"/>
                  <w:vAlign w:val="center"/>
                </w:tcPr>
                <w:p w14:paraId="778AE993">
                  <w:pPr>
                    <w:tabs>
                      <w:tab w:val="left" w:pos="1081"/>
                    </w:tabs>
                    <w:adjustRightInd w:val="0"/>
                    <w:snapToGrid w:val="0"/>
                    <w:jc w:val="center"/>
                    <w:rPr>
                      <w:bCs/>
                      <w:color w:val="auto"/>
                      <w:szCs w:val="21"/>
                      <w:u w:val="none"/>
                    </w:rPr>
                  </w:pPr>
                  <w:r>
                    <w:rPr>
                      <w:bCs/>
                      <w:color w:val="auto"/>
                      <w:szCs w:val="21"/>
                      <w:u w:val="none"/>
                    </w:rPr>
                    <w:t>PM</w:t>
                  </w:r>
                  <w:r>
                    <w:rPr>
                      <w:bCs/>
                      <w:color w:val="auto"/>
                      <w:szCs w:val="21"/>
                      <w:u w:val="none"/>
                      <w:vertAlign w:val="subscript"/>
                    </w:rPr>
                    <w:t>2.5</w:t>
                  </w:r>
                </w:p>
              </w:tc>
              <w:tc>
                <w:tcPr>
                  <w:tcW w:w="1922" w:type="pct"/>
                  <w:tcBorders>
                    <w:top w:val="single" w:color="auto" w:sz="4" w:space="0"/>
                    <w:left w:val="nil"/>
                    <w:bottom w:val="single" w:color="auto" w:sz="4" w:space="0"/>
                    <w:right w:val="single" w:color="auto" w:sz="4" w:space="0"/>
                  </w:tcBorders>
                  <w:noWrap w:val="0"/>
                  <w:vAlign w:val="center"/>
                </w:tcPr>
                <w:p w14:paraId="27689971">
                  <w:pPr>
                    <w:tabs>
                      <w:tab w:val="left" w:pos="1081"/>
                    </w:tabs>
                    <w:adjustRightInd w:val="0"/>
                    <w:snapToGrid w:val="0"/>
                    <w:jc w:val="center"/>
                    <w:rPr>
                      <w:bCs/>
                      <w:color w:val="auto"/>
                      <w:szCs w:val="21"/>
                      <w:u w:val="none"/>
                    </w:rPr>
                  </w:pPr>
                  <w:r>
                    <w:rPr>
                      <w:bCs/>
                      <w:color w:val="auto"/>
                      <w:szCs w:val="21"/>
                      <w:u w:val="none"/>
                    </w:rPr>
                    <w:t>年平均质量浓度</w:t>
                  </w:r>
                </w:p>
              </w:tc>
              <w:tc>
                <w:tcPr>
                  <w:tcW w:w="698" w:type="pct"/>
                  <w:tcBorders>
                    <w:top w:val="single" w:color="auto" w:sz="4" w:space="0"/>
                    <w:left w:val="nil"/>
                    <w:bottom w:val="single" w:color="auto" w:sz="4" w:space="0"/>
                    <w:right w:val="single" w:color="auto" w:sz="4" w:space="0"/>
                  </w:tcBorders>
                  <w:noWrap w:val="0"/>
                  <w:vAlign w:val="center"/>
                </w:tcPr>
                <w:p w14:paraId="257243A9">
                  <w:pPr>
                    <w:tabs>
                      <w:tab w:val="left" w:pos="1081"/>
                    </w:tabs>
                    <w:adjustRightInd w:val="0"/>
                    <w:snapToGrid w:val="0"/>
                    <w:jc w:val="center"/>
                    <w:rPr>
                      <w:rFonts w:hint="default" w:eastAsia="宋体"/>
                      <w:bCs/>
                      <w:color w:val="auto"/>
                      <w:szCs w:val="21"/>
                      <w:u w:val="none"/>
                      <w:lang w:val="en-US" w:eastAsia="zh-CN"/>
                    </w:rPr>
                  </w:pPr>
                  <w:r>
                    <w:rPr>
                      <w:rFonts w:hint="eastAsia"/>
                      <w:bCs/>
                      <w:color w:val="auto"/>
                      <w:szCs w:val="21"/>
                      <w:u w:val="none"/>
                      <w:lang w:val="en-US" w:eastAsia="zh-CN"/>
                    </w:rPr>
                    <w:t>41</w:t>
                  </w:r>
                </w:p>
              </w:tc>
              <w:tc>
                <w:tcPr>
                  <w:tcW w:w="709" w:type="pct"/>
                  <w:tcBorders>
                    <w:top w:val="single" w:color="auto" w:sz="4" w:space="0"/>
                    <w:left w:val="nil"/>
                    <w:bottom w:val="single" w:color="auto" w:sz="4" w:space="0"/>
                    <w:right w:val="single" w:color="auto" w:sz="4" w:space="0"/>
                  </w:tcBorders>
                  <w:noWrap w:val="0"/>
                  <w:vAlign w:val="center"/>
                </w:tcPr>
                <w:p w14:paraId="53EE0C99">
                  <w:pPr>
                    <w:tabs>
                      <w:tab w:val="left" w:pos="1081"/>
                    </w:tabs>
                    <w:adjustRightInd w:val="0"/>
                    <w:snapToGrid w:val="0"/>
                    <w:jc w:val="center"/>
                    <w:rPr>
                      <w:bCs/>
                      <w:color w:val="auto"/>
                      <w:szCs w:val="21"/>
                      <w:u w:val="none"/>
                    </w:rPr>
                  </w:pPr>
                  <w:r>
                    <w:rPr>
                      <w:bCs/>
                      <w:color w:val="auto"/>
                      <w:szCs w:val="21"/>
                      <w:u w:val="none"/>
                    </w:rPr>
                    <w:t>35</w:t>
                  </w:r>
                </w:p>
              </w:tc>
              <w:tc>
                <w:tcPr>
                  <w:tcW w:w="638" w:type="pct"/>
                  <w:tcBorders>
                    <w:top w:val="single" w:color="auto" w:sz="4" w:space="0"/>
                    <w:left w:val="nil"/>
                    <w:bottom w:val="single" w:color="auto" w:sz="4" w:space="0"/>
                    <w:right w:val="single" w:color="auto" w:sz="4" w:space="0"/>
                  </w:tcBorders>
                  <w:noWrap w:val="0"/>
                  <w:vAlign w:val="center"/>
                </w:tcPr>
                <w:p w14:paraId="2A969500">
                  <w:pPr>
                    <w:tabs>
                      <w:tab w:val="left" w:pos="1081"/>
                    </w:tabs>
                    <w:adjustRightInd w:val="0"/>
                    <w:snapToGrid w:val="0"/>
                    <w:jc w:val="center"/>
                    <w:rPr>
                      <w:rFonts w:hint="default" w:eastAsia="宋体"/>
                      <w:bCs/>
                      <w:color w:val="auto"/>
                      <w:szCs w:val="21"/>
                      <w:u w:val="none"/>
                      <w:lang w:val="en-US" w:eastAsia="zh-CN"/>
                    </w:rPr>
                  </w:pPr>
                  <w:r>
                    <w:rPr>
                      <w:rFonts w:hint="eastAsia"/>
                      <w:bCs/>
                      <w:color w:val="auto"/>
                      <w:szCs w:val="21"/>
                      <w:u w:val="none"/>
                      <w:lang w:val="en-US" w:eastAsia="zh-CN"/>
                    </w:rPr>
                    <w:t>117.1</w:t>
                  </w:r>
                </w:p>
              </w:tc>
              <w:tc>
                <w:tcPr>
                  <w:tcW w:w="557" w:type="pct"/>
                  <w:tcBorders>
                    <w:top w:val="single" w:color="auto" w:sz="4" w:space="0"/>
                    <w:left w:val="nil"/>
                    <w:bottom w:val="single" w:color="auto" w:sz="4" w:space="0"/>
                    <w:right w:val="single" w:color="auto" w:sz="4" w:space="0"/>
                  </w:tcBorders>
                  <w:noWrap w:val="0"/>
                  <w:vAlign w:val="center"/>
                </w:tcPr>
                <w:p w14:paraId="50EDDA26">
                  <w:pPr>
                    <w:tabs>
                      <w:tab w:val="left" w:pos="1081"/>
                    </w:tabs>
                    <w:adjustRightInd w:val="0"/>
                    <w:snapToGrid w:val="0"/>
                    <w:jc w:val="center"/>
                    <w:rPr>
                      <w:bCs/>
                      <w:color w:val="auto"/>
                      <w:szCs w:val="21"/>
                      <w:u w:val="none"/>
                    </w:rPr>
                  </w:pPr>
                  <w:r>
                    <w:rPr>
                      <w:bCs/>
                      <w:color w:val="auto"/>
                      <w:szCs w:val="21"/>
                      <w:u w:val="none"/>
                    </w:rPr>
                    <w:t>超标</w:t>
                  </w:r>
                </w:p>
              </w:tc>
            </w:tr>
            <w:tr w14:paraId="228E9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noWrap w:val="0"/>
                  <w:vAlign w:val="center"/>
                </w:tcPr>
                <w:p w14:paraId="11F4ACEC">
                  <w:pPr>
                    <w:tabs>
                      <w:tab w:val="left" w:pos="1081"/>
                    </w:tabs>
                    <w:adjustRightInd w:val="0"/>
                    <w:snapToGrid w:val="0"/>
                    <w:jc w:val="center"/>
                    <w:rPr>
                      <w:bCs/>
                      <w:color w:val="auto"/>
                      <w:szCs w:val="21"/>
                      <w:u w:val="none"/>
                    </w:rPr>
                  </w:pPr>
                  <w:r>
                    <w:rPr>
                      <w:bCs/>
                      <w:color w:val="auto"/>
                      <w:szCs w:val="21"/>
                      <w:u w:val="none"/>
                    </w:rPr>
                    <w:t>CO</w:t>
                  </w:r>
                </w:p>
              </w:tc>
              <w:tc>
                <w:tcPr>
                  <w:tcW w:w="1922" w:type="pct"/>
                  <w:tcBorders>
                    <w:top w:val="single" w:color="auto" w:sz="4" w:space="0"/>
                    <w:left w:val="nil"/>
                    <w:bottom w:val="single" w:color="auto" w:sz="4" w:space="0"/>
                    <w:right w:val="single" w:color="auto" w:sz="4" w:space="0"/>
                  </w:tcBorders>
                  <w:noWrap w:val="0"/>
                  <w:vAlign w:val="center"/>
                </w:tcPr>
                <w:p w14:paraId="497EE1FE">
                  <w:pPr>
                    <w:tabs>
                      <w:tab w:val="left" w:pos="1081"/>
                    </w:tabs>
                    <w:adjustRightInd w:val="0"/>
                    <w:snapToGrid w:val="0"/>
                    <w:jc w:val="center"/>
                    <w:rPr>
                      <w:bCs/>
                      <w:color w:val="auto"/>
                      <w:szCs w:val="21"/>
                      <w:u w:val="none"/>
                    </w:rPr>
                  </w:pPr>
                  <w:r>
                    <w:rPr>
                      <w:bCs/>
                      <w:color w:val="auto"/>
                      <w:szCs w:val="21"/>
                      <w:u w:val="none"/>
                    </w:rPr>
                    <w:t>24h 平均第95百分位数</w:t>
                  </w:r>
                </w:p>
              </w:tc>
              <w:tc>
                <w:tcPr>
                  <w:tcW w:w="698" w:type="pct"/>
                  <w:tcBorders>
                    <w:top w:val="single" w:color="auto" w:sz="4" w:space="0"/>
                    <w:left w:val="nil"/>
                    <w:bottom w:val="single" w:color="auto" w:sz="4" w:space="0"/>
                    <w:right w:val="single" w:color="auto" w:sz="4" w:space="0"/>
                  </w:tcBorders>
                  <w:noWrap w:val="0"/>
                  <w:vAlign w:val="center"/>
                </w:tcPr>
                <w:p w14:paraId="1F1342C4">
                  <w:pPr>
                    <w:tabs>
                      <w:tab w:val="left" w:pos="1081"/>
                    </w:tabs>
                    <w:adjustRightInd w:val="0"/>
                    <w:snapToGrid w:val="0"/>
                    <w:jc w:val="center"/>
                    <w:rPr>
                      <w:bCs/>
                      <w:color w:val="auto"/>
                      <w:szCs w:val="21"/>
                      <w:u w:val="none"/>
                    </w:rPr>
                  </w:pPr>
                  <w:r>
                    <w:rPr>
                      <w:bCs/>
                      <w:color w:val="auto"/>
                      <w:szCs w:val="21"/>
                      <w:u w:val="none"/>
                    </w:rPr>
                    <w:t>1100</w:t>
                  </w:r>
                </w:p>
              </w:tc>
              <w:tc>
                <w:tcPr>
                  <w:tcW w:w="709" w:type="pct"/>
                  <w:tcBorders>
                    <w:top w:val="single" w:color="auto" w:sz="4" w:space="0"/>
                    <w:left w:val="nil"/>
                    <w:bottom w:val="single" w:color="auto" w:sz="4" w:space="0"/>
                    <w:right w:val="single" w:color="auto" w:sz="4" w:space="0"/>
                  </w:tcBorders>
                  <w:noWrap w:val="0"/>
                  <w:vAlign w:val="center"/>
                </w:tcPr>
                <w:p w14:paraId="0E9C4C46">
                  <w:pPr>
                    <w:tabs>
                      <w:tab w:val="left" w:pos="1081"/>
                    </w:tabs>
                    <w:adjustRightInd w:val="0"/>
                    <w:snapToGrid w:val="0"/>
                    <w:jc w:val="center"/>
                    <w:rPr>
                      <w:bCs/>
                      <w:color w:val="auto"/>
                      <w:szCs w:val="21"/>
                      <w:u w:val="none"/>
                    </w:rPr>
                  </w:pPr>
                  <w:r>
                    <w:rPr>
                      <w:bCs/>
                      <w:color w:val="auto"/>
                      <w:szCs w:val="21"/>
                      <w:u w:val="none"/>
                    </w:rPr>
                    <w:t>4000</w:t>
                  </w:r>
                </w:p>
              </w:tc>
              <w:tc>
                <w:tcPr>
                  <w:tcW w:w="638" w:type="pct"/>
                  <w:tcBorders>
                    <w:top w:val="single" w:color="auto" w:sz="4" w:space="0"/>
                    <w:left w:val="nil"/>
                    <w:bottom w:val="single" w:color="auto" w:sz="4" w:space="0"/>
                    <w:right w:val="single" w:color="auto" w:sz="4" w:space="0"/>
                  </w:tcBorders>
                  <w:noWrap w:val="0"/>
                  <w:vAlign w:val="center"/>
                </w:tcPr>
                <w:p w14:paraId="346127E1">
                  <w:pPr>
                    <w:tabs>
                      <w:tab w:val="left" w:pos="1081"/>
                    </w:tabs>
                    <w:adjustRightInd w:val="0"/>
                    <w:snapToGrid w:val="0"/>
                    <w:jc w:val="center"/>
                    <w:rPr>
                      <w:bCs/>
                      <w:color w:val="auto"/>
                      <w:szCs w:val="21"/>
                      <w:u w:val="none"/>
                    </w:rPr>
                  </w:pPr>
                  <w:r>
                    <w:rPr>
                      <w:bCs/>
                      <w:color w:val="auto"/>
                      <w:szCs w:val="21"/>
                      <w:u w:val="none"/>
                    </w:rPr>
                    <w:t>27.5</w:t>
                  </w:r>
                </w:p>
              </w:tc>
              <w:tc>
                <w:tcPr>
                  <w:tcW w:w="557" w:type="pct"/>
                  <w:tcBorders>
                    <w:top w:val="single" w:color="auto" w:sz="4" w:space="0"/>
                    <w:left w:val="nil"/>
                    <w:bottom w:val="single" w:color="auto" w:sz="4" w:space="0"/>
                    <w:right w:val="single" w:color="auto" w:sz="4" w:space="0"/>
                  </w:tcBorders>
                  <w:noWrap w:val="0"/>
                  <w:vAlign w:val="center"/>
                </w:tcPr>
                <w:p w14:paraId="4F72D270">
                  <w:pPr>
                    <w:tabs>
                      <w:tab w:val="left" w:pos="1081"/>
                    </w:tabs>
                    <w:adjustRightInd w:val="0"/>
                    <w:snapToGrid w:val="0"/>
                    <w:jc w:val="center"/>
                    <w:rPr>
                      <w:bCs/>
                      <w:color w:val="auto"/>
                      <w:szCs w:val="21"/>
                      <w:u w:val="none"/>
                    </w:rPr>
                  </w:pPr>
                  <w:r>
                    <w:rPr>
                      <w:bCs/>
                      <w:color w:val="auto"/>
                      <w:szCs w:val="21"/>
                      <w:u w:val="none"/>
                    </w:rPr>
                    <w:t>达标</w:t>
                  </w:r>
                </w:p>
              </w:tc>
            </w:tr>
            <w:tr w14:paraId="5408F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3" w:type="pct"/>
                  <w:tcBorders>
                    <w:top w:val="single" w:color="auto" w:sz="4" w:space="0"/>
                    <w:left w:val="single" w:color="auto" w:sz="4" w:space="0"/>
                    <w:bottom w:val="single" w:color="auto" w:sz="4" w:space="0"/>
                    <w:right w:val="single" w:color="auto" w:sz="4" w:space="0"/>
                  </w:tcBorders>
                  <w:noWrap w:val="0"/>
                  <w:vAlign w:val="center"/>
                </w:tcPr>
                <w:p w14:paraId="4B8172BA">
                  <w:pPr>
                    <w:tabs>
                      <w:tab w:val="left" w:pos="1081"/>
                    </w:tabs>
                    <w:adjustRightInd w:val="0"/>
                    <w:snapToGrid w:val="0"/>
                    <w:jc w:val="center"/>
                    <w:rPr>
                      <w:bCs/>
                      <w:color w:val="auto"/>
                      <w:szCs w:val="21"/>
                      <w:u w:val="none"/>
                    </w:rPr>
                  </w:pPr>
                  <w:r>
                    <w:rPr>
                      <w:bCs/>
                      <w:color w:val="auto"/>
                      <w:szCs w:val="21"/>
                      <w:u w:val="none"/>
                    </w:rPr>
                    <w:t>O</w:t>
                  </w:r>
                  <w:r>
                    <w:rPr>
                      <w:bCs/>
                      <w:color w:val="auto"/>
                      <w:szCs w:val="21"/>
                      <w:u w:val="none"/>
                      <w:vertAlign w:val="subscript"/>
                    </w:rPr>
                    <w:t>3</w:t>
                  </w:r>
                </w:p>
              </w:tc>
              <w:tc>
                <w:tcPr>
                  <w:tcW w:w="1922" w:type="pct"/>
                  <w:tcBorders>
                    <w:top w:val="single" w:color="auto" w:sz="4" w:space="0"/>
                    <w:left w:val="nil"/>
                    <w:bottom w:val="single" w:color="auto" w:sz="4" w:space="0"/>
                    <w:right w:val="single" w:color="auto" w:sz="4" w:space="0"/>
                  </w:tcBorders>
                  <w:noWrap w:val="0"/>
                  <w:vAlign w:val="center"/>
                </w:tcPr>
                <w:p w14:paraId="6502C172">
                  <w:pPr>
                    <w:tabs>
                      <w:tab w:val="left" w:pos="1081"/>
                    </w:tabs>
                    <w:adjustRightInd w:val="0"/>
                    <w:snapToGrid w:val="0"/>
                    <w:jc w:val="center"/>
                    <w:rPr>
                      <w:bCs/>
                      <w:color w:val="auto"/>
                      <w:szCs w:val="21"/>
                      <w:u w:val="none"/>
                    </w:rPr>
                  </w:pPr>
                  <w:r>
                    <w:rPr>
                      <w:bCs/>
                      <w:color w:val="auto"/>
                      <w:szCs w:val="21"/>
                      <w:u w:val="none"/>
                    </w:rPr>
                    <w:t>日最大8h平均第90百分位数</w:t>
                  </w:r>
                </w:p>
              </w:tc>
              <w:tc>
                <w:tcPr>
                  <w:tcW w:w="698" w:type="pct"/>
                  <w:tcBorders>
                    <w:top w:val="single" w:color="auto" w:sz="4" w:space="0"/>
                    <w:left w:val="nil"/>
                    <w:bottom w:val="single" w:color="auto" w:sz="4" w:space="0"/>
                    <w:right w:val="single" w:color="auto" w:sz="4" w:space="0"/>
                  </w:tcBorders>
                  <w:noWrap w:val="0"/>
                  <w:vAlign w:val="center"/>
                </w:tcPr>
                <w:p w14:paraId="40DAA83C">
                  <w:pPr>
                    <w:tabs>
                      <w:tab w:val="left" w:pos="1081"/>
                    </w:tabs>
                    <w:adjustRightInd w:val="0"/>
                    <w:snapToGrid w:val="0"/>
                    <w:jc w:val="center"/>
                    <w:rPr>
                      <w:bCs/>
                      <w:color w:val="auto"/>
                      <w:szCs w:val="21"/>
                      <w:u w:val="none"/>
                    </w:rPr>
                  </w:pPr>
                  <w:r>
                    <w:rPr>
                      <w:bCs/>
                      <w:color w:val="auto"/>
                      <w:szCs w:val="21"/>
                      <w:u w:val="none"/>
                    </w:rPr>
                    <w:t>153</w:t>
                  </w:r>
                </w:p>
              </w:tc>
              <w:tc>
                <w:tcPr>
                  <w:tcW w:w="709" w:type="pct"/>
                  <w:tcBorders>
                    <w:top w:val="single" w:color="auto" w:sz="4" w:space="0"/>
                    <w:left w:val="nil"/>
                    <w:bottom w:val="single" w:color="auto" w:sz="4" w:space="0"/>
                    <w:right w:val="single" w:color="auto" w:sz="4" w:space="0"/>
                  </w:tcBorders>
                  <w:noWrap w:val="0"/>
                  <w:vAlign w:val="center"/>
                </w:tcPr>
                <w:p w14:paraId="007F1970">
                  <w:pPr>
                    <w:tabs>
                      <w:tab w:val="left" w:pos="1081"/>
                    </w:tabs>
                    <w:adjustRightInd w:val="0"/>
                    <w:snapToGrid w:val="0"/>
                    <w:jc w:val="center"/>
                    <w:rPr>
                      <w:bCs/>
                      <w:color w:val="auto"/>
                      <w:szCs w:val="21"/>
                      <w:u w:val="none"/>
                    </w:rPr>
                  </w:pPr>
                  <w:r>
                    <w:rPr>
                      <w:bCs/>
                      <w:color w:val="auto"/>
                      <w:szCs w:val="21"/>
                      <w:u w:val="none"/>
                    </w:rPr>
                    <w:t>160</w:t>
                  </w:r>
                </w:p>
              </w:tc>
              <w:tc>
                <w:tcPr>
                  <w:tcW w:w="638" w:type="pct"/>
                  <w:tcBorders>
                    <w:top w:val="single" w:color="auto" w:sz="4" w:space="0"/>
                    <w:left w:val="nil"/>
                    <w:bottom w:val="single" w:color="auto" w:sz="4" w:space="0"/>
                    <w:right w:val="single" w:color="auto" w:sz="4" w:space="0"/>
                  </w:tcBorders>
                  <w:noWrap w:val="0"/>
                  <w:vAlign w:val="center"/>
                </w:tcPr>
                <w:p w14:paraId="29F6793D">
                  <w:pPr>
                    <w:tabs>
                      <w:tab w:val="left" w:pos="1081"/>
                    </w:tabs>
                    <w:adjustRightInd w:val="0"/>
                    <w:snapToGrid w:val="0"/>
                    <w:jc w:val="center"/>
                    <w:rPr>
                      <w:bCs/>
                      <w:color w:val="auto"/>
                      <w:szCs w:val="21"/>
                      <w:u w:val="none"/>
                    </w:rPr>
                  </w:pPr>
                  <w:r>
                    <w:rPr>
                      <w:bCs/>
                      <w:color w:val="auto"/>
                      <w:szCs w:val="21"/>
                      <w:u w:val="none"/>
                    </w:rPr>
                    <w:t>95.6</w:t>
                  </w:r>
                </w:p>
              </w:tc>
              <w:tc>
                <w:tcPr>
                  <w:tcW w:w="557" w:type="pct"/>
                  <w:tcBorders>
                    <w:top w:val="single" w:color="auto" w:sz="4" w:space="0"/>
                    <w:left w:val="nil"/>
                    <w:bottom w:val="single" w:color="auto" w:sz="4" w:space="0"/>
                    <w:right w:val="single" w:color="auto" w:sz="4" w:space="0"/>
                  </w:tcBorders>
                  <w:noWrap w:val="0"/>
                  <w:vAlign w:val="center"/>
                </w:tcPr>
                <w:p w14:paraId="1287FE13">
                  <w:pPr>
                    <w:tabs>
                      <w:tab w:val="left" w:pos="1081"/>
                    </w:tabs>
                    <w:adjustRightInd w:val="0"/>
                    <w:snapToGrid w:val="0"/>
                    <w:jc w:val="center"/>
                    <w:rPr>
                      <w:bCs/>
                      <w:color w:val="auto"/>
                      <w:szCs w:val="21"/>
                      <w:u w:val="none"/>
                    </w:rPr>
                  </w:pPr>
                  <w:r>
                    <w:rPr>
                      <w:bCs/>
                      <w:color w:val="auto"/>
                      <w:szCs w:val="21"/>
                      <w:u w:val="none"/>
                    </w:rPr>
                    <w:t>达标</w:t>
                  </w:r>
                </w:p>
              </w:tc>
            </w:tr>
          </w:tbl>
          <w:p w14:paraId="117CECA5">
            <w:pPr>
              <w:keepNext w:val="0"/>
              <w:keepLines w:val="0"/>
              <w:pageBreakBefore w:val="0"/>
              <w:widowControl w:val="0"/>
              <w:kinsoku/>
              <w:wordWrap/>
              <w:overflowPunct/>
              <w:topLinePunct w:val="0"/>
              <w:autoSpaceDE/>
              <w:autoSpaceDN/>
              <w:bidi w:val="0"/>
              <w:adjustRightInd/>
              <w:snapToGrid/>
              <w:spacing w:line="360" w:lineRule="auto"/>
              <w:ind w:firstLine="480" w:firstLineChars="200"/>
              <w:rPr>
                <w:color w:val="auto"/>
                <w:sz w:val="24"/>
                <w:szCs w:val="24"/>
                <w:u w:val="none"/>
              </w:rPr>
            </w:pPr>
            <w:r>
              <w:rPr>
                <w:bCs/>
                <w:color w:val="auto"/>
                <w:sz w:val="24"/>
                <w:szCs w:val="24"/>
                <w:u w:val="none"/>
              </w:rPr>
              <w:t>由上表可知，镇平县六项基本污染物除PM</w:t>
            </w:r>
            <w:r>
              <w:rPr>
                <w:bCs/>
                <w:color w:val="auto"/>
                <w:sz w:val="24"/>
                <w:szCs w:val="24"/>
                <w:u w:val="none"/>
                <w:vertAlign w:val="subscript"/>
              </w:rPr>
              <w:t>10</w:t>
            </w:r>
            <w:r>
              <w:rPr>
                <w:bCs/>
                <w:color w:val="auto"/>
                <w:sz w:val="24"/>
                <w:szCs w:val="24"/>
                <w:u w:val="none"/>
              </w:rPr>
              <w:t>、PM</w:t>
            </w:r>
            <w:r>
              <w:rPr>
                <w:bCs/>
                <w:color w:val="auto"/>
                <w:sz w:val="24"/>
                <w:szCs w:val="24"/>
                <w:u w:val="none"/>
                <w:vertAlign w:val="subscript"/>
              </w:rPr>
              <w:t>2.5</w:t>
            </w:r>
            <w:r>
              <w:rPr>
                <w:bCs/>
                <w:color w:val="auto"/>
                <w:sz w:val="24"/>
                <w:szCs w:val="24"/>
                <w:u w:val="none"/>
              </w:rPr>
              <w:t>超标外，其他评价指标均满足《环境空气质量标准》（GB3095-2012）二级标准要求，项目所在区域环境空气质量为不达标区。</w:t>
            </w:r>
          </w:p>
          <w:p w14:paraId="714EE2D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rPr>
              <w:t>为此，南阳市生态环境保护委员会办公室已经制定了《南阳市202</w:t>
            </w:r>
            <w:r>
              <w:rPr>
                <w:rFonts w:hint="eastAsia" w:cs="Times New Roman"/>
                <w:bCs/>
                <w:color w:val="auto"/>
                <w:sz w:val="24"/>
                <w:szCs w:val="24"/>
                <w:highlight w:val="none"/>
                <w:u w:val="none" w:color="auto"/>
                <w:lang w:val="en-US" w:eastAsia="zh-CN"/>
              </w:rPr>
              <w:t>5</w:t>
            </w:r>
            <w:r>
              <w:rPr>
                <w:rFonts w:hint="default" w:ascii="Times New Roman" w:hAnsi="Times New Roman" w:eastAsia="宋体" w:cs="Times New Roman"/>
                <w:bCs/>
                <w:color w:val="auto"/>
                <w:sz w:val="24"/>
                <w:szCs w:val="24"/>
                <w:highlight w:val="none"/>
                <w:u w:val="none" w:color="auto"/>
              </w:rPr>
              <w:t>年蓝天保卫战实施方案》（宛环委办</w:t>
            </w:r>
            <w:r>
              <w:rPr>
                <w:rFonts w:hint="default" w:ascii="Times New Roman" w:hAnsi="Times New Roman" w:eastAsia="宋体" w:cs="Times New Roman"/>
                <w:bCs/>
                <w:color w:val="auto"/>
                <w:sz w:val="24"/>
                <w:szCs w:val="24"/>
                <w:highlight w:val="none"/>
                <w:u w:val="none" w:color="auto"/>
                <w:lang w:eastAsia="zh-CN"/>
              </w:rPr>
              <w:t>【</w:t>
            </w:r>
            <w:r>
              <w:rPr>
                <w:rFonts w:hint="default" w:ascii="Times New Roman" w:hAnsi="Times New Roman" w:eastAsia="宋体" w:cs="Times New Roman"/>
                <w:bCs/>
                <w:color w:val="auto"/>
                <w:sz w:val="24"/>
                <w:szCs w:val="24"/>
                <w:highlight w:val="none"/>
                <w:u w:val="none" w:color="auto"/>
              </w:rPr>
              <w:t>2025】5号），</w:t>
            </w:r>
            <w:r>
              <w:rPr>
                <w:rFonts w:hint="default" w:ascii="Times New Roman" w:hAnsi="Times New Roman" w:eastAsia="宋体" w:cs="Times New Roman"/>
                <w:bCs/>
                <w:color w:val="auto"/>
                <w:sz w:val="24"/>
                <w:szCs w:val="24"/>
                <w:highlight w:val="none"/>
                <w:u w:val="none" w:color="auto"/>
                <w:lang w:val="en-US" w:eastAsia="zh-CN"/>
              </w:rPr>
              <w:t>深入贯彻习近平生态文明思想，认真落实全国生态环境保护大会精神和省委省政府、市委市政府部署要求，以改善环境空气质量为核心，以降低细颗粒物（PM</w:t>
            </w:r>
            <w:r>
              <w:rPr>
                <w:rFonts w:hint="default" w:ascii="Times New Roman" w:hAnsi="Times New Roman" w:eastAsia="宋体" w:cs="Times New Roman"/>
                <w:bCs/>
                <w:color w:val="auto"/>
                <w:sz w:val="24"/>
                <w:szCs w:val="24"/>
                <w:highlight w:val="none"/>
                <w:u w:val="none" w:color="auto"/>
                <w:vertAlign w:val="subscript"/>
                <w:lang w:val="en-US" w:eastAsia="zh-CN"/>
              </w:rPr>
              <w:t>2.5</w:t>
            </w:r>
            <w:r>
              <w:rPr>
                <w:rFonts w:hint="default" w:ascii="Times New Roman" w:hAnsi="Times New Roman" w:eastAsia="宋体" w:cs="Times New Roman"/>
                <w:bCs/>
                <w:color w:val="auto"/>
                <w:sz w:val="24"/>
                <w:szCs w:val="24"/>
                <w:highlight w:val="none"/>
                <w:u w:val="none" w:color="auto"/>
                <w:lang w:val="en-US" w:eastAsia="zh-CN"/>
              </w:rPr>
              <w:t>）浓度为主线，深入开展结构优化升级、工业企业提标治理、移动源污染排放控制、面源污染防控、重污染天气应对、监管能力提升六个专项攻坚行动，加快推动发展方式绿色低碳转型，为推进美丽南阳建设贡献力量</w:t>
            </w:r>
            <w:r>
              <w:rPr>
                <w:rFonts w:hint="eastAsia" w:cs="Times New Roman"/>
                <w:bCs/>
                <w:color w:val="auto"/>
                <w:sz w:val="24"/>
                <w:szCs w:val="24"/>
                <w:highlight w:val="none"/>
                <w:u w:val="none" w:color="auto"/>
                <w:lang w:val="en-US" w:eastAsia="zh-CN"/>
              </w:rPr>
              <w:t>，</w:t>
            </w:r>
            <w:r>
              <w:rPr>
                <w:rFonts w:hint="default" w:ascii="Times New Roman" w:hAnsi="Times New Roman" w:eastAsia="宋体" w:cs="Times New Roman"/>
                <w:bCs/>
                <w:color w:val="auto"/>
                <w:sz w:val="24"/>
                <w:szCs w:val="24"/>
                <w:highlight w:val="none"/>
                <w:u w:val="none" w:color="auto"/>
                <w:lang w:val="en-US" w:eastAsia="zh-CN"/>
              </w:rPr>
              <w:t>为高水平建强省域副中心城市提供生态保障。</w:t>
            </w:r>
          </w:p>
          <w:p w14:paraId="019A0E0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 w:val="0"/>
                <w:bCs w:val="0"/>
                <w:color w:val="auto"/>
                <w:kern w:val="0"/>
                <w:sz w:val="24"/>
                <w:u w:val="none"/>
              </w:rPr>
            </w:pPr>
            <w:r>
              <w:rPr>
                <w:rFonts w:hint="default" w:ascii="Times New Roman" w:hAnsi="Times New Roman" w:cs="Times New Roman"/>
                <w:b w:val="0"/>
                <w:bCs w:val="0"/>
                <w:color w:val="auto"/>
                <w:kern w:val="0"/>
                <w:sz w:val="24"/>
                <w:u w:val="none"/>
              </w:rPr>
              <w:t>2、地表水环境</w:t>
            </w:r>
          </w:p>
          <w:p w14:paraId="4129BB98">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rPr>
                <w:color w:val="000000" w:themeColor="text1"/>
                <w:sz w:val="24"/>
                <w14:textFill>
                  <w14:solidFill>
                    <w14:schemeClr w14:val="tx1"/>
                  </w14:solidFill>
                </w14:textFill>
              </w:rPr>
            </w:pPr>
            <w:r>
              <w:rPr>
                <w:rFonts w:hint="default" w:ascii="Times New Roman" w:hAnsi="Times New Roman" w:cs="Times New Roman"/>
                <w:bCs/>
                <w:color w:val="auto"/>
                <w:kern w:val="0"/>
                <w:sz w:val="24"/>
                <w:u w:val="none"/>
              </w:rPr>
              <w:t>项目周围的地表水体主要为项目西</w:t>
            </w:r>
            <w:r>
              <w:rPr>
                <w:rFonts w:hint="eastAsia" w:cs="Times New Roman"/>
                <w:bCs/>
                <w:color w:val="auto"/>
                <w:kern w:val="0"/>
                <w:sz w:val="24"/>
                <w:u w:val="none"/>
                <w:lang w:val="en-US" w:eastAsia="zh-CN"/>
              </w:rPr>
              <w:t>北</w:t>
            </w:r>
            <w:r>
              <w:rPr>
                <w:rFonts w:hint="default" w:ascii="Times New Roman" w:hAnsi="Times New Roman" w:cs="Times New Roman"/>
                <w:bCs/>
                <w:color w:val="auto"/>
                <w:kern w:val="0"/>
                <w:sz w:val="24"/>
                <w:u w:val="none"/>
              </w:rPr>
              <w:t>侧</w:t>
            </w:r>
            <w:r>
              <w:rPr>
                <w:rFonts w:hint="eastAsia" w:ascii="Times New Roman" w:hAnsi="Times New Roman" w:cs="Times New Roman"/>
                <w:bCs/>
                <w:color w:val="auto"/>
                <w:kern w:val="0"/>
                <w:sz w:val="24"/>
                <w:u w:val="none"/>
                <w:lang w:val="en-US" w:eastAsia="zh-CN"/>
              </w:rPr>
              <w:t>7</w:t>
            </w:r>
            <w:r>
              <w:rPr>
                <w:rFonts w:hint="eastAsia" w:cs="Times New Roman"/>
                <w:bCs/>
                <w:color w:val="auto"/>
                <w:kern w:val="0"/>
                <w:sz w:val="24"/>
                <w:u w:val="none"/>
                <w:lang w:val="en-US" w:eastAsia="zh-CN"/>
              </w:rPr>
              <w:t>53</w:t>
            </w:r>
            <w:r>
              <w:rPr>
                <w:rFonts w:hint="default" w:ascii="Times New Roman" w:hAnsi="Times New Roman" w:cs="Times New Roman"/>
                <w:bCs/>
                <w:color w:val="auto"/>
                <w:kern w:val="0"/>
                <w:sz w:val="24"/>
                <w:u w:val="none"/>
              </w:rPr>
              <w:t>m的</w:t>
            </w:r>
            <w:r>
              <w:rPr>
                <w:rFonts w:hint="eastAsia" w:ascii="Times New Roman" w:hAnsi="Times New Roman" w:cs="Times New Roman"/>
                <w:bCs/>
                <w:color w:val="auto"/>
                <w:kern w:val="0"/>
                <w:sz w:val="24"/>
                <w:u w:val="none"/>
                <w:lang w:val="en-US" w:eastAsia="zh-CN"/>
              </w:rPr>
              <w:t>九曲</w:t>
            </w:r>
            <w:r>
              <w:rPr>
                <w:rFonts w:hint="default" w:ascii="Times New Roman" w:hAnsi="Times New Roman" w:cs="Times New Roman"/>
                <w:bCs/>
                <w:color w:val="auto"/>
                <w:kern w:val="0"/>
                <w:sz w:val="24"/>
                <w:u w:val="none"/>
              </w:rPr>
              <w:t>河，项目采用雨污分流排水系统，</w:t>
            </w:r>
            <w:r>
              <w:rPr>
                <w:color w:val="000000" w:themeColor="text1"/>
                <w:sz w:val="24"/>
                <w14:textFill>
                  <w14:solidFill>
                    <w14:schemeClr w14:val="tx1"/>
                  </w14:solidFill>
                </w14:textFill>
              </w:rPr>
              <w:t>项目区雨水经厂区雨水排放口依地势排入</w:t>
            </w:r>
            <w:r>
              <w:rPr>
                <w:rFonts w:hint="eastAsia"/>
                <w:color w:val="000000" w:themeColor="text1"/>
                <w:sz w:val="24"/>
                <w14:textFill>
                  <w14:solidFill>
                    <w14:schemeClr w14:val="tx1"/>
                  </w14:solidFill>
                </w14:textFill>
              </w:rPr>
              <w:t>西</w:t>
            </w:r>
            <w:r>
              <w:rPr>
                <w:rFonts w:hint="eastAsia"/>
                <w:color w:val="000000" w:themeColor="text1"/>
                <w:sz w:val="24"/>
                <w:lang w:val="en-US" w:eastAsia="zh-CN"/>
                <w14:textFill>
                  <w14:solidFill>
                    <w14:schemeClr w14:val="tx1"/>
                  </w14:solidFill>
                </w14:textFill>
              </w:rPr>
              <w:t>南</w:t>
            </w:r>
            <w:r>
              <w:rPr>
                <w:rFonts w:hint="eastAsia"/>
                <w:color w:val="000000" w:themeColor="text1"/>
                <w:sz w:val="24"/>
                <w14:textFill>
                  <w14:solidFill>
                    <w14:schemeClr w14:val="tx1"/>
                  </w14:solidFill>
                </w14:textFill>
              </w:rPr>
              <w:t>侧</w:t>
            </w:r>
            <w:r>
              <w:rPr>
                <w:rFonts w:hint="eastAsia"/>
                <w:color w:val="000000" w:themeColor="text1"/>
                <w:sz w:val="24"/>
                <w:lang w:val="en-US" w:eastAsia="zh-CN"/>
                <w14:textFill>
                  <w14:solidFill>
                    <w14:schemeClr w14:val="tx1"/>
                  </w14:solidFill>
                </w14:textFill>
              </w:rPr>
              <w:t>2.267km</w:t>
            </w:r>
            <w:r>
              <w:rPr>
                <w:rFonts w:hint="eastAsia"/>
                <w:color w:val="000000" w:themeColor="text1"/>
                <w:sz w:val="24"/>
                <w14:textFill>
                  <w14:solidFill>
                    <w14:schemeClr w14:val="tx1"/>
                  </w14:solidFill>
                </w14:textFill>
              </w:rPr>
              <w:t>的</w:t>
            </w:r>
            <w:r>
              <w:rPr>
                <w:rFonts w:hint="eastAsia"/>
                <w:color w:val="000000" w:themeColor="text1"/>
                <w:sz w:val="24"/>
                <w:lang w:val="en-US" w:eastAsia="zh-CN"/>
                <w14:textFill>
                  <w14:solidFill>
                    <w14:schemeClr w14:val="tx1"/>
                  </w14:solidFill>
                </w14:textFill>
              </w:rPr>
              <w:t>赵河</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本项目</w:t>
            </w:r>
            <w:r>
              <w:rPr>
                <w:rFonts w:hint="default"/>
                <w:color w:val="000000" w:themeColor="text1"/>
                <w:sz w:val="24"/>
                <w:lang w:val="en-US" w:eastAsia="zh-CN"/>
                <w14:textFill>
                  <w14:solidFill>
                    <w14:schemeClr w14:val="tx1"/>
                  </w14:solidFill>
                </w14:textFill>
              </w:rPr>
              <w:t>营运期职工生活污水经化粪池处理后与生产废水混合后经厂区污水处理站处理后，出水水质能够满足《污水综合排放标准》（GB8978-1996）及镇平县第二污水处理厂进水水质指标后经市政污水管网进入镇平县第二污水处理厂进一步处理达到《城镇污水处理厂污染物排放标准》（GB18918-2002）一级A标准后排入赵河</w:t>
            </w:r>
            <w:r>
              <w:rPr>
                <w:rFonts w:hint="eastAsia"/>
                <w:color w:val="000000" w:themeColor="text1"/>
                <w:sz w:val="24"/>
                <w:lang w:val="en-US" w:eastAsia="zh-CN"/>
                <w14:textFill>
                  <w14:solidFill>
                    <w14:schemeClr w14:val="tx1"/>
                  </w14:solidFill>
                </w14:textFill>
              </w:rPr>
              <w:t>。</w:t>
            </w:r>
            <w:r>
              <w:rPr>
                <w:rFonts w:hint="default" w:ascii="Times New Roman" w:hAnsi="Times New Roman" w:cs="Times New Roman"/>
                <w:bCs/>
                <w:color w:val="auto"/>
                <w:kern w:val="0"/>
                <w:sz w:val="24"/>
                <w:u w:val="none"/>
              </w:rPr>
              <w:t>根据南阳市地表水环境功能区划及当地环保政策要求，赵河评价河段执行《地表水环境质量标准》（GB3838-2002）Ⅲ类水体。</w:t>
            </w:r>
            <w:r>
              <w:rPr>
                <w:color w:val="000000" w:themeColor="text1"/>
                <w:sz w:val="24"/>
                <w14:textFill>
                  <w14:solidFill>
                    <w14:schemeClr w14:val="tx1"/>
                  </w14:solidFill>
                </w14:textFill>
              </w:rPr>
              <w:t>本次评价参照《镇平县先进制造业开发区发展规划（2022-2035）环境影响报告书》（</w:t>
            </w:r>
            <w:r>
              <w:rPr>
                <w:rFonts w:hint="eastAsia"/>
                <w:color w:val="000000" w:themeColor="text1"/>
                <w:sz w:val="24"/>
                <w14:textFill>
                  <w14:solidFill>
                    <w14:schemeClr w14:val="tx1"/>
                  </w14:solidFill>
                </w14:textFill>
              </w:rPr>
              <w:t>报批稿</w:t>
            </w:r>
            <w:r>
              <w:rPr>
                <w:color w:val="000000" w:themeColor="text1"/>
                <w:sz w:val="24"/>
                <w14:textFill>
                  <w14:solidFill>
                    <w14:schemeClr w14:val="tx1"/>
                  </w14:solidFill>
                </w14:textFill>
              </w:rPr>
              <w:t>）中河南永蓝检测技术服务有限公司于2023年4月12日-4月14日出具的地表水监测数据，具体监测数据统计见下表：</w:t>
            </w:r>
          </w:p>
          <w:p w14:paraId="1A25E32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sz w:val="24"/>
              </w:rPr>
            </w:pPr>
            <w:r>
              <w:rPr>
                <w:rFonts w:ascii="Times New Roman" w:hAnsi="Times New Roman" w:cs="Times New Roman"/>
                <w:b/>
                <w:bCs/>
                <w:color w:val="auto"/>
                <w:sz w:val="24"/>
                <w:szCs w:val="24"/>
                <w:u w:val="none"/>
                <w:lang w:val="en-GB"/>
              </w:rPr>
              <w:t>表3-2</w:t>
            </w:r>
            <w:r>
              <w:rPr>
                <w:rFonts w:hint="eastAsia" w:ascii="Times New Roman" w:hAnsi="Times New Roman" w:cs="Times New Roman"/>
                <w:b/>
                <w:bCs/>
                <w:color w:val="auto"/>
                <w:sz w:val="24"/>
                <w:szCs w:val="24"/>
                <w:u w:val="none"/>
                <w:lang w:val="en-US" w:eastAsia="zh-CN"/>
              </w:rPr>
              <w:t xml:space="preserve">  </w:t>
            </w:r>
            <w:r>
              <w:rPr>
                <w:rFonts w:ascii="Times New Roman" w:hAnsi="Times New Roman" w:cs="Times New Roman"/>
                <w:b/>
                <w:bCs/>
                <w:color w:val="auto"/>
                <w:sz w:val="24"/>
                <w:szCs w:val="24"/>
                <w:u w:val="none"/>
                <w:lang w:val="en-GB"/>
              </w:rPr>
              <w:t>区域地表水质量现状统计一览表    单位mg/L（pH除外）</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3"/>
              <w:gridCol w:w="867"/>
              <w:gridCol w:w="1158"/>
              <w:gridCol w:w="1094"/>
              <w:gridCol w:w="1228"/>
              <w:gridCol w:w="1442"/>
              <w:gridCol w:w="1219"/>
              <w:gridCol w:w="1219"/>
            </w:tblGrid>
            <w:tr w14:paraId="44BC9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14:paraId="19E13BF4">
                  <w:pPr>
                    <w:adjustRightInd w:val="0"/>
                    <w:snapToGrid w:val="0"/>
                    <w:jc w:val="center"/>
                    <w:rPr>
                      <w:color w:val="auto"/>
                      <w:szCs w:val="21"/>
                    </w:rPr>
                  </w:pPr>
                  <w:r>
                    <w:rPr>
                      <w:color w:val="auto"/>
                      <w:szCs w:val="21"/>
                    </w:rPr>
                    <w:t>监测断面</w:t>
                  </w:r>
                </w:p>
              </w:tc>
              <w:tc>
                <w:tcPr>
                  <w:tcW w:w="467" w:type="pct"/>
                  <w:vAlign w:val="center"/>
                </w:tcPr>
                <w:p w14:paraId="242F1614">
                  <w:pPr>
                    <w:adjustRightInd w:val="0"/>
                    <w:snapToGrid w:val="0"/>
                    <w:jc w:val="center"/>
                    <w:rPr>
                      <w:color w:val="auto"/>
                      <w:szCs w:val="21"/>
                    </w:rPr>
                  </w:pPr>
                  <w:r>
                    <w:rPr>
                      <w:color w:val="auto"/>
                      <w:szCs w:val="21"/>
                    </w:rPr>
                    <w:t>项目</w:t>
                  </w:r>
                </w:p>
              </w:tc>
              <w:tc>
                <w:tcPr>
                  <w:tcW w:w="624" w:type="pct"/>
                  <w:vAlign w:val="center"/>
                </w:tcPr>
                <w:p w14:paraId="48B45B08">
                  <w:pPr>
                    <w:adjustRightInd w:val="0"/>
                    <w:snapToGrid w:val="0"/>
                    <w:jc w:val="center"/>
                    <w:rPr>
                      <w:color w:val="auto"/>
                      <w:szCs w:val="21"/>
                    </w:rPr>
                  </w:pPr>
                  <w:r>
                    <w:rPr>
                      <w:color w:val="auto"/>
                      <w:szCs w:val="21"/>
                    </w:rPr>
                    <w:t>pH</w:t>
                  </w:r>
                </w:p>
              </w:tc>
              <w:tc>
                <w:tcPr>
                  <w:tcW w:w="590" w:type="pct"/>
                  <w:vAlign w:val="center"/>
                </w:tcPr>
                <w:p w14:paraId="2F181CEA">
                  <w:pPr>
                    <w:adjustRightInd w:val="0"/>
                    <w:snapToGrid w:val="0"/>
                    <w:jc w:val="center"/>
                    <w:rPr>
                      <w:color w:val="auto"/>
                      <w:szCs w:val="21"/>
                    </w:rPr>
                  </w:pPr>
                  <w:r>
                    <w:rPr>
                      <w:color w:val="auto"/>
                      <w:szCs w:val="21"/>
                    </w:rPr>
                    <w:t>COD</w:t>
                  </w:r>
                </w:p>
              </w:tc>
              <w:tc>
                <w:tcPr>
                  <w:tcW w:w="662" w:type="pct"/>
                  <w:vAlign w:val="center"/>
                </w:tcPr>
                <w:p w14:paraId="2EB7B7DD">
                  <w:pPr>
                    <w:adjustRightInd w:val="0"/>
                    <w:snapToGrid w:val="0"/>
                    <w:jc w:val="center"/>
                    <w:rPr>
                      <w:color w:val="auto"/>
                      <w:szCs w:val="21"/>
                    </w:rPr>
                  </w:pPr>
                  <w:r>
                    <w:rPr>
                      <w:color w:val="auto"/>
                      <w:szCs w:val="21"/>
                    </w:rPr>
                    <w:t>BOD</w:t>
                  </w:r>
                  <w:r>
                    <w:rPr>
                      <w:color w:val="auto"/>
                      <w:szCs w:val="21"/>
                      <w:vertAlign w:val="subscript"/>
                    </w:rPr>
                    <w:t>5</w:t>
                  </w:r>
                </w:p>
              </w:tc>
              <w:tc>
                <w:tcPr>
                  <w:tcW w:w="777" w:type="pct"/>
                  <w:vAlign w:val="center"/>
                </w:tcPr>
                <w:p w14:paraId="4B9BA1F4">
                  <w:pPr>
                    <w:adjustRightInd w:val="0"/>
                    <w:snapToGrid w:val="0"/>
                    <w:jc w:val="center"/>
                    <w:rPr>
                      <w:color w:val="auto"/>
                      <w:szCs w:val="21"/>
                    </w:rPr>
                  </w:pPr>
                  <w:r>
                    <w:rPr>
                      <w:color w:val="auto"/>
                      <w:szCs w:val="21"/>
                    </w:rPr>
                    <w:t>氨氮</w:t>
                  </w:r>
                </w:p>
              </w:tc>
              <w:tc>
                <w:tcPr>
                  <w:tcW w:w="657" w:type="pct"/>
                  <w:vAlign w:val="center"/>
                </w:tcPr>
                <w:p w14:paraId="41011D8A">
                  <w:pPr>
                    <w:adjustRightInd w:val="0"/>
                    <w:snapToGrid w:val="0"/>
                    <w:jc w:val="center"/>
                    <w:rPr>
                      <w:color w:val="auto"/>
                      <w:szCs w:val="21"/>
                    </w:rPr>
                  </w:pPr>
                  <w:r>
                    <w:rPr>
                      <w:color w:val="auto"/>
                      <w:szCs w:val="21"/>
                    </w:rPr>
                    <w:t>总磷</w:t>
                  </w:r>
                </w:p>
              </w:tc>
              <w:tc>
                <w:tcPr>
                  <w:tcW w:w="657" w:type="pct"/>
                  <w:vAlign w:val="center"/>
                </w:tcPr>
                <w:p w14:paraId="6B79052A">
                  <w:pPr>
                    <w:adjustRightInd w:val="0"/>
                    <w:snapToGrid w:val="0"/>
                    <w:jc w:val="center"/>
                    <w:rPr>
                      <w:color w:val="auto"/>
                      <w:szCs w:val="21"/>
                    </w:rPr>
                  </w:pPr>
                  <w:r>
                    <w:rPr>
                      <w:color w:val="auto"/>
                      <w:szCs w:val="21"/>
                    </w:rPr>
                    <w:t>总氮</w:t>
                  </w:r>
                </w:p>
              </w:tc>
            </w:tr>
            <w:tr w14:paraId="7D811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restart"/>
                  <w:vAlign w:val="center"/>
                </w:tcPr>
                <w:p w14:paraId="73C19D1B">
                  <w:pPr>
                    <w:adjustRightInd w:val="0"/>
                    <w:snapToGrid w:val="0"/>
                    <w:jc w:val="center"/>
                    <w:rPr>
                      <w:color w:val="auto"/>
                      <w:szCs w:val="21"/>
                    </w:rPr>
                  </w:pPr>
                  <w:r>
                    <w:rPr>
                      <w:color w:val="auto"/>
                      <w:szCs w:val="21"/>
                    </w:rPr>
                    <w:t>3#赵河和沪陕高速交叉口处</w:t>
                  </w:r>
                </w:p>
              </w:tc>
              <w:tc>
                <w:tcPr>
                  <w:tcW w:w="467" w:type="pct"/>
                  <w:vAlign w:val="center"/>
                </w:tcPr>
                <w:p w14:paraId="1CBD8E9D">
                  <w:pPr>
                    <w:adjustRightInd w:val="0"/>
                    <w:snapToGrid w:val="0"/>
                    <w:jc w:val="center"/>
                    <w:rPr>
                      <w:color w:val="auto"/>
                      <w:szCs w:val="21"/>
                    </w:rPr>
                  </w:pPr>
                  <w:r>
                    <w:rPr>
                      <w:color w:val="auto"/>
                      <w:szCs w:val="21"/>
                    </w:rPr>
                    <w:t>浓度范围</w:t>
                  </w:r>
                </w:p>
              </w:tc>
              <w:tc>
                <w:tcPr>
                  <w:tcW w:w="624" w:type="pct"/>
                  <w:vAlign w:val="center"/>
                </w:tcPr>
                <w:p w14:paraId="2D836FBC">
                  <w:pPr>
                    <w:adjustRightInd w:val="0"/>
                    <w:snapToGrid w:val="0"/>
                    <w:jc w:val="center"/>
                    <w:rPr>
                      <w:color w:val="auto"/>
                      <w:szCs w:val="21"/>
                    </w:rPr>
                  </w:pPr>
                  <w:r>
                    <w:rPr>
                      <w:color w:val="auto"/>
                      <w:spacing w:val="3"/>
                      <w:szCs w:val="21"/>
                    </w:rPr>
                    <w:t>7.2~7.3</w:t>
                  </w:r>
                </w:p>
              </w:tc>
              <w:tc>
                <w:tcPr>
                  <w:tcW w:w="590" w:type="pct"/>
                  <w:vAlign w:val="center"/>
                </w:tcPr>
                <w:p w14:paraId="19226D71">
                  <w:pPr>
                    <w:adjustRightInd w:val="0"/>
                    <w:snapToGrid w:val="0"/>
                    <w:jc w:val="center"/>
                    <w:rPr>
                      <w:color w:val="auto"/>
                      <w:szCs w:val="21"/>
                    </w:rPr>
                  </w:pPr>
                  <w:r>
                    <w:rPr>
                      <w:color w:val="auto"/>
                      <w:spacing w:val="-5"/>
                      <w:szCs w:val="21"/>
                    </w:rPr>
                    <w:t>10~</w:t>
                  </w:r>
                  <w:r>
                    <w:rPr>
                      <w:color w:val="auto"/>
                      <w:spacing w:val="-25"/>
                      <w:szCs w:val="21"/>
                    </w:rPr>
                    <w:t xml:space="preserve"> </w:t>
                  </w:r>
                  <w:r>
                    <w:rPr>
                      <w:color w:val="auto"/>
                      <w:spacing w:val="-5"/>
                      <w:szCs w:val="21"/>
                    </w:rPr>
                    <w:t>15</w:t>
                  </w:r>
                </w:p>
              </w:tc>
              <w:tc>
                <w:tcPr>
                  <w:tcW w:w="662" w:type="pct"/>
                  <w:vAlign w:val="center"/>
                </w:tcPr>
                <w:p w14:paraId="02091C1C">
                  <w:pPr>
                    <w:adjustRightInd w:val="0"/>
                    <w:snapToGrid w:val="0"/>
                    <w:jc w:val="center"/>
                    <w:rPr>
                      <w:color w:val="auto"/>
                      <w:szCs w:val="21"/>
                    </w:rPr>
                  </w:pPr>
                  <w:r>
                    <w:rPr>
                      <w:color w:val="auto"/>
                      <w:spacing w:val="3"/>
                      <w:szCs w:val="21"/>
                    </w:rPr>
                    <w:t>3.0~3.3</w:t>
                  </w:r>
                </w:p>
              </w:tc>
              <w:tc>
                <w:tcPr>
                  <w:tcW w:w="777" w:type="pct"/>
                  <w:vAlign w:val="center"/>
                </w:tcPr>
                <w:p w14:paraId="6253A0BB">
                  <w:pPr>
                    <w:adjustRightInd w:val="0"/>
                    <w:snapToGrid w:val="0"/>
                    <w:jc w:val="center"/>
                    <w:rPr>
                      <w:color w:val="auto"/>
                      <w:szCs w:val="21"/>
                    </w:rPr>
                  </w:pPr>
                  <w:r>
                    <w:rPr>
                      <w:color w:val="auto"/>
                      <w:spacing w:val="3"/>
                      <w:szCs w:val="21"/>
                    </w:rPr>
                    <w:t>0.331~0.344</w:t>
                  </w:r>
                </w:p>
              </w:tc>
              <w:tc>
                <w:tcPr>
                  <w:tcW w:w="657" w:type="pct"/>
                  <w:vAlign w:val="center"/>
                </w:tcPr>
                <w:p w14:paraId="16D923A4">
                  <w:pPr>
                    <w:adjustRightInd w:val="0"/>
                    <w:snapToGrid w:val="0"/>
                    <w:jc w:val="center"/>
                    <w:rPr>
                      <w:color w:val="auto"/>
                      <w:szCs w:val="21"/>
                    </w:rPr>
                  </w:pPr>
                  <w:r>
                    <w:rPr>
                      <w:color w:val="auto"/>
                      <w:spacing w:val="3"/>
                      <w:szCs w:val="21"/>
                    </w:rPr>
                    <w:t>0.04~0.06</w:t>
                  </w:r>
                </w:p>
              </w:tc>
              <w:tc>
                <w:tcPr>
                  <w:tcW w:w="657" w:type="pct"/>
                  <w:vAlign w:val="center"/>
                </w:tcPr>
                <w:p w14:paraId="021847E4">
                  <w:pPr>
                    <w:adjustRightInd w:val="0"/>
                    <w:snapToGrid w:val="0"/>
                    <w:jc w:val="center"/>
                    <w:rPr>
                      <w:color w:val="auto"/>
                      <w:szCs w:val="21"/>
                    </w:rPr>
                  </w:pPr>
                  <w:r>
                    <w:rPr>
                      <w:color w:val="auto"/>
                      <w:spacing w:val="3"/>
                      <w:szCs w:val="21"/>
                    </w:rPr>
                    <w:t>0.52~0.55</w:t>
                  </w:r>
                </w:p>
              </w:tc>
            </w:tr>
            <w:tr w14:paraId="3A0B1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41AAFEE1">
                  <w:pPr>
                    <w:adjustRightInd w:val="0"/>
                    <w:snapToGrid w:val="0"/>
                    <w:jc w:val="center"/>
                    <w:rPr>
                      <w:color w:val="auto"/>
                      <w:szCs w:val="21"/>
                    </w:rPr>
                  </w:pPr>
                </w:p>
              </w:tc>
              <w:tc>
                <w:tcPr>
                  <w:tcW w:w="467" w:type="pct"/>
                  <w:vAlign w:val="center"/>
                </w:tcPr>
                <w:p w14:paraId="1DE54956">
                  <w:pPr>
                    <w:adjustRightInd w:val="0"/>
                    <w:snapToGrid w:val="0"/>
                    <w:jc w:val="center"/>
                    <w:rPr>
                      <w:color w:val="auto"/>
                      <w:szCs w:val="21"/>
                    </w:rPr>
                  </w:pPr>
                  <w:r>
                    <w:rPr>
                      <w:color w:val="auto"/>
                      <w:szCs w:val="21"/>
                    </w:rPr>
                    <w:t>标准指数范围</w:t>
                  </w:r>
                </w:p>
              </w:tc>
              <w:tc>
                <w:tcPr>
                  <w:tcW w:w="624" w:type="pct"/>
                  <w:vAlign w:val="center"/>
                </w:tcPr>
                <w:p w14:paraId="4861410A">
                  <w:pPr>
                    <w:adjustRightInd w:val="0"/>
                    <w:snapToGrid w:val="0"/>
                    <w:jc w:val="center"/>
                    <w:rPr>
                      <w:color w:val="auto"/>
                      <w:szCs w:val="21"/>
                    </w:rPr>
                  </w:pPr>
                  <w:r>
                    <w:rPr>
                      <w:color w:val="auto"/>
                      <w:spacing w:val="3"/>
                      <w:szCs w:val="21"/>
                    </w:rPr>
                    <w:t>0.1~0.15</w:t>
                  </w:r>
                </w:p>
              </w:tc>
              <w:tc>
                <w:tcPr>
                  <w:tcW w:w="590" w:type="pct"/>
                  <w:vAlign w:val="center"/>
                </w:tcPr>
                <w:p w14:paraId="47A955F8">
                  <w:pPr>
                    <w:adjustRightInd w:val="0"/>
                    <w:snapToGrid w:val="0"/>
                    <w:jc w:val="center"/>
                    <w:rPr>
                      <w:color w:val="auto"/>
                      <w:szCs w:val="21"/>
                    </w:rPr>
                  </w:pPr>
                  <w:r>
                    <w:rPr>
                      <w:color w:val="auto"/>
                      <w:spacing w:val="3"/>
                      <w:szCs w:val="21"/>
                    </w:rPr>
                    <w:t>0.5~0.75</w:t>
                  </w:r>
                </w:p>
              </w:tc>
              <w:tc>
                <w:tcPr>
                  <w:tcW w:w="662" w:type="pct"/>
                  <w:vAlign w:val="center"/>
                </w:tcPr>
                <w:p w14:paraId="36EB0360">
                  <w:pPr>
                    <w:adjustRightInd w:val="0"/>
                    <w:snapToGrid w:val="0"/>
                    <w:jc w:val="center"/>
                    <w:rPr>
                      <w:color w:val="auto"/>
                      <w:szCs w:val="21"/>
                    </w:rPr>
                  </w:pPr>
                  <w:r>
                    <w:rPr>
                      <w:color w:val="auto"/>
                      <w:spacing w:val="3"/>
                      <w:szCs w:val="21"/>
                    </w:rPr>
                    <w:t>0.75~0.83</w:t>
                  </w:r>
                </w:p>
              </w:tc>
              <w:tc>
                <w:tcPr>
                  <w:tcW w:w="777" w:type="pct"/>
                  <w:vAlign w:val="center"/>
                </w:tcPr>
                <w:p w14:paraId="29B7AFFB">
                  <w:pPr>
                    <w:adjustRightInd w:val="0"/>
                    <w:snapToGrid w:val="0"/>
                    <w:jc w:val="center"/>
                    <w:rPr>
                      <w:color w:val="auto"/>
                      <w:szCs w:val="21"/>
                    </w:rPr>
                  </w:pPr>
                  <w:r>
                    <w:rPr>
                      <w:color w:val="auto"/>
                      <w:spacing w:val="3"/>
                      <w:szCs w:val="21"/>
                    </w:rPr>
                    <w:t>0.331~0.344</w:t>
                  </w:r>
                </w:p>
              </w:tc>
              <w:tc>
                <w:tcPr>
                  <w:tcW w:w="657" w:type="pct"/>
                  <w:vAlign w:val="center"/>
                </w:tcPr>
                <w:p w14:paraId="56D1AA46">
                  <w:pPr>
                    <w:adjustRightInd w:val="0"/>
                    <w:snapToGrid w:val="0"/>
                    <w:jc w:val="center"/>
                    <w:rPr>
                      <w:color w:val="auto"/>
                      <w:szCs w:val="21"/>
                    </w:rPr>
                  </w:pPr>
                  <w:r>
                    <w:rPr>
                      <w:color w:val="auto"/>
                      <w:spacing w:val="3"/>
                      <w:szCs w:val="21"/>
                    </w:rPr>
                    <w:t>0.2~0.3</w:t>
                  </w:r>
                </w:p>
              </w:tc>
              <w:tc>
                <w:tcPr>
                  <w:tcW w:w="657" w:type="pct"/>
                  <w:vAlign w:val="center"/>
                </w:tcPr>
                <w:p w14:paraId="37C109DD">
                  <w:pPr>
                    <w:adjustRightInd w:val="0"/>
                    <w:snapToGrid w:val="0"/>
                    <w:jc w:val="center"/>
                    <w:rPr>
                      <w:color w:val="auto"/>
                      <w:szCs w:val="21"/>
                    </w:rPr>
                  </w:pPr>
                  <w:r>
                    <w:rPr>
                      <w:color w:val="auto"/>
                      <w:spacing w:val="3"/>
                      <w:szCs w:val="21"/>
                    </w:rPr>
                    <w:t>0.52~0.55</w:t>
                  </w:r>
                </w:p>
              </w:tc>
            </w:tr>
            <w:tr w14:paraId="3E1AD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4C412AB2">
                  <w:pPr>
                    <w:adjustRightInd w:val="0"/>
                    <w:snapToGrid w:val="0"/>
                    <w:jc w:val="center"/>
                    <w:rPr>
                      <w:color w:val="auto"/>
                      <w:szCs w:val="21"/>
                    </w:rPr>
                  </w:pPr>
                </w:p>
              </w:tc>
              <w:tc>
                <w:tcPr>
                  <w:tcW w:w="467" w:type="pct"/>
                  <w:vAlign w:val="center"/>
                </w:tcPr>
                <w:p w14:paraId="3F814D08">
                  <w:pPr>
                    <w:adjustRightInd w:val="0"/>
                    <w:snapToGrid w:val="0"/>
                    <w:jc w:val="center"/>
                    <w:rPr>
                      <w:color w:val="auto"/>
                      <w:szCs w:val="21"/>
                    </w:rPr>
                  </w:pPr>
                  <w:r>
                    <w:rPr>
                      <w:color w:val="auto"/>
                      <w:szCs w:val="21"/>
                    </w:rPr>
                    <w:t>最大超标倍数</w:t>
                  </w:r>
                </w:p>
              </w:tc>
              <w:tc>
                <w:tcPr>
                  <w:tcW w:w="624" w:type="pct"/>
                  <w:vAlign w:val="center"/>
                </w:tcPr>
                <w:p w14:paraId="229A086B">
                  <w:pPr>
                    <w:adjustRightInd w:val="0"/>
                    <w:snapToGrid w:val="0"/>
                    <w:jc w:val="center"/>
                    <w:rPr>
                      <w:color w:val="auto"/>
                      <w:szCs w:val="21"/>
                    </w:rPr>
                  </w:pPr>
                  <w:r>
                    <w:rPr>
                      <w:color w:val="auto"/>
                      <w:szCs w:val="21"/>
                    </w:rPr>
                    <w:t>0</w:t>
                  </w:r>
                </w:p>
              </w:tc>
              <w:tc>
                <w:tcPr>
                  <w:tcW w:w="590" w:type="pct"/>
                  <w:vAlign w:val="center"/>
                </w:tcPr>
                <w:p w14:paraId="1CFFDF20">
                  <w:pPr>
                    <w:adjustRightInd w:val="0"/>
                    <w:snapToGrid w:val="0"/>
                    <w:jc w:val="center"/>
                    <w:rPr>
                      <w:color w:val="auto"/>
                      <w:szCs w:val="21"/>
                    </w:rPr>
                  </w:pPr>
                  <w:r>
                    <w:rPr>
                      <w:color w:val="auto"/>
                      <w:szCs w:val="21"/>
                    </w:rPr>
                    <w:t>0</w:t>
                  </w:r>
                </w:p>
              </w:tc>
              <w:tc>
                <w:tcPr>
                  <w:tcW w:w="662" w:type="pct"/>
                  <w:vAlign w:val="center"/>
                </w:tcPr>
                <w:p w14:paraId="6870EBE9">
                  <w:pPr>
                    <w:adjustRightInd w:val="0"/>
                    <w:snapToGrid w:val="0"/>
                    <w:jc w:val="center"/>
                    <w:rPr>
                      <w:color w:val="auto"/>
                      <w:szCs w:val="21"/>
                    </w:rPr>
                  </w:pPr>
                  <w:r>
                    <w:rPr>
                      <w:color w:val="auto"/>
                      <w:szCs w:val="21"/>
                    </w:rPr>
                    <w:t>0</w:t>
                  </w:r>
                </w:p>
              </w:tc>
              <w:tc>
                <w:tcPr>
                  <w:tcW w:w="777" w:type="pct"/>
                  <w:vAlign w:val="center"/>
                </w:tcPr>
                <w:p w14:paraId="4EDFCA86">
                  <w:pPr>
                    <w:adjustRightInd w:val="0"/>
                    <w:snapToGrid w:val="0"/>
                    <w:jc w:val="center"/>
                    <w:rPr>
                      <w:color w:val="auto"/>
                      <w:szCs w:val="21"/>
                    </w:rPr>
                  </w:pPr>
                  <w:r>
                    <w:rPr>
                      <w:color w:val="auto"/>
                      <w:szCs w:val="21"/>
                    </w:rPr>
                    <w:t>0</w:t>
                  </w:r>
                </w:p>
              </w:tc>
              <w:tc>
                <w:tcPr>
                  <w:tcW w:w="657" w:type="pct"/>
                  <w:vAlign w:val="center"/>
                </w:tcPr>
                <w:p w14:paraId="7CFB4B23">
                  <w:pPr>
                    <w:adjustRightInd w:val="0"/>
                    <w:snapToGrid w:val="0"/>
                    <w:jc w:val="center"/>
                    <w:rPr>
                      <w:color w:val="auto"/>
                      <w:szCs w:val="21"/>
                    </w:rPr>
                  </w:pPr>
                  <w:r>
                    <w:rPr>
                      <w:color w:val="auto"/>
                      <w:szCs w:val="21"/>
                    </w:rPr>
                    <w:t>0</w:t>
                  </w:r>
                </w:p>
              </w:tc>
              <w:tc>
                <w:tcPr>
                  <w:tcW w:w="657" w:type="pct"/>
                  <w:vAlign w:val="center"/>
                </w:tcPr>
                <w:p w14:paraId="37D38ACA">
                  <w:pPr>
                    <w:adjustRightInd w:val="0"/>
                    <w:snapToGrid w:val="0"/>
                    <w:jc w:val="center"/>
                    <w:rPr>
                      <w:color w:val="auto"/>
                      <w:szCs w:val="21"/>
                    </w:rPr>
                  </w:pPr>
                  <w:r>
                    <w:rPr>
                      <w:color w:val="auto"/>
                      <w:szCs w:val="21"/>
                    </w:rPr>
                    <w:t>0</w:t>
                  </w:r>
                </w:p>
              </w:tc>
            </w:tr>
            <w:tr w14:paraId="2ACE0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1E4A29E6">
                  <w:pPr>
                    <w:adjustRightInd w:val="0"/>
                    <w:snapToGrid w:val="0"/>
                    <w:jc w:val="center"/>
                    <w:rPr>
                      <w:color w:val="auto"/>
                      <w:szCs w:val="21"/>
                    </w:rPr>
                  </w:pPr>
                </w:p>
              </w:tc>
              <w:tc>
                <w:tcPr>
                  <w:tcW w:w="467" w:type="pct"/>
                  <w:vAlign w:val="center"/>
                </w:tcPr>
                <w:p w14:paraId="1C01F988">
                  <w:pPr>
                    <w:adjustRightInd w:val="0"/>
                    <w:snapToGrid w:val="0"/>
                    <w:jc w:val="center"/>
                    <w:rPr>
                      <w:color w:val="auto"/>
                      <w:szCs w:val="21"/>
                    </w:rPr>
                  </w:pPr>
                  <w:r>
                    <w:rPr>
                      <w:color w:val="auto"/>
                      <w:szCs w:val="21"/>
                    </w:rPr>
                    <w:t>超标率</w:t>
                  </w:r>
                </w:p>
              </w:tc>
              <w:tc>
                <w:tcPr>
                  <w:tcW w:w="624" w:type="pct"/>
                  <w:vAlign w:val="center"/>
                </w:tcPr>
                <w:p w14:paraId="66E3B3F9">
                  <w:pPr>
                    <w:adjustRightInd w:val="0"/>
                    <w:snapToGrid w:val="0"/>
                    <w:jc w:val="center"/>
                    <w:rPr>
                      <w:color w:val="auto"/>
                      <w:szCs w:val="21"/>
                    </w:rPr>
                  </w:pPr>
                  <w:r>
                    <w:rPr>
                      <w:color w:val="auto"/>
                      <w:szCs w:val="21"/>
                    </w:rPr>
                    <w:t>0</w:t>
                  </w:r>
                </w:p>
              </w:tc>
              <w:tc>
                <w:tcPr>
                  <w:tcW w:w="590" w:type="pct"/>
                  <w:vAlign w:val="center"/>
                </w:tcPr>
                <w:p w14:paraId="022DE7B8">
                  <w:pPr>
                    <w:adjustRightInd w:val="0"/>
                    <w:snapToGrid w:val="0"/>
                    <w:jc w:val="center"/>
                    <w:rPr>
                      <w:color w:val="auto"/>
                      <w:szCs w:val="21"/>
                    </w:rPr>
                  </w:pPr>
                  <w:r>
                    <w:rPr>
                      <w:color w:val="auto"/>
                      <w:szCs w:val="21"/>
                    </w:rPr>
                    <w:t>0</w:t>
                  </w:r>
                </w:p>
              </w:tc>
              <w:tc>
                <w:tcPr>
                  <w:tcW w:w="662" w:type="pct"/>
                  <w:vAlign w:val="center"/>
                </w:tcPr>
                <w:p w14:paraId="6D562BA8">
                  <w:pPr>
                    <w:adjustRightInd w:val="0"/>
                    <w:snapToGrid w:val="0"/>
                    <w:jc w:val="center"/>
                    <w:rPr>
                      <w:color w:val="auto"/>
                      <w:szCs w:val="21"/>
                    </w:rPr>
                  </w:pPr>
                  <w:r>
                    <w:rPr>
                      <w:color w:val="auto"/>
                      <w:szCs w:val="21"/>
                    </w:rPr>
                    <w:t>0</w:t>
                  </w:r>
                </w:p>
              </w:tc>
              <w:tc>
                <w:tcPr>
                  <w:tcW w:w="777" w:type="pct"/>
                  <w:vAlign w:val="center"/>
                </w:tcPr>
                <w:p w14:paraId="5AE4C5DA">
                  <w:pPr>
                    <w:adjustRightInd w:val="0"/>
                    <w:snapToGrid w:val="0"/>
                    <w:jc w:val="center"/>
                    <w:rPr>
                      <w:color w:val="auto"/>
                      <w:szCs w:val="21"/>
                    </w:rPr>
                  </w:pPr>
                  <w:r>
                    <w:rPr>
                      <w:color w:val="auto"/>
                      <w:szCs w:val="21"/>
                    </w:rPr>
                    <w:t>0</w:t>
                  </w:r>
                </w:p>
              </w:tc>
              <w:tc>
                <w:tcPr>
                  <w:tcW w:w="657" w:type="pct"/>
                  <w:vAlign w:val="center"/>
                </w:tcPr>
                <w:p w14:paraId="41016AF7">
                  <w:pPr>
                    <w:adjustRightInd w:val="0"/>
                    <w:snapToGrid w:val="0"/>
                    <w:jc w:val="center"/>
                    <w:rPr>
                      <w:color w:val="auto"/>
                      <w:szCs w:val="21"/>
                    </w:rPr>
                  </w:pPr>
                  <w:r>
                    <w:rPr>
                      <w:color w:val="auto"/>
                      <w:szCs w:val="21"/>
                    </w:rPr>
                    <w:t>0</w:t>
                  </w:r>
                </w:p>
              </w:tc>
              <w:tc>
                <w:tcPr>
                  <w:tcW w:w="657" w:type="pct"/>
                  <w:vAlign w:val="center"/>
                </w:tcPr>
                <w:p w14:paraId="548A2436">
                  <w:pPr>
                    <w:adjustRightInd w:val="0"/>
                    <w:snapToGrid w:val="0"/>
                    <w:jc w:val="center"/>
                    <w:rPr>
                      <w:color w:val="auto"/>
                      <w:szCs w:val="21"/>
                    </w:rPr>
                  </w:pPr>
                  <w:r>
                    <w:rPr>
                      <w:color w:val="auto"/>
                      <w:szCs w:val="21"/>
                    </w:rPr>
                    <w:t>0</w:t>
                  </w:r>
                </w:p>
              </w:tc>
            </w:tr>
            <w:tr w14:paraId="03B2E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restart"/>
                  <w:shd w:val="clear" w:color="auto" w:fill="auto"/>
                  <w:vAlign w:val="center"/>
                </w:tcPr>
                <w:p w14:paraId="029ED58A">
                  <w:pPr>
                    <w:adjustRightInd w:val="0"/>
                    <w:snapToGrid w:val="0"/>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8#</w:t>
                  </w:r>
                  <w:commentRangeStart w:id="66"/>
                  <w:r>
                    <w:rPr>
                      <w:rFonts w:hint="eastAsia" w:ascii="Times New Roman" w:hAnsi="Times New Roman" w:eastAsia="宋体" w:cs="Times New Roman"/>
                      <w:color w:val="auto"/>
                      <w:kern w:val="2"/>
                      <w:sz w:val="21"/>
                      <w:szCs w:val="21"/>
                      <w:lang w:val="en-US" w:eastAsia="zh-CN" w:bidi="ar-SA"/>
                    </w:rPr>
                    <w:t>赵河田寨断面</w:t>
                  </w:r>
                  <w:commentRangeEnd w:id="66"/>
                  <w:r>
                    <w:commentReference w:id="66"/>
                  </w:r>
                </w:p>
              </w:tc>
              <w:tc>
                <w:tcPr>
                  <w:tcW w:w="467" w:type="pct"/>
                  <w:shd w:val="clear" w:color="auto" w:fill="auto"/>
                  <w:vAlign w:val="center"/>
                </w:tcPr>
                <w:p w14:paraId="30B50DF1">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浓度范围</w:t>
                  </w:r>
                </w:p>
              </w:tc>
              <w:tc>
                <w:tcPr>
                  <w:tcW w:w="624" w:type="pct"/>
                  <w:vAlign w:val="center"/>
                </w:tcPr>
                <w:p w14:paraId="4C499A42">
                  <w:pPr>
                    <w:adjustRightInd w:val="0"/>
                    <w:snapToGrid w:val="0"/>
                    <w:jc w:val="center"/>
                    <w:rPr>
                      <w:color w:val="auto"/>
                      <w:szCs w:val="21"/>
                    </w:rPr>
                  </w:pPr>
                  <w:r>
                    <w:rPr>
                      <w:rFonts w:hint="default"/>
                      <w:color w:val="auto"/>
                      <w:szCs w:val="21"/>
                      <w:lang w:val="en-US" w:eastAsia="zh-CN"/>
                    </w:rPr>
                    <w:t>7.3~7.4</w:t>
                  </w:r>
                </w:p>
              </w:tc>
              <w:tc>
                <w:tcPr>
                  <w:tcW w:w="590" w:type="pct"/>
                  <w:vAlign w:val="center"/>
                </w:tcPr>
                <w:p w14:paraId="61C2FD00">
                  <w:pPr>
                    <w:adjustRightInd w:val="0"/>
                    <w:snapToGrid w:val="0"/>
                    <w:jc w:val="center"/>
                    <w:rPr>
                      <w:color w:val="auto"/>
                      <w:szCs w:val="21"/>
                    </w:rPr>
                  </w:pPr>
                  <w:r>
                    <w:rPr>
                      <w:rFonts w:hint="default"/>
                      <w:color w:val="auto"/>
                      <w:szCs w:val="21"/>
                      <w:lang w:val="en-US" w:eastAsia="zh-CN"/>
                    </w:rPr>
                    <w:t>13~15</w:t>
                  </w:r>
                </w:p>
              </w:tc>
              <w:tc>
                <w:tcPr>
                  <w:tcW w:w="662" w:type="pct"/>
                  <w:vAlign w:val="center"/>
                </w:tcPr>
                <w:p w14:paraId="77855266">
                  <w:pPr>
                    <w:adjustRightInd w:val="0"/>
                    <w:snapToGrid w:val="0"/>
                    <w:jc w:val="center"/>
                    <w:rPr>
                      <w:color w:val="auto"/>
                      <w:szCs w:val="21"/>
                    </w:rPr>
                  </w:pPr>
                  <w:r>
                    <w:rPr>
                      <w:rFonts w:hint="default"/>
                      <w:color w:val="auto"/>
                      <w:szCs w:val="21"/>
                      <w:lang w:val="en-US" w:eastAsia="zh-CN"/>
                    </w:rPr>
                    <w:t>3.4~3.7</w:t>
                  </w:r>
                </w:p>
              </w:tc>
              <w:tc>
                <w:tcPr>
                  <w:tcW w:w="777" w:type="pct"/>
                  <w:vAlign w:val="center"/>
                </w:tcPr>
                <w:p w14:paraId="3FF6F8CE">
                  <w:pPr>
                    <w:adjustRightInd w:val="0"/>
                    <w:snapToGrid w:val="0"/>
                    <w:jc w:val="center"/>
                    <w:rPr>
                      <w:color w:val="auto"/>
                      <w:szCs w:val="21"/>
                    </w:rPr>
                  </w:pPr>
                  <w:r>
                    <w:rPr>
                      <w:rFonts w:hint="default"/>
                      <w:color w:val="auto"/>
                      <w:szCs w:val="21"/>
                      <w:lang w:val="en-US" w:eastAsia="zh-CN"/>
                    </w:rPr>
                    <w:t>0.37~0.377</w:t>
                  </w:r>
                </w:p>
              </w:tc>
              <w:tc>
                <w:tcPr>
                  <w:tcW w:w="657" w:type="pct"/>
                  <w:vAlign w:val="center"/>
                </w:tcPr>
                <w:p w14:paraId="228F0F92">
                  <w:pPr>
                    <w:adjustRightInd w:val="0"/>
                    <w:snapToGrid w:val="0"/>
                    <w:jc w:val="center"/>
                    <w:rPr>
                      <w:color w:val="auto"/>
                      <w:szCs w:val="21"/>
                    </w:rPr>
                  </w:pPr>
                  <w:r>
                    <w:rPr>
                      <w:rFonts w:hint="default"/>
                      <w:color w:val="auto"/>
                      <w:szCs w:val="21"/>
                      <w:lang w:val="en-US" w:eastAsia="zh-CN"/>
                    </w:rPr>
                    <w:t>0.06~0.08</w:t>
                  </w:r>
                </w:p>
              </w:tc>
              <w:tc>
                <w:tcPr>
                  <w:tcW w:w="657" w:type="pct"/>
                  <w:vAlign w:val="center"/>
                </w:tcPr>
                <w:p w14:paraId="69968DBD">
                  <w:pPr>
                    <w:adjustRightInd w:val="0"/>
                    <w:snapToGrid w:val="0"/>
                    <w:jc w:val="center"/>
                    <w:rPr>
                      <w:color w:val="auto"/>
                      <w:szCs w:val="21"/>
                    </w:rPr>
                  </w:pPr>
                  <w:r>
                    <w:rPr>
                      <w:rFonts w:hint="default"/>
                      <w:color w:val="auto"/>
                      <w:szCs w:val="21"/>
                      <w:lang w:val="en-US" w:eastAsia="zh-CN"/>
                    </w:rPr>
                    <w:t>0.57~0.59</w:t>
                  </w:r>
                </w:p>
              </w:tc>
            </w:tr>
            <w:tr w14:paraId="6609B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7ADD108A">
                  <w:pPr>
                    <w:adjustRightInd w:val="0"/>
                    <w:snapToGrid w:val="0"/>
                    <w:jc w:val="center"/>
                    <w:rPr>
                      <w:color w:val="auto"/>
                      <w:szCs w:val="21"/>
                    </w:rPr>
                  </w:pPr>
                </w:p>
              </w:tc>
              <w:tc>
                <w:tcPr>
                  <w:tcW w:w="467" w:type="pct"/>
                  <w:shd w:val="clear" w:color="auto" w:fill="auto"/>
                  <w:vAlign w:val="center"/>
                </w:tcPr>
                <w:p w14:paraId="20C1CCD7">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标准指数范围</w:t>
                  </w:r>
                </w:p>
              </w:tc>
              <w:tc>
                <w:tcPr>
                  <w:tcW w:w="624" w:type="pct"/>
                  <w:vAlign w:val="center"/>
                </w:tcPr>
                <w:p w14:paraId="3DEA33AC">
                  <w:pPr>
                    <w:adjustRightInd w:val="0"/>
                    <w:snapToGrid w:val="0"/>
                    <w:jc w:val="center"/>
                    <w:rPr>
                      <w:color w:val="auto"/>
                      <w:szCs w:val="21"/>
                    </w:rPr>
                  </w:pPr>
                  <w:r>
                    <w:rPr>
                      <w:rFonts w:hint="default"/>
                      <w:color w:val="auto"/>
                      <w:szCs w:val="21"/>
                      <w:lang w:val="en-US" w:eastAsia="zh-CN"/>
                    </w:rPr>
                    <w:t>0.15~0.2</w:t>
                  </w:r>
                </w:p>
              </w:tc>
              <w:tc>
                <w:tcPr>
                  <w:tcW w:w="590" w:type="pct"/>
                  <w:vAlign w:val="center"/>
                </w:tcPr>
                <w:p w14:paraId="05D50F9F">
                  <w:pPr>
                    <w:adjustRightInd w:val="0"/>
                    <w:snapToGrid w:val="0"/>
                    <w:jc w:val="center"/>
                    <w:rPr>
                      <w:color w:val="auto"/>
                      <w:szCs w:val="21"/>
                    </w:rPr>
                  </w:pPr>
                  <w:r>
                    <w:rPr>
                      <w:rFonts w:hint="default"/>
                      <w:color w:val="auto"/>
                      <w:szCs w:val="21"/>
                      <w:lang w:val="en-US" w:eastAsia="zh-CN"/>
                    </w:rPr>
                    <w:t>0.65~0.75</w:t>
                  </w:r>
                </w:p>
              </w:tc>
              <w:tc>
                <w:tcPr>
                  <w:tcW w:w="662" w:type="pct"/>
                  <w:vAlign w:val="center"/>
                </w:tcPr>
                <w:p w14:paraId="17ECD90A">
                  <w:pPr>
                    <w:adjustRightInd w:val="0"/>
                    <w:snapToGrid w:val="0"/>
                    <w:jc w:val="center"/>
                    <w:rPr>
                      <w:color w:val="auto"/>
                      <w:szCs w:val="21"/>
                    </w:rPr>
                  </w:pPr>
                  <w:r>
                    <w:rPr>
                      <w:rFonts w:hint="default"/>
                      <w:color w:val="auto"/>
                      <w:szCs w:val="21"/>
                      <w:lang w:val="en-US" w:eastAsia="zh-CN"/>
                    </w:rPr>
                    <w:t>0.85~0.93</w:t>
                  </w:r>
                </w:p>
              </w:tc>
              <w:tc>
                <w:tcPr>
                  <w:tcW w:w="777" w:type="pct"/>
                  <w:vAlign w:val="center"/>
                </w:tcPr>
                <w:p w14:paraId="7A4F1B7A">
                  <w:pPr>
                    <w:adjustRightInd w:val="0"/>
                    <w:snapToGrid w:val="0"/>
                    <w:jc w:val="center"/>
                    <w:rPr>
                      <w:color w:val="auto"/>
                      <w:szCs w:val="21"/>
                    </w:rPr>
                  </w:pPr>
                  <w:r>
                    <w:rPr>
                      <w:rFonts w:hint="default"/>
                      <w:color w:val="auto"/>
                      <w:szCs w:val="21"/>
                      <w:lang w:val="en-US" w:eastAsia="zh-CN"/>
                    </w:rPr>
                    <w:t>0.37~0.377</w:t>
                  </w:r>
                </w:p>
              </w:tc>
              <w:tc>
                <w:tcPr>
                  <w:tcW w:w="657" w:type="pct"/>
                  <w:vAlign w:val="center"/>
                </w:tcPr>
                <w:p w14:paraId="45601A3B">
                  <w:pPr>
                    <w:adjustRightInd w:val="0"/>
                    <w:snapToGrid w:val="0"/>
                    <w:jc w:val="center"/>
                    <w:rPr>
                      <w:color w:val="auto"/>
                      <w:szCs w:val="21"/>
                    </w:rPr>
                  </w:pPr>
                  <w:r>
                    <w:rPr>
                      <w:rFonts w:hint="default"/>
                      <w:color w:val="auto"/>
                      <w:szCs w:val="21"/>
                      <w:lang w:val="en-US" w:eastAsia="zh-CN"/>
                    </w:rPr>
                    <w:t>0.3~0.4</w:t>
                  </w:r>
                </w:p>
              </w:tc>
              <w:tc>
                <w:tcPr>
                  <w:tcW w:w="657" w:type="pct"/>
                  <w:vAlign w:val="center"/>
                </w:tcPr>
                <w:p w14:paraId="70AF21CB">
                  <w:pPr>
                    <w:adjustRightInd w:val="0"/>
                    <w:snapToGrid w:val="0"/>
                    <w:jc w:val="center"/>
                    <w:rPr>
                      <w:color w:val="auto"/>
                      <w:szCs w:val="21"/>
                    </w:rPr>
                  </w:pPr>
                  <w:r>
                    <w:rPr>
                      <w:rFonts w:hint="default"/>
                      <w:color w:val="auto"/>
                      <w:szCs w:val="21"/>
                      <w:lang w:val="en-US" w:eastAsia="zh-CN"/>
                    </w:rPr>
                    <w:t>0.57~0.59</w:t>
                  </w:r>
                </w:p>
              </w:tc>
            </w:tr>
            <w:tr w14:paraId="6B306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6DF87225">
                  <w:pPr>
                    <w:adjustRightInd w:val="0"/>
                    <w:snapToGrid w:val="0"/>
                    <w:jc w:val="center"/>
                    <w:rPr>
                      <w:color w:val="auto"/>
                      <w:szCs w:val="21"/>
                    </w:rPr>
                  </w:pPr>
                </w:p>
              </w:tc>
              <w:tc>
                <w:tcPr>
                  <w:tcW w:w="467" w:type="pct"/>
                  <w:shd w:val="clear" w:color="auto" w:fill="auto"/>
                  <w:vAlign w:val="center"/>
                </w:tcPr>
                <w:p w14:paraId="27834F8C">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最大超标倍数</w:t>
                  </w:r>
                </w:p>
              </w:tc>
              <w:tc>
                <w:tcPr>
                  <w:tcW w:w="624" w:type="pct"/>
                  <w:shd w:val="clear" w:color="auto" w:fill="auto"/>
                  <w:vAlign w:val="center"/>
                </w:tcPr>
                <w:p w14:paraId="1D3F3184">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590" w:type="pct"/>
                  <w:shd w:val="clear" w:color="auto" w:fill="auto"/>
                  <w:vAlign w:val="center"/>
                </w:tcPr>
                <w:p w14:paraId="2CD8C661">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62" w:type="pct"/>
                  <w:shd w:val="clear" w:color="auto" w:fill="auto"/>
                  <w:vAlign w:val="center"/>
                </w:tcPr>
                <w:p w14:paraId="7099A04D">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777" w:type="pct"/>
                  <w:shd w:val="clear" w:color="auto" w:fill="auto"/>
                  <w:vAlign w:val="center"/>
                </w:tcPr>
                <w:p w14:paraId="7E93D98B">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57" w:type="pct"/>
                  <w:shd w:val="clear" w:color="auto" w:fill="auto"/>
                  <w:vAlign w:val="center"/>
                </w:tcPr>
                <w:p w14:paraId="735A6481">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57" w:type="pct"/>
                  <w:shd w:val="clear" w:color="auto" w:fill="auto"/>
                  <w:vAlign w:val="center"/>
                </w:tcPr>
                <w:p w14:paraId="4D2F786B">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r>
            <w:tr w14:paraId="55C94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7E13BB5E">
                  <w:pPr>
                    <w:adjustRightInd w:val="0"/>
                    <w:snapToGrid w:val="0"/>
                    <w:jc w:val="center"/>
                    <w:rPr>
                      <w:color w:val="auto"/>
                      <w:szCs w:val="21"/>
                    </w:rPr>
                  </w:pPr>
                </w:p>
              </w:tc>
              <w:tc>
                <w:tcPr>
                  <w:tcW w:w="467" w:type="pct"/>
                  <w:shd w:val="clear" w:color="auto" w:fill="auto"/>
                  <w:vAlign w:val="center"/>
                </w:tcPr>
                <w:p w14:paraId="0D047A3A">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超标率</w:t>
                  </w:r>
                </w:p>
              </w:tc>
              <w:tc>
                <w:tcPr>
                  <w:tcW w:w="624" w:type="pct"/>
                  <w:shd w:val="clear" w:color="auto" w:fill="auto"/>
                  <w:vAlign w:val="center"/>
                </w:tcPr>
                <w:p w14:paraId="405092F9">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590" w:type="pct"/>
                  <w:shd w:val="clear" w:color="auto" w:fill="auto"/>
                  <w:vAlign w:val="center"/>
                </w:tcPr>
                <w:p w14:paraId="24559A46">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62" w:type="pct"/>
                  <w:shd w:val="clear" w:color="auto" w:fill="auto"/>
                  <w:vAlign w:val="center"/>
                </w:tcPr>
                <w:p w14:paraId="4DDEC5E0">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777" w:type="pct"/>
                  <w:shd w:val="clear" w:color="auto" w:fill="auto"/>
                  <w:vAlign w:val="center"/>
                </w:tcPr>
                <w:p w14:paraId="45425602">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57" w:type="pct"/>
                  <w:shd w:val="clear" w:color="auto" w:fill="auto"/>
                  <w:vAlign w:val="center"/>
                </w:tcPr>
                <w:p w14:paraId="378B0982">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c>
                <w:tcPr>
                  <w:tcW w:w="657" w:type="pct"/>
                  <w:shd w:val="clear" w:color="auto" w:fill="auto"/>
                  <w:vAlign w:val="center"/>
                </w:tcPr>
                <w:p w14:paraId="600B9379">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w:t>
                  </w:r>
                </w:p>
              </w:tc>
            </w:tr>
            <w:tr w14:paraId="1E7AC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9" w:type="pct"/>
                  <w:gridSpan w:val="2"/>
                  <w:shd w:val="clear" w:color="auto" w:fill="auto"/>
                  <w:vAlign w:val="center"/>
                </w:tcPr>
                <w:p w14:paraId="4348D6A4">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《地表水环境质量标准》（GB3838-2002）Ⅲ类标准</w:t>
                  </w:r>
                </w:p>
              </w:tc>
              <w:tc>
                <w:tcPr>
                  <w:tcW w:w="624" w:type="pct"/>
                  <w:shd w:val="clear" w:color="auto" w:fill="auto"/>
                  <w:vAlign w:val="center"/>
                </w:tcPr>
                <w:p w14:paraId="0BAD5A83">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6-9</w:t>
                  </w:r>
                </w:p>
              </w:tc>
              <w:tc>
                <w:tcPr>
                  <w:tcW w:w="590" w:type="pct"/>
                  <w:shd w:val="clear" w:color="auto" w:fill="auto"/>
                  <w:vAlign w:val="center"/>
                </w:tcPr>
                <w:p w14:paraId="4CFE599E">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20</w:t>
                  </w:r>
                </w:p>
              </w:tc>
              <w:tc>
                <w:tcPr>
                  <w:tcW w:w="662" w:type="pct"/>
                  <w:shd w:val="clear" w:color="auto" w:fill="auto"/>
                  <w:vAlign w:val="center"/>
                </w:tcPr>
                <w:p w14:paraId="775B323B">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4.0</w:t>
                  </w:r>
                </w:p>
              </w:tc>
              <w:tc>
                <w:tcPr>
                  <w:tcW w:w="777" w:type="pct"/>
                  <w:shd w:val="clear" w:color="auto" w:fill="auto"/>
                  <w:vAlign w:val="center"/>
                </w:tcPr>
                <w:p w14:paraId="29444FAE">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1.0</w:t>
                  </w:r>
                </w:p>
              </w:tc>
              <w:tc>
                <w:tcPr>
                  <w:tcW w:w="657" w:type="pct"/>
                  <w:shd w:val="clear" w:color="auto" w:fill="auto"/>
                  <w:vAlign w:val="center"/>
                </w:tcPr>
                <w:p w14:paraId="46E34526">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0.2</w:t>
                  </w:r>
                </w:p>
              </w:tc>
              <w:tc>
                <w:tcPr>
                  <w:tcW w:w="657" w:type="pct"/>
                  <w:shd w:val="clear" w:color="auto" w:fill="auto"/>
                  <w:vAlign w:val="center"/>
                </w:tcPr>
                <w:p w14:paraId="742A9BE5">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1.0</w:t>
                  </w:r>
                </w:p>
              </w:tc>
            </w:tr>
          </w:tbl>
          <w:p w14:paraId="1A1A0E7F">
            <w:pPr>
              <w:snapToGrid w:val="0"/>
              <w:spacing w:line="360" w:lineRule="auto"/>
              <w:ind w:firstLine="480" w:firstLineChars="200"/>
              <w:rPr>
                <w:sz w:val="24"/>
              </w:rPr>
            </w:pPr>
            <w:r>
              <w:rPr>
                <w:sz w:val="24"/>
              </w:rPr>
              <w:t>由上表可知，赵河评价河段监测断面各监测因子均可满足《地表水环境质量标准》（GB3838-2002）中Ⅲ类标准限值要求。</w:t>
            </w:r>
          </w:p>
          <w:p w14:paraId="68AA3EEB">
            <w:pPr>
              <w:pStyle w:val="30"/>
              <w:snapToGrid w:val="0"/>
              <w:spacing w:beforeLines="0" w:after="0" w:line="360" w:lineRule="auto"/>
              <w:rPr>
                <w:rFonts w:hint="default" w:ascii="Times New Roman" w:hAnsi="Times New Roman" w:cs="Times New Roman"/>
                <w:b w:val="0"/>
                <w:color w:val="auto"/>
                <w:szCs w:val="24"/>
                <w:highlight w:val="none"/>
                <w:u w:val="none"/>
              </w:rPr>
            </w:pPr>
            <w:r>
              <w:rPr>
                <w:rFonts w:hint="default" w:ascii="Times New Roman" w:hAnsi="Times New Roman" w:cs="Times New Roman"/>
                <w:b w:val="0"/>
                <w:color w:val="auto"/>
                <w:szCs w:val="24"/>
                <w:highlight w:val="none"/>
                <w:u w:val="none"/>
              </w:rPr>
              <w:t>3、声环境质量现状</w:t>
            </w:r>
          </w:p>
          <w:p w14:paraId="1B0DD9CC">
            <w:pPr>
              <w:adjustRightInd w:val="0"/>
              <w:snapToGrid w:val="0"/>
              <w:spacing w:line="360" w:lineRule="auto"/>
              <w:ind w:firstLine="480" w:firstLineChars="200"/>
              <w:rPr>
                <w:sz w:val="24"/>
              </w:rPr>
            </w:pPr>
            <w:r>
              <w:rPr>
                <w:sz w:val="24"/>
              </w:rPr>
              <w:t>项目选址位于</w:t>
            </w:r>
            <w:r>
              <w:rPr>
                <w:rFonts w:hint="eastAsia"/>
                <w:color w:val="000000"/>
                <w:sz w:val="24"/>
                <w:lang w:val="en-US" w:eastAsia="zh-CN"/>
              </w:rPr>
              <w:t>南阳市镇平县乡村振兴创业园4号楼1楼南</w:t>
            </w:r>
            <w:r>
              <w:rPr>
                <w:sz w:val="24"/>
              </w:rPr>
              <w:t>，项目区50米范围内无声环境保护目标，根据《建设项目环境影响报告表编制技术指南（污染影响类）（试行）》相关内容，本项目不需进行声环境质量现状监测，项目区周围无明显的噪声污染源，项目区域声环境质量现状执行《声环境质量标准》（GB 3096-2008）2类标准要求。</w:t>
            </w:r>
          </w:p>
          <w:p w14:paraId="5E912A5A">
            <w:pPr>
              <w:adjustRightInd w:val="0"/>
              <w:snapToGrid w:val="0"/>
              <w:spacing w:line="360" w:lineRule="auto"/>
              <w:ind w:firstLine="480" w:firstLineChars="200"/>
              <w:rPr>
                <w:rFonts w:hint="default" w:ascii="Times New Roman" w:hAnsi="Times New Roman" w:cs="Times New Roman"/>
                <w:b w:val="0"/>
                <w:color w:val="auto"/>
                <w:sz w:val="24"/>
                <w:szCs w:val="24"/>
                <w:u w:val="none"/>
              </w:rPr>
            </w:pPr>
            <w:r>
              <w:rPr>
                <w:rFonts w:hint="default" w:ascii="Times New Roman" w:hAnsi="Times New Roman" w:cs="Times New Roman"/>
                <w:b w:val="0"/>
                <w:color w:val="auto"/>
                <w:sz w:val="24"/>
                <w:szCs w:val="24"/>
                <w:u w:val="none"/>
              </w:rPr>
              <w:t>4、地下水质量现状</w:t>
            </w:r>
          </w:p>
          <w:p w14:paraId="3B995E0E">
            <w:pPr>
              <w:adjustRightInd w:val="0"/>
              <w:snapToGrid w:val="0"/>
              <w:spacing w:line="360" w:lineRule="auto"/>
              <w:ind w:firstLine="480" w:firstLineChars="200"/>
              <w:rPr>
                <w:rFonts w:hint="default" w:ascii="Times New Roman" w:hAnsi="Times New Roman" w:cs="Times New Roman"/>
                <w:b w:val="0"/>
                <w:color w:val="auto"/>
                <w:sz w:val="24"/>
                <w:szCs w:val="24"/>
                <w:u w:val="none"/>
              </w:rPr>
            </w:pPr>
            <w:r>
              <w:rPr>
                <w:rFonts w:hint="default" w:ascii="Times New Roman" w:hAnsi="Times New Roman" w:cs="Times New Roman"/>
                <w:b w:val="0"/>
                <w:color w:val="auto"/>
                <w:sz w:val="24"/>
                <w:szCs w:val="24"/>
                <w:u w:val="none"/>
              </w:rPr>
              <w:t>本项目</w:t>
            </w:r>
            <w:r>
              <w:rPr>
                <w:rFonts w:hint="default" w:ascii="Times New Roman" w:hAnsi="Times New Roman" w:cs="Times New Roman"/>
                <w:b w:val="0"/>
                <w:color w:val="auto"/>
                <w:sz w:val="24"/>
                <w:szCs w:val="24"/>
                <w:u w:val="none"/>
                <w:lang w:val="en-US" w:eastAsia="zh-CN"/>
              </w:rPr>
              <w:t>生产车间、仓储车间、</w:t>
            </w:r>
            <w:r>
              <w:rPr>
                <w:rFonts w:hint="default" w:ascii="Times New Roman" w:hAnsi="Times New Roman" w:cs="Times New Roman"/>
                <w:b w:val="0"/>
                <w:color w:val="auto"/>
                <w:sz w:val="24"/>
                <w:szCs w:val="24"/>
                <w:u w:val="none"/>
              </w:rPr>
              <w:t>化粪池以及</w:t>
            </w:r>
            <w:r>
              <w:rPr>
                <w:rFonts w:hint="default" w:ascii="Times New Roman" w:hAnsi="Times New Roman" w:cs="Times New Roman"/>
                <w:b w:val="0"/>
                <w:color w:val="auto"/>
                <w:sz w:val="24"/>
                <w:szCs w:val="24"/>
                <w:u w:val="none"/>
                <w:lang w:val="en-US" w:eastAsia="zh-CN"/>
              </w:rPr>
              <w:t>一般固废暂存间等</w:t>
            </w:r>
            <w:r>
              <w:rPr>
                <w:rFonts w:hint="default" w:ascii="Times New Roman" w:hAnsi="Times New Roman" w:cs="Times New Roman"/>
                <w:b w:val="0"/>
                <w:color w:val="auto"/>
                <w:sz w:val="24"/>
                <w:szCs w:val="24"/>
                <w:u w:val="none"/>
              </w:rPr>
              <w:t>采用一般防渗措施，危废暂存间、生产车间内</w:t>
            </w:r>
            <w:r>
              <w:rPr>
                <w:rFonts w:hint="default" w:ascii="Times New Roman" w:hAnsi="Times New Roman" w:cs="Times New Roman"/>
                <w:b w:val="0"/>
                <w:color w:val="auto"/>
                <w:sz w:val="24"/>
                <w:szCs w:val="24"/>
                <w:u w:val="none"/>
                <w:lang w:val="en-US" w:eastAsia="zh-CN"/>
              </w:rPr>
              <w:t>速冻隧道、冷库等</w:t>
            </w:r>
            <w:r>
              <w:rPr>
                <w:rFonts w:hint="default" w:ascii="Times New Roman" w:hAnsi="Times New Roman" w:cs="Times New Roman"/>
                <w:b w:val="0"/>
                <w:color w:val="auto"/>
                <w:sz w:val="24"/>
                <w:szCs w:val="24"/>
                <w:u w:val="none"/>
              </w:rPr>
              <w:t>采用重点防渗措</w:t>
            </w:r>
            <w:commentRangeStart w:id="67"/>
            <w:r>
              <w:rPr>
                <w:rFonts w:hint="default" w:ascii="Times New Roman" w:hAnsi="Times New Roman" w:cs="Times New Roman"/>
                <w:b w:val="0"/>
                <w:color w:val="auto"/>
                <w:sz w:val="24"/>
                <w:szCs w:val="24"/>
                <w:u w:val="none"/>
              </w:rPr>
              <w:t>施，不存在地下水、土壤污染</w:t>
            </w:r>
            <w:commentRangeEnd w:id="67"/>
            <w:r>
              <w:commentReference w:id="67"/>
            </w:r>
            <w:r>
              <w:rPr>
                <w:rFonts w:hint="default" w:ascii="Times New Roman" w:hAnsi="Times New Roman" w:cs="Times New Roman"/>
                <w:b w:val="0"/>
                <w:color w:val="auto"/>
                <w:sz w:val="24"/>
                <w:szCs w:val="24"/>
                <w:u w:val="none"/>
              </w:rPr>
              <w:t>途径，因此项目不开展地下水及土壤环境质量现状调查。</w:t>
            </w:r>
          </w:p>
          <w:p w14:paraId="3710948C">
            <w:pPr>
              <w:adjustRightInd w:val="0"/>
              <w:snapToGrid w:val="0"/>
              <w:spacing w:line="360" w:lineRule="auto"/>
              <w:ind w:firstLine="480" w:firstLineChars="200"/>
              <w:rPr>
                <w:rFonts w:hint="default" w:ascii="Times New Roman" w:hAnsi="Times New Roman" w:cs="Times New Roman"/>
                <w:b w:val="0"/>
                <w:color w:val="auto"/>
                <w:sz w:val="24"/>
                <w:szCs w:val="24"/>
                <w:u w:val="none"/>
              </w:rPr>
            </w:pPr>
            <w:r>
              <w:rPr>
                <w:rFonts w:hint="default" w:ascii="Times New Roman" w:hAnsi="Times New Roman" w:cs="Times New Roman"/>
                <w:b w:val="0"/>
                <w:color w:val="auto"/>
                <w:sz w:val="24"/>
                <w:szCs w:val="24"/>
                <w:u w:val="none"/>
              </w:rPr>
              <w:t>5、生态环境质量现状</w:t>
            </w:r>
          </w:p>
          <w:p w14:paraId="2FBA0529">
            <w:pPr>
              <w:adjustRightInd w:val="0"/>
              <w:snapToGrid w:val="0"/>
              <w:spacing w:line="360" w:lineRule="auto"/>
              <w:ind w:firstLine="480" w:firstLineChars="200"/>
              <w:rPr>
                <w:rFonts w:hint="default" w:ascii="Times New Roman" w:hAnsi="Times New Roman" w:cs="Times New Roman"/>
                <w:b w:val="0"/>
                <w:color w:val="auto"/>
                <w:szCs w:val="24"/>
                <w:u w:val="none"/>
              </w:rPr>
            </w:pPr>
            <w:r>
              <w:rPr>
                <w:rFonts w:hint="default" w:ascii="Times New Roman" w:hAnsi="Times New Roman" w:cs="Times New Roman"/>
                <w:b w:val="0"/>
                <w:color w:val="auto"/>
                <w:sz w:val="24"/>
                <w:szCs w:val="24"/>
                <w:u w:val="none"/>
              </w:rPr>
              <w:t>项目所在地区以人工生态系统为主的生态系统，生态系统结构和功能比较单一。天然植被已经被人工植被取代，生物资源均为常见种，生态敏感性低。项目所在地区及周边无珍稀动植物存在，无规划的自然生态保护区，无重点保护的野生动植物。</w:t>
            </w:r>
          </w:p>
        </w:tc>
      </w:tr>
      <w:tr w14:paraId="41E3D1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8" w:type="pct"/>
            <w:noWrap w:val="0"/>
            <w:vAlign w:val="center"/>
          </w:tcPr>
          <w:p w14:paraId="0D15A416">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环境</w:t>
            </w:r>
          </w:p>
          <w:p w14:paraId="2EAD168E">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保护</w:t>
            </w:r>
          </w:p>
          <w:p w14:paraId="4912126F">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目标</w:t>
            </w:r>
          </w:p>
        </w:tc>
        <w:tc>
          <w:tcPr>
            <w:tcW w:w="4771" w:type="pct"/>
            <w:noWrap w:val="0"/>
            <w:vAlign w:val="center"/>
          </w:tcPr>
          <w:p w14:paraId="268CA4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u w:val="none"/>
                <w:lang w:val="en-GB"/>
              </w:rPr>
            </w:pPr>
            <w:r>
              <w:rPr>
                <w:rFonts w:hint="default" w:ascii="Times New Roman" w:hAnsi="Times New Roman" w:cs="Times New Roman"/>
                <w:color w:val="auto"/>
                <w:sz w:val="24"/>
                <w:highlight w:val="none"/>
                <w:u w:val="none"/>
                <w:lang w:val="en-GB"/>
              </w:rPr>
              <w:t>经现场调查，项目厂界外500m范围内无自然保护区、无风景名胜区，无地下水集中式饮用水水源和热水、矿泉水、温泉等特殊地下水资源；项目用地范围内无生态环境保护目标。</w:t>
            </w:r>
          </w:p>
          <w:p w14:paraId="645CB8D4">
            <w:pPr>
              <w:keepNext w:val="0"/>
              <w:keepLines w:val="0"/>
              <w:pageBreakBefore w:val="0"/>
              <w:widowControl w:val="0"/>
              <w:tabs>
                <w:tab w:val="left" w:pos="108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yellow"/>
                <w:u w:val="none"/>
              </w:rPr>
            </w:pPr>
            <w:r>
              <w:rPr>
                <w:rFonts w:hint="default" w:ascii="Times New Roman" w:hAnsi="Times New Roman" w:cs="Times New Roman"/>
                <w:color w:val="auto"/>
                <w:sz w:val="24"/>
                <w:highlight w:val="none"/>
                <w:u w:val="none"/>
                <w:lang w:val="en-GB"/>
              </w:rPr>
              <w:t>本项目位于</w:t>
            </w:r>
            <w:r>
              <w:rPr>
                <w:rFonts w:hint="eastAsia"/>
                <w:color w:val="000000"/>
                <w:sz w:val="24"/>
                <w:lang w:val="en-US" w:eastAsia="zh-CN"/>
              </w:rPr>
              <w:t>南阳市镇平县乡村振兴创业园4号楼1楼南</w:t>
            </w:r>
            <w:r>
              <w:rPr>
                <w:rFonts w:hint="default" w:ascii="Times New Roman" w:hAnsi="Times New Roman" w:cs="Times New Roman"/>
                <w:color w:val="auto"/>
                <w:sz w:val="24"/>
                <w:highlight w:val="none"/>
                <w:u w:val="none"/>
                <w:lang w:val="en-GB"/>
              </w:rPr>
              <w:t>，占地</w:t>
            </w:r>
            <w:commentRangeStart w:id="68"/>
            <w:r>
              <w:rPr>
                <w:rFonts w:hint="default" w:ascii="Times New Roman" w:hAnsi="Times New Roman" w:cs="Times New Roman"/>
                <w:color w:val="auto"/>
                <w:sz w:val="24"/>
                <w:highlight w:val="none"/>
                <w:u w:val="none"/>
                <w:lang w:val="en-GB"/>
              </w:rPr>
              <w:t>面积约</w:t>
            </w:r>
            <w:r>
              <w:rPr>
                <w:rFonts w:hint="default" w:ascii="Times New Roman" w:hAnsi="Times New Roman" w:cs="Times New Roman"/>
                <w:color w:val="auto"/>
                <w:sz w:val="24"/>
                <w:highlight w:val="none"/>
                <w:u w:val="none"/>
                <w:lang w:val="en-GB" w:eastAsia="zh-CN"/>
              </w:rPr>
              <w:t>17206.22</w:t>
            </w:r>
            <w:r>
              <w:rPr>
                <w:rFonts w:hint="default" w:ascii="Times New Roman" w:hAnsi="Times New Roman" w:eastAsia="宋体" w:cs="Times New Roman"/>
                <w:color w:val="000000" w:themeColor="text1"/>
                <w:sz w:val="24"/>
                <w:szCs w:val="24"/>
                <w:highlight w:val="none"/>
                <w:u w:val="none" w:color="auto"/>
                <w:lang w:eastAsia="zh-CN"/>
                <w14:textFill>
                  <w14:solidFill>
                    <w14:schemeClr w14:val="tx1"/>
                  </w14:solidFill>
                </w14:textFill>
              </w:rPr>
              <w:t>m</w:t>
            </w:r>
            <w:r>
              <w:rPr>
                <w:rFonts w:hint="default" w:ascii="Times New Roman" w:hAnsi="Times New Roman" w:eastAsia="宋体" w:cs="Times New Roman"/>
                <w:strike w:val="0"/>
                <w:dstrike w:val="0"/>
                <w:color w:val="000000" w:themeColor="text1"/>
                <w:sz w:val="24"/>
                <w:szCs w:val="24"/>
                <w:highlight w:val="none"/>
                <w:u w:val="none" w:color="auto"/>
                <w:vertAlign w:val="superscript"/>
                <w:lang w:eastAsia="zh-CN"/>
                <w14:textFill>
                  <w14:solidFill>
                    <w14:schemeClr w14:val="tx1"/>
                  </w14:solidFill>
                </w14:textFill>
              </w:rPr>
              <w:t>2</w:t>
            </w:r>
            <w:commentRangeEnd w:id="68"/>
            <w:r>
              <w:commentReference w:id="68"/>
            </w:r>
            <w:r>
              <w:rPr>
                <w:rFonts w:hint="default" w:ascii="Times New Roman" w:hAnsi="Times New Roman" w:cs="Times New Roman"/>
                <w:color w:val="auto"/>
                <w:sz w:val="24"/>
                <w:highlight w:val="none"/>
                <w:u w:val="none"/>
              </w:rPr>
              <w:t>，</w:t>
            </w:r>
            <w:r>
              <w:rPr>
                <w:rFonts w:hint="default" w:ascii="Times New Roman" w:hAnsi="Times New Roman" w:cs="Times New Roman"/>
                <w:color w:val="auto"/>
                <w:sz w:val="24"/>
                <w:highlight w:val="none"/>
                <w:u w:val="none"/>
                <w:lang w:val="en-GB"/>
              </w:rPr>
              <w:t>经现场调查，</w:t>
            </w:r>
            <w:r>
              <w:rPr>
                <w:rFonts w:hint="default" w:ascii="Times New Roman" w:hAnsi="Times New Roman" w:cs="Times New Roman"/>
                <w:color w:val="auto"/>
                <w:sz w:val="24"/>
                <w:highlight w:val="none"/>
                <w:u w:val="none"/>
              </w:rPr>
              <w:t>项目</w:t>
            </w:r>
            <w:r>
              <w:rPr>
                <w:rFonts w:hint="eastAsia" w:cs="Times New Roman"/>
                <w:color w:val="auto"/>
                <w:sz w:val="24"/>
                <w:highlight w:val="none"/>
                <w:u w:val="none"/>
                <w:lang w:val="en-US" w:eastAsia="zh-CN"/>
              </w:rPr>
              <w:t>东侧为玉神北路</w:t>
            </w:r>
            <w:r>
              <w:rPr>
                <w:rFonts w:hint="default" w:ascii="Times New Roman" w:hAnsi="Times New Roman" w:cs="Times New Roman"/>
                <w:color w:val="auto"/>
                <w:sz w:val="24"/>
                <w:highlight w:val="none"/>
                <w:u w:val="none"/>
              </w:rPr>
              <w:t>，</w:t>
            </w:r>
            <w:r>
              <w:rPr>
                <w:rFonts w:hint="eastAsia" w:cs="Times New Roman"/>
                <w:color w:val="auto"/>
                <w:sz w:val="24"/>
                <w:highlight w:val="none"/>
                <w:u w:val="none"/>
                <w:lang w:val="en-US" w:eastAsia="zh-CN"/>
              </w:rPr>
              <w:t>南侧为某厂家车间</w:t>
            </w:r>
            <w:r>
              <w:rPr>
                <w:rFonts w:hint="default" w:ascii="Times New Roman" w:hAnsi="Times New Roman" w:cs="Times New Roman"/>
                <w:color w:val="auto"/>
                <w:sz w:val="24"/>
                <w:highlight w:val="none"/>
                <w:u w:val="none"/>
                <w:lang w:val="en-GB"/>
              </w:rPr>
              <w:t>，</w:t>
            </w:r>
            <w:r>
              <w:rPr>
                <w:rFonts w:hint="eastAsia" w:cs="Times New Roman"/>
                <w:color w:val="auto"/>
                <w:sz w:val="24"/>
                <w:highlight w:val="none"/>
                <w:u w:val="none"/>
                <w:lang w:val="en-US" w:eastAsia="zh-CN"/>
              </w:rPr>
              <w:t>西侧为空地</w:t>
            </w:r>
            <w:r>
              <w:rPr>
                <w:rFonts w:hint="default" w:ascii="Times New Roman" w:hAnsi="Times New Roman" w:cs="Times New Roman"/>
                <w:color w:val="auto"/>
                <w:sz w:val="24"/>
                <w:highlight w:val="none"/>
                <w:u w:val="none"/>
              </w:rPr>
              <w:t>，</w:t>
            </w:r>
            <w:r>
              <w:rPr>
                <w:rFonts w:hint="eastAsia" w:cs="Times New Roman"/>
                <w:color w:val="auto"/>
                <w:sz w:val="24"/>
                <w:highlight w:val="none"/>
                <w:u w:val="none"/>
                <w:lang w:val="en-US" w:eastAsia="zh-CN"/>
              </w:rPr>
              <w:t>北侧</w:t>
            </w:r>
            <w:r>
              <w:rPr>
                <w:rFonts w:hint="default" w:ascii="Times New Roman" w:hAnsi="Times New Roman" w:cs="Times New Roman"/>
                <w:color w:val="auto"/>
                <w:sz w:val="24"/>
                <w:highlight w:val="none"/>
                <w:u w:val="none"/>
              </w:rPr>
              <w:t>为</w:t>
            </w:r>
            <w:r>
              <w:rPr>
                <w:rFonts w:hint="default" w:ascii="Times New Roman" w:hAnsi="Times New Roman" w:cs="Times New Roman"/>
                <w:color w:val="auto"/>
                <w:sz w:val="24"/>
                <w:highlight w:val="none"/>
                <w:u w:val="none"/>
                <w:lang w:val="en-US" w:eastAsia="zh-CN"/>
              </w:rPr>
              <w:t>杏山大</w:t>
            </w:r>
            <w:commentRangeStart w:id="69"/>
            <w:r>
              <w:rPr>
                <w:rFonts w:hint="default" w:ascii="Times New Roman" w:hAnsi="Times New Roman" w:cs="Times New Roman"/>
                <w:color w:val="auto"/>
                <w:sz w:val="24"/>
                <w:highlight w:val="none"/>
                <w:u w:val="none"/>
                <w:lang w:val="en-US" w:eastAsia="zh-CN"/>
              </w:rPr>
              <w:t>道</w:t>
            </w:r>
            <w:r>
              <w:rPr>
                <w:rFonts w:hint="default" w:ascii="Times New Roman" w:hAnsi="Times New Roman" w:cs="Times New Roman"/>
                <w:color w:val="auto"/>
                <w:sz w:val="24"/>
                <w:highlight w:val="none"/>
                <w:u w:val="none"/>
                <w:lang w:val="en-GB"/>
              </w:rPr>
              <w:t>；项目</w:t>
            </w:r>
            <w:r>
              <w:rPr>
                <w:rFonts w:hint="eastAsia" w:cs="Times New Roman"/>
                <w:color w:val="auto"/>
                <w:sz w:val="24"/>
                <w:highlight w:val="none"/>
                <w:u w:val="none"/>
                <w:lang w:val="en-US" w:eastAsia="zh-CN"/>
              </w:rPr>
              <w:t>西北距汤庄41m、小李庄385m，东北距大刘营村323m，东南距花坊</w:t>
            </w:r>
            <w:commentRangeEnd w:id="69"/>
            <w:r>
              <w:commentReference w:id="69"/>
            </w:r>
            <w:r>
              <w:rPr>
                <w:rFonts w:hint="eastAsia" w:cs="Times New Roman"/>
                <w:color w:val="auto"/>
                <w:sz w:val="24"/>
                <w:highlight w:val="none"/>
                <w:u w:val="none"/>
                <w:lang w:val="en-US" w:eastAsia="zh-CN"/>
              </w:rPr>
              <w:t>庄268m，西北距九曲河753m，西南距赵河</w:t>
            </w:r>
            <w:commentRangeStart w:id="70"/>
            <w:r>
              <w:rPr>
                <w:rFonts w:hint="eastAsia" w:cs="Times New Roman"/>
                <w:color w:val="auto"/>
                <w:sz w:val="24"/>
                <w:highlight w:val="none"/>
                <w:u w:val="none"/>
                <w:lang w:val="en-US" w:eastAsia="zh-CN"/>
              </w:rPr>
              <w:t>2.267km</w:t>
            </w:r>
            <w:r>
              <w:rPr>
                <w:rFonts w:hint="default" w:ascii="Times New Roman" w:hAnsi="Times New Roman" w:cs="Times New Roman"/>
                <w:color w:val="auto"/>
                <w:sz w:val="24"/>
                <w:highlight w:val="none"/>
                <w:u w:val="none"/>
                <w:lang w:val="en-GB"/>
              </w:rPr>
              <w:t>。</w:t>
            </w:r>
            <w:commentRangeEnd w:id="70"/>
            <w:r>
              <w:commentReference w:id="70"/>
            </w:r>
            <w:r>
              <w:rPr>
                <w:rFonts w:hint="default" w:ascii="Times New Roman" w:hAnsi="Times New Roman" w:cs="Times New Roman"/>
                <w:color w:val="auto"/>
                <w:sz w:val="24"/>
                <w:highlight w:val="none"/>
                <w:u w:val="none"/>
                <w:lang w:val="en-GB"/>
              </w:rPr>
              <w:t>项目周边环境保护目标详见</w:t>
            </w:r>
            <w:r>
              <w:rPr>
                <w:rFonts w:hint="default" w:ascii="Times New Roman" w:hAnsi="Times New Roman" w:cs="Times New Roman"/>
                <w:color w:val="auto"/>
                <w:sz w:val="24"/>
                <w:highlight w:val="none"/>
                <w:u w:val="none"/>
              </w:rPr>
              <w:t xml:space="preserve">下表。  </w:t>
            </w:r>
          </w:p>
          <w:p w14:paraId="3BD2126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z w:val="24"/>
                <w:szCs w:val="24"/>
                <w:u w:val="none"/>
                <w:lang w:val="en-GB"/>
              </w:rPr>
            </w:pPr>
            <w:r>
              <w:rPr>
                <w:rFonts w:hint="default" w:ascii="Times New Roman" w:hAnsi="Times New Roman" w:cs="Times New Roman"/>
                <w:b/>
                <w:bCs/>
                <w:color w:val="auto"/>
                <w:sz w:val="24"/>
                <w:szCs w:val="24"/>
                <w:u w:val="none"/>
                <w:lang w:val="en-GB"/>
              </w:rPr>
              <w:t>表3-</w:t>
            </w:r>
            <w:r>
              <w:rPr>
                <w:rFonts w:hint="eastAsia" w:cs="Times New Roman"/>
                <w:b/>
                <w:bCs/>
                <w:color w:val="auto"/>
                <w:sz w:val="24"/>
                <w:szCs w:val="24"/>
                <w:u w:val="none"/>
                <w:lang w:val="en-US" w:eastAsia="zh-CN"/>
              </w:rPr>
              <w:t>3</w:t>
            </w:r>
            <w:r>
              <w:rPr>
                <w:rFonts w:hint="eastAsia" w:ascii="Times New Roman" w:hAnsi="Times New Roman" w:cs="Times New Roman"/>
                <w:b/>
                <w:bCs/>
                <w:color w:val="auto"/>
                <w:sz w:val="24"/>
                <w:szCs w:val="24"/>
                <w:u w:val="none"/>
                <w:lang w:val="en-US" w:eastAsia="zh-CN"/>
              </w:rPr>
              <w:t xml:space="preserve">  </w:t>
            </w:r>
            <w:r>
              <w:rPr>
                <w:rFonts w:hint="default" w:ascii="Times New Roman" w:hAnsi="Times New Roman" w:cs="Times New Roman"/>
                <w:b/>
                <w:bCs/>
                <w:color w:val="auto"/>
                <w:sz w:val="24"/>
                <w:szCs w:val="24"/>
                <w:u w:val="none"/>
                <w:lang w:val="en-GB"/>
              </w:rPr>
              <w:t>主要环境保护目标</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1892"/>
              <w:gridCol w:w="1684"/>
              <w:gridCol w:w="1929"/>
              <w:gridCol w:w="2519"/>
            </w:tblGrid>
            <w:tr w14:paraId="1B749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6071AB44">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环境因素</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9FE4051">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保护目标</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57976446">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方位</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B21B3A6">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距厂界</w:t>
                  </w:r>
                  <w:r>
                    <w:rPr>
                      <w:rFonts w:hint="default" w:ascii="Times New Roman" w:hAnsi="Times New Roman" w:cs="Times New Roman"/>
                      <w:b w:val="0"/>
                      <w:bCs w:val="0"/>
                      <w:color w:val="auto"/>
                      <w:szCs w:val="21"/>
                      <w:highlight w:val="none"/>
                      <w:u w:val="none"/>
                      <w:lang w:eastAsia="zh-TW"/>
                    </w:rPr>
                    <w:t>距离</w:t>
                  </w:r>
                </w:p>
              </w:tc>
              <w:tc>
                <w:tcPr>
                  <w:tcW w:w="1359" w:type="pct"/>
                  <w:tcBorders>
                    <w:top w:val="single" w:color="auto" w:sz="4" w:space="0"/>
                    <w:left w:val="single" w:color="auto" w:sz="4" w:space="0"/>
                    <w:bottom w:val="single" w:color="auto" w:sz="4" w:space="0"/>
                    <w:right w:val="single" w:color="auto" w:sz="4" w:space="0"/>
                  </w:tcBorders>
                  <w:noWrap w:val="0"/>
                  <w:vAlign w:val="center"/>
                </w:tcPr>
                <w:p w14:paraId="0E2E0BB6">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保</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护</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级</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别</w:t>
                  </w:r>
                </w:p>
              </w:tc>
            </w:tr>
            <w:tr w14:paraId="47F6E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restart"/>
                  <w:tcBorders>
                    <w:top w:val="single" w:color="auto" w:sz="4" w:space="0"/>
                    <w:left w:val="single" w:color="auto" w:sz="4" w:space="0"/>
                    <w:right w:val="single" w:color="auto" w:sz="4" w:space="0"/>
                  </w:tcBorders>
                  <w:noWrap w:val="0"/>
                  <w:vAlign w:val="center"/>
                </w:tcPr>
                <w:p w14:paraId="7972C32B">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大气环境</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53A6D2D0">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庞坡</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4E27E936">
                  <w:pPr>
                    <w:jc w:val="center"/>
                    <w:rPr>
                      <w:rFonts w:hint="eastAsia"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S</w:t>
                  </w:r>
                  <w:r>
                    <w:rPr>
                      <w:rFonts w:hint="eastAsia" w:cs="Times New Roman"/>
                      <w:b w:val="0"/>
                      <w:bCs w:val="0"/>
                      <w:color w:val="auto"/>
                      <w:szCs w:val="21"/>
                      <w:highlight w:val="none"/>
                      <w:u w:val="none"/>
                      <w:lang w:val="en-US" w:eastAsia="zh-CN" w:bidi="ar"/>
                    </w:rPr>
                    <w:t>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1A80A4DF">
                  <w:pPr>
                    <w:jc w:val="center"/>
                    <w:rPr>
                      <w:rFonts w:hint="default" w:ascii="Times New Roman" w:hAnsi="Times New Roman" w:eastAsia="宋体"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429m</w:t>
                  </w:r>
                </w:p>
              </w:tc>
              <w:tc>
                <w:tcPr>
                  <w:tcW w:w="1359" w:type="pct"/>
                  <w:vMerge w:val="restart"/>
                  <w:tcBorders>
                    <w:top w:val="single" w:color="auto" w:sz="4" w:space="0"/>
                    <w:left w:val="single" w:color="auto" w:sz="4" w:space="0"/>
                    <w:right w:val="single" w:color="auto" w:sz="4" w:space="0"/>
                  </w:tcBorders>
                  <w:noWrap w:val="0"/>
                  <w:vAlign w:val="center"/>
                </w:tcPr>
                <w:p w14:paraId="7CB24D84">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《环境空气质量标准》（GB 3095-2012）二级标准</w:t>
                  </w:r>
                </w:p>
              </w:tc>
            </w:tr>
            <w:tr w14:paraId="330BC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54945946">
                  <w:pPr>
                    <w:jc w:val="center"/>
                    <w:rPr>
                      <w:rFonts w:hint="default" w:ascii="Times New Roman" w:hAnsi="Times New Roman" w:cs="Times New Roman"/>
                      <w:b w:val="0"/>
                      <w:bCs w:val="0"/>
                      <w:color w:val="auto"/>
                      <w:szCs w:val="21"/>
                      <w:highlight w:val="none"/>
                      <w:u w:val="none"/>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532B34A">
                  <w:pPr>
                    <w:jc w:val="center"/>
                    <w:rPr>
                      <w:rFonts w:hint="default"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小蒋坡</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5D5F4213">
                  <w:pPr>
                    <w:jc w:val="center"/>
                    <w:rPr>
                      <w:rFonts w:hint="eastAsia"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t>
                  </w:r>
                  <w:r>
                    <w:rPr>
                      <w:rFonts w:hint="eastAsia" w:cs="Times New Roman"/>
                      <w:b w:val="0"/>
                      <w:bCs w:val="0"/>
                      <w:color w:val="auto"/>
                      <w:szCs w:val="21"/>
                      <w:highlight w:val="none"/>
                      <w:u w:val="none"/>
                      <w:lang w:val="en-US" w:eastAsia="zh-CN" w:bidi="ar"/>
                    </w:rPr>
                    <w:t>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52894428">
                  <w:pPr>
                    <w:jc w:val="center"/>
                    <w:rPr>
                      <w:rFonts w:hint="default"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445m</w:t>
                  </w:r>
                </w:p>
              </w:tc>
              <w:tc>
                <w:tcPr>
                  <w:tcW w:w="1359" w:type="pct"/>
                  <w:vMerge w:val="continue"/>
                  <w:tcBorders>
                    <w:left w:val="single" w:color="auto" w:sz="4" w:space="0"/>
                    <w:right w:val="single" w:color="auto" w:sz="4" w:space="0"/>
                  </w:tcBorders>
                  <w:noWrap w:val="0"/>
                  <w:vAlign w:val="center"/>
                </w:tcPr>
                <w:p w14:paraId="331325D6">
                  <w:pPr>
                    <w:jc w:val="center"/>
                    <w:rPr>
                      <w:rFonts w:hint="default" w:ascii="Times New Roman" w:hAnsi="Times New Roman" w:cs="Times New Roman"/>
                      <w:b w:val="0"/>
                      <w:bCs w:val="0"/>
                      <w:color w:val="auto"/>
                      <w:szCs w:val="21"/>
                      <w:highlight w:val="none"/>
                      <w:u w:val="none"/>
                    </w:rPr>
                  </w:pPr>
                </w:p>
              </w:tc>
            </w:tr>
            <w:tr w14:paraId="22B18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right w:val="single" w:color="auto" w:sz="4" w:space="0"/>
                  </w:tcBorders>
                  <w:noWrap w:val="0"/>
                  <w:vAlign w:val="center"/>
                </w:tcPr>
                <w:p w14:paraId="232DBC73">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声环境</w:t>
                  </w:r>
                </w:p>
              </w:tc>
              <w:tc>
                <w:tcPr>
                  <w:tcW w:w="4330" w:type="pct"/>
                  <w:gridSpan w:val="4"/>
                  <w:tcBorders>
                    <w:top w:val="single" w:color="auto" w:sz="4" w:space="0"/>
                    <w:left w:val="single" w:color="auto" w:sz="4" w:space="0"/>
                    <w:bottom w:val="single" w:color="auto" w:sz="4" w:space="0"/>
                    <w:right w:val="single" w:color="auto" w:sz="4" w:space="0"/>
                  </w:tcBorders>
                  <w:noWrap w:val="0"/>
                  <w:vAlign w:val="center"/>
                </w:tcPr>
                <w:p w14:paraId="40431AC3">
                  <w:pPr>
                    <w:jc w:val="center"/>
                    <w:rPr>
                      <w:rFonts w:hint="default" w:ascii="Times New Roman" w:hAnsi="Times New Roman" w:eastAsia="宋体" w:cs="Times New Roman"/>
                      <w:sz w:val="21"/>
                      <w:szCs w:val="21"/>
                      <w:highlight w:val="none"/>
                    </w:rPr>
                  </w:pPr>
                  <w:r>
                    <w:rPr>
                      <w:color w:val="000000"/>
                      <w:szCs w:val="21"/>
                    </w:rPr>
                    <w:t>厂界外50米范围内无声环境保护目标</w:t>
                  </w:r>
                </w:p>
              </w:tc>
            </w:tr>
            <w:tr w14:paraId="142AA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right w:val="single" w:color="auto" w:sz="4" w:space="0"/>
                  </w:tcBorders>
                  <w:noWrap w:val="0"/>
                  <w:vAlign w:val="center"/>
                </w:tcPr>
                <w:p w14:paraId="71962562">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64B4F21">
                  <w:pPr>
                    <w:jc w:val="center"/>
                    <w:rPr>
                      <w:rFonts w:hint="eastAsia" w:ascii="Times New Roman" w:hAnsi="Times New Roman" w:eastAsia="宋体" w:cs="Times New Roman"/>
                      <w:b w:val="0"/>
                      <w:bCs w:val="0"/>
                      <w:color w:val="auto"/>
                      <w:szCs w:val="21"/>
                      <w:highlight w:val="none"/>
                      <w:u w:val="none"/>
                      <w:lang w:val="en-US" w:eastAsia="zh-CN"/>
                    </w:rPr>
                  </w:pPr>
                  <w:r>
                    <w:commentReference w:id="71"/>
                  </w:r>
                  <w:r>
                    <w:rPr>
                      <w:rFonts w:hint="eastAsia" w:cs="Times New Roman"/>
                      <w:b w:val="0"/>
                      <w:bCs w:val="0"/>
                      <w:color w:val="auto"/>
                      <w:szCs w:val="21"/>
                      <w:highlight w:val="none"/>
                      <w:u w:val="none"/>
                      <w:lang w:val="en-US" w:eastAsia="zh-CN"/>
                    </w:rPr>
                    <w:t>赵河</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3671D255">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40C0F235">
                  <w:pPr>
                    <w:jc w:val="center"/>
                    <w:rPr>
                      <w:rFonts w:hint="default" w:ascii="Times New Roman" w:hAnsi="Times New Roman" w:eastAsia="宋体" w:cs="Times New Roman"/>
                      <w:b w:val="0"/>
                      <w:bCs w:val="0"/>
                      <w:color w:val="auto"/>
                      <w:szCs w:val="21"/>
                      <w:highlight w:val="none"/>
                      <w:u w:val="none"/>
                      <w:lang w:val="en-US" w:eastAsia="zh-CN"/>
                    </w:rPr>
                  </w:pPr>
                  <w:commentRangeStart w:id="72"/>
                  <w:r>
                    <w:rPr>
                      <w:rFonts w:hint="eastAsia" w:cs="Times New Roman"/>
                      <w:b w:val="0"/>
                      <w:bCs w:val="0"/>
                      <w:color w:val="auto"/>
                      <w:szCs w:val="21"/>
                      <w:highlight w:val="none"/>
                      <w:u w:val="none"/>
                      <w:lang w:val="en-US" w:eastAsia="zh-CN"/>
                    </w:rPr>
                    <w:t>1.15</w:t>
                  </w:r>
                  <w:r>
                    <w:rPr>
                      <w:rFonts w:hint="default" w:ascii="Times New Roman" w:hAnsi="Times New Roman" w:eastAsia="宋体" w:cs="Times New Roman"/>
                      <w:b w:val="0"/>
                      <w:bCs w:val="0"/>
                      <w:color w:val="auto"/>
                      <w:szCs w:val="21"/>
                      <w:highlight w:val="none"/>
                      <w:u w:val="none"/>
                      <w:lang w:val="en-US" w:eastAsia="zh-CN"/>
                    </w:rPr>
                    <w:t>km</w:t>
                  </w:r>
                  <w:commentRangeEnd w:id="72"/>
                  <w:r>
                    <w:commentReference w:id="72"/>
                  </w:r>
                </w:p>
              </w:tc>
              <w:tc>
                <w:tcPr>
                  <w:tcW w:w="1359" w:type="pct"/>
                  <w:tcBorders>
                    <w:top w:val="single" w:color="auto" w:sz="4" w:space="0"/>
                    <w:left w:val="single" w:color="auto" w:sz="4" w:space="0"/>
                    <w:right w:val="single" w:color="auto" w:sz="4" w:space="0"/>
                  </w:tcBorders>
                  <w:noWrap w:val="0"/>
                  <w:vAlign w:val="center"/>
                </w:tcPr>
                <w:p w14:paraId="4457AFBC">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《地表水环境质量标准》（GB 3838-2002）中Ⅲ类水质标准</w:t>
                  </w:r>
                </w:p>
              </w:tc>
            </w:tr>
            <w:tr w14:paraId="71A06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693874F3">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地下水</w:t>
                  </w:r>
                </w:p>
              </w:tc>
              <w:tc>
                <w:tcPr>
                  <w:tcW w:w="4330" w:type="pct"/>
                  <w:gridSpan w:val="4"/>
                  <w:tcBorders>
                    <w:top w:val="single" w:color="auto" w:sz="4" w:space="0"/>
                    <w:left w:val="single" w:color="auto" w:sz="4" w:space="0"/>
                    <w:bottom w:val="single" w:color="auto" w:sz="4" w:space="0"/>
                    <w:right w:val="single" w:color="auto" w:sz="4" w:space="0"/>
                  </w:tcBorders>
                  <w:noWrap w:val="0"/>
                  <w:vAlign w:val="center"/>
                </w:tcPr>
                <w:p w14:paraId="21BEB2AA">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厂界外500m范围内</w:t>
                  </w:r>
                  <w:r>
                    <w:rPr>
                      <w:rFonts w:hint="default" w:ascii="Times New Roman" w:hAnsi="Times New Roman" w:cs="Times New Roman"/>
                      <w:b w:val="0"/>
                      <w:bCs w:val="0"/>
                      <w:color w:val="auto"/>
                      <w:szCs w:val="21"/>
                      <w:highlight w:val="none"/>
                      <w:u w:val="none"/>
                      <w:lang w:val="en-GB"/>
                    </w:rPr>
                    <w:t>无地下水集中式饮用水水源和热水、矿泉水、温泉等特殊地下水资源</w:t>
                  </w:r>
                </w:p>
              </w:tc>
            </w:tr>
            <w:tr w14:paraId="2F90A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69DC07E7">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生态环境</w:t>
                  </w:r>
                </w:p>
              </w:tc>
              <w:tc>
                <w:tcPr>
                  <w:tcW w:w="4330" w:type="pct"/>
                  <w:gridSpan w:val="4"/>
                  <w:tcBorders>
                    <w:top w:val="single" w:color="auto" w:sz="4" w:space="0"/>
                    <w:left w:val="single" w:color="auto" w:sz="4" w:space="0"/>
                    <w:bottom w:val="single" w:color="auto" w:sz="4" w:space="0"/>
                    <w:right w:val="single" w:color="auto" w:sz="4" w:space="0"/>
                  </w:tcBorders>
                  <w:noWrap w:val="0"/>
                  <w:vAlign w:val="center"/>
                </w:tcPr>
                <w:p w14:paraId="3B8EAC78">
                  <w:pPr>
                    <w:jc w:val="center"/>
                    <w:rPr>
                      <w:rFonts w:hint="default" w:ascii="Times New Roman" w:hAnsi="Times New Roman" w:cs="Times New Roman"/>
                      <w:b w:val="0"/>
                      <w:bCs w:val="0"/>
                      <w:color w:val="auto"/>
                      <w:szCs w:val="21"/>
                      <w:highlight w:val="none"/>
                      <w:u w:val="none"/>
                      <w:lang w:bidi="ar"/>
                    </w:rPr>
                  </w:pPr>
                  <w:r>
                    <w:rPr>
                      <w:rFonts w:hint="default" w:ascii="Times New Roman" w:hAnsi="Times New Roman" w:cs="Times New Roman"/>
                      <w:b w:val="0"/>
                      <w:bCs w:val="0"/>
                      <w:color w:val="auto"/>
                      <w:szCs w:val="21"/>
                      <w:highlight w:val="none"/>
                      <w:u w:val="none"/>
                      <w:lang w:val="en-GB" w:bidi="ar"/>
                    </w:rPr>
                    <w:t>项目用地范围内无生态环境保护目标</w:t>
                  </w:r>
                </w:p>
              </w:tc>
            </w:tr>
          </w:tbl>
          <w:p w14:paraId="0C948B05">
            <w:pPr>
              <w:adjustRightInd w:val="0"/>
              <w:snapToGrid w:val="0"/>
              <w:spacing w:line="360" w:lineRule="auto"/>
              <w:rPr>
                <w:rFonts w:hint="default" w:ascii="Times New Roman" w:hAnsi="Times New Roman" w:cs="Times New Roman"/>
                <w:color w:val="auto"/>
                <w:kern w:val="0"/>
                <w:sz w:val="24"/>
                <w:u w:val="none"/>
              </w:rPr>
            </w:pPr>
          </w:p>
        </w:tc>
      </w:tr>
      <w:tr w14:paraId="747B8A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8" w:type="pct"/>
            <w:noWrap w:val="0"/>
            <w:tcMar>
              <w:left w:w="28" w:type="dxa"/>
              <w:right w:w="28" w:type="dxa"/>
            </w:tcMar>
            <w:vAlign w:val="center"/>
          </w:tcPr>
          <w:p w14:paraId="5A44E780">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污染</w:t>
            </w:r>
          </w:p>
          <w:p w14:paraId="34F10CFE">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物排</w:t>
            </w:r>
          </w:p>
          <w:p w14:paraId="17A37213">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放控</w:t>
            </w:r>
          </w:p>
          <w:p w14:paraId="1E3884D5">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制标</w:t>
            </w:r>
          </w:p>
          <w:p w14:paraId="6909A633">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准</w:t>
            </w:r>
          </w:p>
        </w:tc>
        <w:tc>
          <w:tcPr>
            <w:tcW w:w="4771" w:type="pct"/>
            <w:noWrap w:val="0"/>
            <w:vAlign w:val="center"/>
          </w:tcPr>
          <w:tbl>
            <w:tblPr>
              <w:tblStyle w:val="20"/>
              <w:tblW w:w="92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6"/>
              <w:gridCol w:w="4084"/>
              <w:gridCol w:w="1184"/>
              <w:gridCol w:w="3036"/>
            </w:tblGrid>
            <w:tr w14:paraId="29D38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noWrap w:val="0"/>
                  <w:vAlign w:val="center"/>
                </w:tcPr>
                <w:p w14:paraId="532F3BEC">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类别</w:t>
                  </w:r>
                </w:p>
              </w:tc>
              <w:tc>
                <w:tcPr>
                  <w:tcW w:w="4084" w:type="dxa"/>
                  <w:noWrap w:val="0"/>
                  <w:vAlign w:val="center"/>
                </w:tcPr>
                <w:p w14:paraId="18FAF786">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执行标准</w:t>
                  </w:r>
                </w:p>
              </w:tc>
              <w:tc>
                <w:tcPr>
                  <w:tcW w:w="4220" w:type="dxa"/>
                  <w:gridSpan w:val="2"/>
                  <w:noWrap w:val="0"/>
                  <w:vAlign w:val="center"/>
                </w:tcPr>
                <w:p w14:paraId="234A5906">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标准值</w:t>
                  </w:r>
                </w:p>
              </w:tc>
            </w:tr>
            <w:tr w14:paraId="25EF8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restart"/>
                  <w:noWrap w:val="0"/>
                  <w:vAlign w:val="center"/>
                </w:tcPr>
                <w:p w14:paraId="268F460F">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废气</w:t>
                  </w:r>
                </w:p>
              </w:tc>
              <w:tc>
                <w:tcPr>
                  <w:tcW w:w="4084" w:type="dxa"/>
                  <w:noWrap w:val="0"/>
                  <w:vAlign w:val="center"/>
                </w:tcPr>
                <w:p w14:paraId="471AF72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sz w:val="21"/>
                      <w:szCs w:val="21"/>
                      <w:highlight w:val="none"/>
                      <w:u w:val="none"/>
                    </w:rPr>
                    <w:t>《大气污染物综合排放标准》（GB16297-1996）表2中二级标准</w:t>
                  </w:r>
                </w:p>
              </w:tc>
              <w:tc>
                <w:tcPr>
                  <w:tcW w:w="1184" w:type="dxa"/>
                  <w:noWrap w:val="0"/>
                  <w:vAlign w:val="center"/>
                </w:tcPr>
                <w:p w14:paraId="422E3B5A">
                  <w:pPr>
                    <w:pStyle w:val="7"/>
                    <w:keepNext w:val="0"/>
                    <w:keepLines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sz w:val="21"/>
                      <w:szCs w:val="21"/>
                      <w:highlight w:val="none"/>
                      <w:u w:val="none"/>
                    </w:rPr>
                    <w:t>颗粒物</w:t>
                  </w:r>
                </w:p>
              </w:tc>
              <w:tc>
                <w:tcPr>
                  <w:tcW w:w="3036" w:type="dxa"/>
                  <w:noWrap w:val="0"/>
                  <w:vAlign w:val="center"/>
                </w:tcPr>
                <w:p w14:paraId="328C2EC0">
                  <w:pPr>
                    <w:pStyle w:val="7"/>
                    <w:keepNext w:val="0"/>
                    <w:keepLines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000000"/>
                      <w:sz w:val="21"/>
                      <w:szCs w:val="21"/>
                      <w:highlight w:val="none"/>
                      <w:u w:val="none"/>
                    </w:rPr>
                    <w:t>周界外浓度最高点1.0mg/m</w:t>
                  </w:r>
                  <w:r>
                    <w:rPr>
                      <w:rFonts w:hint="default" w:ascii="Times New Roman" w:hAnsi="Times New Roman" w:eastAsia="宋体" w:cs="Times New Roman"/>
                      <w:color w:val="000000"/>
                      <w:sz w:val="21"/>
                      <w:szCs w:val="21"/>
                      <w:highlight w:val="none"/>
                      <w:u w:val="none"/>
                      <w:vertAlign w:val="superscript"/>
                    </w:rPr>
                    <w:t>3</w:t>
                  </w:r>
                </w:p>
              </w:tc>
            </w:tr>
            <w:tr w14:paraId="6B458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4D4CBF2C">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67551759">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u w:val="none"/>
                    </w:rPr>
                  </w:pPr>
                  <w:r>
                    <w:rPr>
                      <w:rFonts w:hint="eastAsia"/>
                      <w:color w:val="000000" w:themeColor="text1"/>
                      <w:sz w:val="21"/>
                      <w:szCs w:val="21"/>
                      <w:highlight w:val="none"/>
                      <w14:textFill>
                        <w14:solidFill>
                          <w14:schemeClr w14:val="tx1"/>
                        </w14:solidFill>
                      </w14:textFill>
                    </w:rPr>
                    <w:t>《餐饮业油烟污染物排放标准》（DB41/1604-2018</w:t>
                  </w:r>
                  <w:commentRangeStart w:id="73"/>
                  <w:r>
                    <w:rPr>
                      <w:rFonts w:hint="eastAsia"/>
                      <w:color w:val="000000" w:themeColor="text1"/>
                      <w:sz w:val="21"/>
                      <w:szCs w:val="21"/>
                      <w:highlight w:val="none"/>
                      <w14:textFill>
                        <w14:solidFill>
                          <w14:schemeClr w14:val="tx1"/>
                        </w14:solidFill>
                      </w14:textFill>
                    </w:rPr>
                    <w:t>）</w:t>
                  </w:r>
                  <w:commentRangeEnd w:id="73"/>
                  <w:r>
                    <w:commentReference w:id="73"/>
                  </w:r>
                </w:p>
              </w:tc>
              <w:tc>
                <w:tcPr>
                  <w:tcW w:w="1184" w:type="dxa"/>
                  <w:noWrap w:val="0"/>
                  <w:vAlign w:val="center"/>
                </w:tcPr>
                <w:p w14:paraId="185FC1EE">
                  <w:pPr>
                    <w:jc w:val="center"/>
                    <w:outlineLvl w:val="0"/>
                    <w:rPr>
                      <w:rFonts w:hint="default" w:ascii="Times New Roman" w:hAnsi="Times New Roman" w:eastAsia="宋体" w:cs="Times New Roman"/>
                      <w:color w:val="auto"/>
                      <w:sz w:val="21"/>
                      <w:szCs w:val="21"/>
                      <w:highlight w:val="none"/>
                      <w:u w:val="none"/>
                    </w:rPr>
                  </w:pPr>
                  <w:r>
                    <w:rPr>
                      <w:rFonts w:hint="eastAsia"/>
                      <w:color w:val="000000" w:themeColor="text1"/>
                      <w:sz w:val="21"/>
                      <w:szCs w:val="21"/>
                      <w:highlight w:val="none"/>
                      <w:u w:val="none"/>
                      <w:lang w:val="en-US" w:eastAsia="zh-CN"/>
                      <w14:textFill>
                        <w14:solidFill>
                          <w14:schemeClr w14:val="tx1"/>
                        </w14:solidFill>
                      </w14:textFill>
                    </w:rPr>
                    <w:t>油烟</w:t>
                  </w:r>
                </w:p>
              </w:tc>
              <w:tc>
                <w:tcPr>
                  <w:tcW w:w="3036" w:type="dxa"/>
                  <w:noWrap w:val="0"/>
                  <w:vAlign w:val="center"/>
                </w:tcPr>
                <w:p w14:paraId="0BA5CEA9">
                  <w:pPr>
                    <w:pStyle w:val="7"/>
                    <w:keepNext w:val="0"/>
                    <w:keepLines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1.0</w:t>
                  </w:r>
                  <w:r>
                    <w:rPr>
                      <w:rFonts w:hint="default" w:ascii="Times New Roman" w:hAnsi="Times New Roman" w:eastAsia="宋体" w:cs="Times New Roman"/>
                      <w:color w:val="000000"/>
                      <w:sz w:val="21"/>
                      <w:szCs w:val="21"/>
                      <w:highlight w:val="none"/>
                      <w:u w:val="none"/>
                    </w:rPr>
                    <w:t>mg/m</w:t>
                  </w:r>
                  <w:r>
                    <w:rPr>
                      <w:rFonts w:hint="default" w:ascii="Times New Roman" w:hAnsi="Times New Roman" w:eastAsia="宋体" w:cs="Times New Roman"/>
                      <w:color w:val="000000"/>
                      <w:sz w:val="21"/>
                      <w:szCs w:val="21"/>
                      <w:highlight w:val="none"/>
                      <w:u w:val="none"/>
                      <w:vertAlign w:val="superscript"/>
                    </w:rPr>
                    <w:t>3</w:t>
                  </w:r>
                </w:p>
              </w:tc>
            </w:tr>
            <w:tr w14:paraId="081E2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3746C94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1CFB7C6E">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firstLine="0" w:firstLineChars="0"/>
                    <w:jc w:val="center"/>
                    <w:textAlignment w:val="auto"/>
                    <w:rPr>
                      <w:rFonts w:hint="eastAsia"/>
                      <w:color w:val="000000" w:themeColor="text1"/>
                      <w:sz w:val="21"/>
                      <w:szCs w:val="21"/>
                      <w:highlight w:val="none"/>
                      <w14:textFill>
                        <w14:solidFill>
                          <w14:schemeClr w14:val="tx1"/>
                        </w14:solidFill>
                      </w14:textFill>
                    </w:rPr>
                  </w:pPr>
                </w:p>
              </w:tc>
              <w:tc>
                <w:tcPr>
                  <w:tcW w:w="1184" w:type="dxa"/>
                  <w:noWrap w:val="0"/>
                  <w:vAlign w:val="center"/>
                </w:tcPr>
                <w:p w14:paraId="66A531E7">
                  <w:pPr>
                    <w:jc w:val="center"/>
                    <w:outlineLvl w:val="0"/>
                    <w:rPr>
                      <w:rFonts w:hint="default" w:ascii="Times New Roman" w:hAnsi="Times New Roman" w:eastAsia="宋体" w:cs="Times New Roman"/>
                      <w:color w:val="auto"/>
                      <w:sz w:val="21"/>
                      <w:szCs w:val="21"/>
                      <w:highlight w:val="none"/>
                      <w:u w:val="none"/>
                    </w:rPr>
                  </w:pPr>
                  <w:r>
                    <w:rPr>
                      <w:rFonts w:hint="eastAsia"/>
                      <w:color w:val="000000" w:themeColor="text1"/>
                      <w:sz w:val="21"/>
                      <w:szCs w:val="21"/>
                      <w:highlight w:val="none"/>
                      <w:u w:val="none"/>
                      <w:lang w:val="en-US" w:eastAsia="zh-CN"/>
                      <w14:textFill>
                        <w14:solidFill>
                          <w14:schemeClr w14:val="tx1"/>
                        </w14:solidFill>
                      </w14:textFill>
                    </w:rPr>
                    <w:t>非甲烷总烃</w:t>
                  </w:r>
                </w:p>
              </w:tc>
              <w:tc>
                <w:tcPr>
                  <w:tcW w:w="3036" w:type="dxa"/>
                  <w:noWrap w:val="0"/>
                  <w:vAlign w:val="center"/>
                </w:tcPr>
                <w:p w14:paraId="5A2F7145">
                  <w:pPr>
                    <w:pStyle w:val="7"/>
                    <w:keepNext w:val="0"/>
                    <w:keepLines w:val="0"/>
                    <w:pageBreakBefore w:val="0"/>
                    <w:kinsoku/>
                    <w:wordWrap/>
                    <w:overflowPunct/>
                    <w:topLinePunct w:val="0"/>
                    <w:autoSpaceDE/>
                    <w:autoSpaceDN/>
                    <w:bidi w:val="0"/>
                    <w:spacing w:beforeAutospacing="0" w:afterAutospacing="0" w:line="240" w:lineRule="auto"/>
                    <w:ind w:left="0" w:leftChars="0" w:firstLine="0" w:firstLineChars="0"/>
                    <w:jc w:val="center"/>
                    <w:textAlignment w:val="auto"/>
                    <w:rPr>
                      <w:rFonts w:hint="default" w:ascii="Times New Roman" w:hAnsi="Times New Roman" w:eastAsia="宋体" w:cs="Times New Roman"/>
                      <w:color w:val="000000"/>
                      <w:sz w:val="21"/>
                      <w:szCs w:val="21"/>
                      <w:highlight w:val="none"/>
                      <w:u w:val="none"/>
                      <w:lang w:val="en-US" w:eastAsia="zh-CN"/>
                    </w:rPr>
                  </w:pPr>
                  <w:r>
                    <w:rPr>
                      <w:rFonts w:hint="eastAsia" w:cs="Times New Roman"/>
                      <w:color w:val="000000"/>
                      <w:sz w:val="21"/>
                      <w:szCs w:val="21"/>
                      <w:highlight w:val="none"/>
                      <w:u w:val="none"/>
                      <w:lang w:val="en-US" w:eastAsia="zh-CN"/>
                    </w:rPr>
                    <w:t>10.0</w:t>
                  </w:r>
                  <w:r>
                    <w:rPr>
                      <w:rFonts w:hint="default" w:ascii="Times New Roman" w:hAnsi="Times New Roman" w:eastAsia="宋体" w:cs="Times New Roman"/>
                      <w:color w:val="000000"/>
                      <w:sz w:val="21"/>
                      <w:szCs w:val="21"/>
                      <w:highlight w:val="none"/>
                      <w:u w:val="none"/>
                    </w:rPr>
                    <w:t>mg/m</w:t>
                  </w:r>
                  <w:r>
                    <w:rPr>
                      <w:rFonts w:hint="default" w:ascii="Times New Roman" w:hAnsi="Times New Roman" w:eastAsia="宋体" w:cs="Times New Roman"/>
                      <w:color w:val="000000"/>
                      <w:sz w:val="21"/>
                      <w:szCs w:val="21"/>
                      <w:highlight w:val="none"/>
                      <w:u w:val="none"/>
                      <w:vertAlign w:val="superscript"/>
                    </w:rPr>
                    <w:t>3</w:t>
                  </w:r>
                </w:p>
              </w:tc>
            </w:tr>
            <w:tr w14:paraId="452E9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01062C20">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2B23957E">
                  <w:pPr>
                    <w:jc w:val="center"/>
                    <w:rPr>
                      <w:color w:val="000000" w:themeColor="text1"/>
                      <w:szCs w:val="21"/>
                      <w:highlight w:val="none"/>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1184" w:type="dxa"/>
                  <w:noWrap w:val="0"/>
                  <w:vAlign w:val="center"/>
                </w:tcPr>
                <w:p w14:paraId="42C97ED5">
                  <w:pPr>
                    <w:jc w:val="center"/>
                    <w:rPr>
                      <w:color w:val="000000" w:themeColor="text1"/>
                      <w:szCs w:val="21"/>
                      <w:highlight w:val="none"/>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3036" w:type="dxa"/>
                  <w:noWrap w:val="0"/>
                  <w:vAlign w:val="center"/>
                </w:tcPr>
                <w:p w14:paraId="6B539BCF">
                  <w:pPr>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5mg/m</w:t>
                  </w:r>
                  <w:r>
                    <w:rPr>
                      <w:rFonts w:hint="eastAsia"/>
                      <w:color w:val="000000" w:themeColor="text1"/>
                      <w:szCs w:val="21"/>
                      <w:vertAlign w:val="superscript"/>
                      <w14:textFill>
                        <w14:solidFill>
                          <w14:schemeClr w14:val="tx1"/>
                        </w14:solidFill>
                      </w14:textFill>
                    </w:rPr>
                    <w:t>3</w:t>
                  </w:r>
                </w:p>
              </w:tc>
            </w:tr>
            <w:tr w14:paraId="0DEDE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531FA359">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56AAAA9B">
                  <w:pPr>
                    <w:widowControl/>
                    <w:jc w:val="center"/>
                    <w:rPr>
                      <w:color w:val="000000" w:themeColor="text1"/>
                      <w:szCs w:val="21"/>
                      <w:highlight w:val="none"/>
                      <w14:textFill>
                        <w14:solidFill>
                          <w14:schemeClr w14:val="tx1"/>
                        </w14:solidFill>
                      </w14:textFill>
                    </w:rPr>
                  </w:pPr>
                </w:p>
              </w:tc>
              <w:tc>
                <w:tcPr>
                  <w:tcW w:w="1184" w:type="dxa"/>
                  <w:noWrap w:val="0"/>
                  <w:vAlign w:val="center"/>
                </w:tcPr>
                <w:p w14:paraId="5013FA9B">
                  <w:pPr>
                    <w:jc w:val="center"/>
                    <w:rPr>
                      <w:color w:val="000000" w:themeColor="text1"/>
                      <w:szCs w:val="21"/>
                      <w:highlight w:val="none"/>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3036" w:type="dxa"/>
                  <w:noWrap w:val="0"/>
                  <w:vAlign w:val="center"/>
                </w:tcPr>
                <w:p w14:paraId="76E630CD">
                  <w:pPr>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10mg/m</w:t>
                  </w:r>
                  <w:r>
                    <w:rPr>
                      <w:rFonts w:hint="eastAsia"/>
                      <w:color w:val="000000" w:themeColor="text1"/>
                      <w:szCs w:val="21"/>
                      <w:vertAlign w:val="superscript"/>
                      <w14:textFill>
                        <w14:solidFill>
                          <w14:schemeClr w14:val="tx1"/>
                        </w14:solidFill>
                      </w14:textFill>
                    </w:rPr>
                    <w:t>3</w:t>
                  </w:r>
                </w:p>
              </w:tc>
            </w:tr>
            <w:tr w14:paraId="208B8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7869910F">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7B1B1BF4">
                  <w:pPr>
                    <w:widowControl/>
                    <w:jc w:val="center"/>
                    <w:rPr>
                      <w:color w:val="000000" w:themeColor="text1"/>
                      <w:szCs w:val="21"/>
                      <w:highlight w:val="none"/>
                      <w14:textFill>
                        <w14:solidFill>
                          <w14:schemeClr w14:val="tx1"/>
                        </w14:solidFill>
                      </w14:textFill>
                    </w:rPr>
                  </w:pPr>
                </w:p>
              </w:tc>
              <w:tc>
                <w:tcPr>
                  <w:tcW w:w="1184" w:type="dxa"/>
                  <w:noWrap w:val="0"/>
                  <w:vAlign w:val="center"/>
                </w:tcPr>
                <w:p w14:paraId="16C8A694">
                  <w:pPr>
                    <w:jc w:val="center"/>
                    <w:rPr>
                      <w:color w:val="000000" w:themeColor="text1"/>
                      <w:szCs w:val="21"/>
                      <w:highlight w:val="none"/>
                      <w14:textFill>
                        <w14:solidFill>
                          <w14:schemeClr w14:val="tx1"/>
                        </w14:solidFill>
                      </w14:textFill>
                    </w:rPr>
                  </w:pPr>
                  <w:commentRangeStart w:id="74"/>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commentRangeEnd w:id="74"/>
                  <w:r>
                    <w:commentReference w:id="74"/>
                  </w:r>
                </w:p>
              </w:tc>
              <w:tc>
                <w:tcPr>
                  <w:tcW w:w="3036" w:type="dxa"/>
                  <w:noWrap w:val="0"/>
                  <w:vAlign w:val="center"/>
                </w:tcPr>
                <w:p w14:paraId="08B5F0B0">
                  <w:pPr>
                    <w:jc w:val="center"/>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30mg/m</w:t>
                  </w:r>
                  <w:r>
                    <w:rPr>
                      <w:rFonts w:hint="eastAsia"/>
                      <w:color w:val="000000" w:themeColor="text1"/>
                      <w:szCs w:val="21"/>
                      <w:vertAlign w:val="superscript"/>
                      <w14:textFill>
                        <w14:solidFill>
                          <w14:schemeClr w14:val="tx1"/>
                        </w14:solidFill>
                      </w14:textFill>
                    </w:rPr>
                    <w:t>3</w:t>
                  </w:r>
                </w:p>
              </w:tc>
            </w:tr>
            <w:tr w14:paraId="4B31C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27CD6533">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482DE39E">
                  <w:pPr>
                    <w:jc w:val="center"/>
                    <w:rPr>
                      <w:rFonts w:hint="default" w:ascii="Times New Roman" w:hAnsi="Times New Roman" w:eastAsia="宋体" w:cs="Times New Roman"/>
                      <w:color w:val="auto"/>
                      <w:sz w:val="21"/>
                      <w:szCs w:val="21"/>
                      <w:highlight w:val="none"/>
                      <w:u w:val="none"/>
                      <w:lang w:val="en-US" w:eastAsia="zh-CN"/>
                    </w:rPr>
                  </w:pPr>
                  <w:r>
                    <w:rPr>
                      <w:color w:val="000000" w:themeColor="text1"/>
                      <w:szCs w:val="21"/>
                      <w:highlight w:val="none"/>
                      <w14:textFill>
                        <w14:solidFill>
                          <w14:schemeClr w14:val="tx1"/>
                        </w14:solidFill>
                      </w14:textFill>
                    </w:rPr>
                    <w:t>《河南省重污染天气通用行业应急减排措施制定技术指南》</w:t>
                  </w:r>
                  <w:r>
                    <w:rPr>
                      <w:rFonts w:hint="eastAsia"/>
                      <w:color w:val="000000" w:themeColor="text1"/>
                      <w:szCs w:val="21"/>
                      <w:highlight w:val="none"/>
                      <w14:textFill>
                        <w14:solidFill>
                          <w14:schemeClr w14:val="tx1"/>
                        </w14:solidFill>
                      </w14:textFill>
                    </w:rPr>
                    <w:t>（2024年修订版）</w:t>
                  </w:r>
                  <w:r>
                    <w:rPr>
                      <w:color w:val="000000" w:themeColor="text1"/>
                      <w:szCs w:val="21"/>
                      <w:highlight w:val="none"/>
                      <w14:textFill>
                        <w14:solidFill>
                          <w14:schemeClr w14:val="tx1"/>
                        </w14:solidFill>
                      </w14:textFill>
                    </w:rPr>
                    <w:t>涉锅炉/炉窑企业绩效A级</w:t>
                  </w:r>
                </w:p>
              </w:tc>
              <w:tc>
                <w:tcPr>
                  <w:tcW w:w="1184" w:type="dxa"/>
                  <w:noWrap w:val="0"/>
                  <w:vAlign w:val="center"/>
                </w:tcPr>
                <w:p w14:paraId="1E881E61">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颗粒物</w:t>
                  </w:r>
                </w:p>
              </w:tc>
              <w:tc>
                <w:tcPr>
                  <w:tcW w:w="3036" w:type="dxa"/>
                  <w:noWrap w:val="0"/>
                  <w:vAlign w:val="center"/>
                </w:tcPr>
                <w:p w14:paraId="7DED2A65">
                  <w:pPr>
                    <w:jc w:val="center"/>
                    <w:rPr>
                      <w:rFonts w:hint="default" w:ascii="Times New Roman" w:hAnsi="Times New Roman" w:eastAsia="宋体" w:cs="Times New Roman"/>
                      <w:color w:val="auto"/>
                      <w:sz w:val="21"/>
                      <w:szCs w:val="21"/>
                      <w:highlight w:val="none"/>
                      <w:u w:val="none"/>
                    </w:rPr>
                  </w:pPr>
                  <w:r>
                    <w:rPr>
                      <w:rFonts w:hint="eastAsia"/>
                      <w:color w:val="000000" w:themeColor="text1"/>
                      <w:szCs w:val="21"/>
                      <w:highlight w:val="none"/>
                      <w:lang w:val="en-US" w:eastAsia="zh-CN"/>
                      <w14:textFill>
                        <w14:solidFill>
                          <w14:schemeClr w14:val="tx1"/>
                        </w14:solidFill>
                      </w14:textFill>
                    </w:rPr>
                    <w:t>5</w:t>
                  </w:r>
                  <w:r>
                    <w:rPr>
                      <w:color w:val="000000" w:themeColor="text1"/>
                      <w:szCs w:val="21"/>
                      <w:highlight w:val="none"/>
                      <w14:textFill>
                        <w14:solidFill>
                          <w14:schemeClr w14:val="tx1"/>
                        </w14:solidFill>
                      </w14:textFill>
                    </w:rPr>
                    <w:t>mg/m</w:t>
                  </w:r>
                  <w:r>
                    <w:rPr>
                      <w:color w:val="000000" w:themeColor="text1"/>
                      <w:szCs w:val="21"/>
                      <w:highlight w:val="none"/>
                      <w:vertAlign w:val="superscript"/>
                      <w14:textFill>
                        <w14:solidFill>
                          <w14:schemeClr w14:val="tx1"/>
                        </w14:solidFill>
                      </w14:textFill>
                    </w:rPr>
                    <w:t>3</w:t>
                  </w:r>
                </w:p>
              </w:tc>
            </w:tr>
            <w:tr w14:paraId="537A1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2EA5F8F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1C4F3E84">
                  <w:pPr>
                    <w:widowControl/>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6516B279">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SO</w:t>
                  </w:r>
                  <w:r>
                    <w:rPr>
                      <w:color w:val="000000" w:themeColor="text1"/>
                      <w:szCs w:val="21"/>
                      <w:highlight w:val="none"/>
                      <w:vertAlign w:val="subscript"/>
                      <w14:textFill>
                        <w14:solidFill>
                          <w14:schemeClr w14:val="tx1"/>
                        </w14:solidFill>
                      </w14:textFill>
                    </w:rPr>
                    <w:t>2</w:t>
                  </w:r>
                </w:p>
              </w:tc>
              <w:tc>
                <w:tcPr>
                  <w:tcW w:w="3036" w:type="dxa"/>
                  <w:noWrap w:val="0"/>
                  <w:vAlign w:val="center"/>
                </w:tcPr>
                <w:p w14:paraId="2F3DD10F">
                  <w:pPr>
                    <w:jc w:val="center"/>
                    <w:rPr>
                      <w:rFonts w:hint="default" w:ascii="Times New Roman" w:hAnsi="Times New Roman" w:eastAsia="宋体" w:cs="Times New Roman"/>
                      <w:bCs/>
                      <w:color w:val="auto"/>
                      <w:sz w:val="21"/>
                      <w:szCs w:val="21"/>
                      <w:highlight w:val="none"/>
                      <w:u w:val="none"/>
                    </w:rPr>
                  </w:pPr>
                  <w:r>
                    <w:rPr>
                      <w:rFonts w:hint="eastAsia"/>
                      <w:color w:val="000000" w:themeColor="text1"/>
                      <w:szCs w:val="21"/>
                      <w:highlight w:val="none"/>
                      <w:lang w:val="en-US" w:eastAsia="zh-CN"/>
                      <w14:textFill>
                        <w14:solidFill>
                          <w14:schemeClr w14:val="tx1"/>
                        </w14:solidFill>
                      </w14:textFill>
                    </w:rPr>
                    <w:t>10</w:t>
                  </w:r>
                  <w:r>
                    <w:rPr>
                      <w:color w:val="000000" w:themeColor="text1"/>
                      <w:szCs w:val="21"/>
                      <w:highlight w:val="none"/>
                      <w14:textFill>
                        <w14:solidFill>
                          <w14:schemeClr w14:val="tx1"/>
                        </w14:solidFill>
                      </w14:textFill>
                    </w:rPr>
                    <w:t>mg/m</w:t>
                  </w:r>
                  <w:r>
                    <w:rPr>
                      <w:color w:val="000000" w:themeColor="text1"/>
                      <w:szCs w:val="21"/>
                      <w:highlight w:val="none"/>
                      <w:vertAlign w:val="superscript"/>
                      <w14:textFill>
                        <w14:solidFill>
                          <w14:schemeClr w14:val="tx1"/>
                        </w14:solidFill>
                      </w14:textFill>
                    </w:rPr>
                    <w:t>3</w:t>
                  </w:r>
                </w:p>
              </w:tc>
            </w:tr>
            <w:tr w14:paraId="4C435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70682EF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1DC798CE">
                  <w:pPr>
                    <w:widowControl/>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3021BED5">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NO</w:t>
                  </w:r>
                  <w:r>
                    <w:rPr>
                      <w:color w:val="000000" w:themeColor="text1"/>
                      <w:szCs w:val="21"/>
                      <w:highlight w:val="none"/>
                      <w:vertAlign w:val="subscript"/>
                      <w14:textFill>
                        <w14:solidFill>
                          <w14:schemeClr w14:val="tx1"/>
                        </w14:solidFill>
                      </w14:textFill>
                    </w:rPr>
                    <w:t>x</w:t>
                  </w:r>
                </w:p>
              </w:tc>
              <w:tc>
                <w:tcPr>
                  <w:tcW w:w="3036" w:type="dxa"/>
                  <w:noWrap w:val="0"/>
                  <w:vAlign w:val="center"/>
                </w:tcPr>
                <w:p w14:paraId="3EDCECEF">
                  <w:pPr>
                    <w:jc w:val="center"/>
                    <w:rPr>
                      <w:rFonts w:hint="default" w:ascii="Times New Roman" w:hAnsi="Times New Roman" w:eastAsia="宋体" w:cs="Times New Roman"/>
                      <w:color w:val="auto"/>
                      <w:sz w:val="21"/>
                      <w:szCs w:val="21"/>
                      <w:highlight w:val="none"/>
                      <w:u w:val="none"/>
                    </w:rPr>
                  </w:pPr>
                  <w:r>
                    <w:rPr>
                      <w:rFonts w:hint="eastAsia"/>
                      <w:color w:val="000000" w:themeColor="text1"/>
                      <w:szCs w:val="21"/>
                      <w:highlight w:val="none"/>
                      <w:lang w:val="en-US" w:eastAsia="zh-CN"/>
                      <w14:textFill>
                        <w14:solidFill>
                          <w14:schemeClr w14:val="tx1"/>
                        </w14:solidFill>
                      </w14:textFill>
                    </w:rPr>
                    <w:t>30</w:t>
                  </w:r>
                  <w:r>
                    <w:rPr>
                      <w:color w:val="000000" w:themeColor="text1"/>
                      <w:szCs w:val="21"/>
                      <w:highlight w:val="none"/>
                      <w14:textFill>
                        <w14:solidFill>
                          <w14:schemeClr w14:val="tx1"/>
                        </w14:solidFill>
                      </w14:textFill>
                    </w:rPr>
                    <w:t>mg/m</w:t>
                  </w:r>
                  <w:r>
                    <w:rPr>
                      <w:color w:val="000000" w:themeColor="text1"/>
                      <w:szCs w:val="21"/>
                      <w:highlight w:val="none"/>
                      <w:vertAlign w:val="superscript"/>
                      <w14:textFill>
                        <w14:solidFill>
                          <w14:schemeClr w14:val="tx1"/>
                        </w14:solidFill>
                      </w14:textFill>
                    </w:rPr>
                    <w:t>3</w:t>
                  </w:r>
                </w:p>
              </w:tc>
            </w:tr>
            <w:tr w14:paraId="63E63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1813944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70D91606">
                  <w:pPr>
                    <w:widowControl/>
                    <w:jc w:val="center"/>
                    <w:rPr>
                      <w:rFonts w:hint="default" w:ascii="Times New Roman" w:hAnsi="Times New Roman" w:eastAsia="宋体" w:cs="Times New Roman"/>
                      <w:color w:val="auto"/>
                      <w:sz w:val="21"/>
                      <w:szCs w:val="21"/>
                      <w:highlight w:val="none"/>
                      <w:u w:val="none"/>
                    </w:rPr>
                  </w:pPr>
                  <w:r>
                    <w:rPr>
                      <w:rFonts w:hint="eastAsia" w:ascii="宋体" w:hAnsi="宋体" w:cs="宋体"/>
                      <w:color w:val="000000" w:themeColor="text1"/>
                      <w:kern w:val="0"/>
                      <w:szCs w:val="21"/>
                      <w:lang w:bidi="ar"/>
                      <w14:textFill>
                        <w14:solidFill>
                          <w14:schemeClr w14:val="tx1"/>
                        </w14:solidFill>
                      </w14:textFill>
                    </w:rPr>
                    <w:t>《恶臭污染物排放标准》（</w:t>
                  </w:r>
                  <w:r>
                    <w:rPr>
                      <w:color w:val="000000" w:themeColor="text1"/>
                      <w:kern w:val="0"/>
                      <w:szCs w:val="21"/>
                      <w:lang w:bidi="ar"/>
                      <w14:textFill>
                        <w14:solidFill>
                          <w14:schemeClr w14:val="tx1"/>
                        </w14:solidFill>
                      </w14:textFill>
                    </w:rPr>
                    <w:t>GB14554-93</w:t>
                  </w:r>
                  <w:r>
                    <w:rPr>
                      <w:rFonts w:hint="eastAsia" w:ascii="宋体" w:hAnsi="宋体" w:cs="宋体"/>
                      <w:color w:val="000000" w:themeColor="text1"/>
                      <w:kern w:val="0"/>
                      <w:szCs w:val="21"/>
                      <w:lang w:bidi="ar"/>
                      <w14:textFill>
                        <w14:solidFill>
                          <w14:schemeClr w14:val="tx1"/>
                        </w14:solidFill>
                      </w14:textFill>
                    </w:rPr>
                    <w:t>）</w:t>
                  </w:r>
                </w:p>
              </w:tc>
              <w:tc>
                <w:tcPr>
                  <w:tcW w:w="1184" w:type="dxa"/>
                  <w:noWrap w:val="0"/>
                  <w:vAlign w:val="center"/>
                </w:tcPr>
                <w:p w14:paraId="120A136A">
                  <w:pPr>
                    <w:pStyle w:val="7"/>
                    <w:ind w:firstLine="0" w:firstLineChars="0"/>
                    <w:jc w:val="center"/>
                    <w:rPr>
                      <w:color w:val="000000" w:themeColor="text1"/>
                      <w:szCs w:val="21"/>
                      <w:highlight w:val="none"/>
                      <w14:textFill>
                        <w14:solidFill>
                          <w14:schemeClr w14:val="tx1"/>
                        </w14:solidFill>
                      </w14:textFill>
                    </w:rPr>
                  </w:pPr>
                  <w:r>
                    <w:rPr>
                      <w:rFonts w:hint="eastAsia"/>
                      <w:color w:val="000000" w:themeColor="text1"/>
                      <w:sz w:val="21"/>
                      <w:szCs w:val="21"/>
                      <w14:textFill>
                        <w14:solidFill>
                          <w14:schemeClr w14:val="tx1"/>
                        </w14:solidFill>
                      </w14:textFill>
                    </w:rPr>
                    <w:t>NH</w:t>
                  </w:r>
                  <w:r>
                    <w:rPr>
                      <w:rFonts w:hint="eastAsia"/>
                      <w:color w:val="000000" w:themeColor="text1"/>
                      <w:sz w:val="21"/>
                      <w:szCs w:val="21"/>
                      <w:vertAlign w:val="subscript"/>
                      <w14:textFill>
                        <w14:solidFill>
                          <w14:schemeClr w14:val="tx1"/>
                        </w14:solidFill>
                      </w14:textFill>
                    </w:rPr>
                    <w:t>3</w:t>
                  </w:r>
                </w:p>
              </w:tc>
              <w:tc>
                <w:tcPr>
                  <w:tcW w:w="3036" w:type="dxa"/>
                  <w:noWrap w:val="0"/>
                  <w:vAlign w:val="center"/>
                </w:tcPr>
                <w:p w14:paraId="1FAD159D">
                  <w:pPr>
                    <w:widowControl/>
                    <w:jc w:val="center"/>
                    <w:rPr>
                      <w:rFonts w:hint="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厂界浓度</w:t>
                  </w:r>
                  <w:r>
                    <w:rPr>
                      <w:color w:val="000000" w:themeColor="text1"/>
                      <w:kern w:val="0"/>
                      <w:szCs w:val="21"/>
                      <w14:textFill>
                        <w14:solidFill>
                          <w14:schemeClr w14:val="tx1"/>
                        </w14:solidFill>
                      </w14:textFill>
                    </w:rPr>
                    <w:t>1.5mg/m</w:t>
                  </w:r>
                  <w:r>
                    <w:rPr>
                      <w:rFonts w:hint="eastAsia"/>
                      <w:color w:val="000000" w:themeColor="text1"/>
                      <w:kern w:val="0"/>
                      <w:szCs w:val="21"/>
                      <w:vertAlign w:val="superscript"/>
                      <w14:textFill>
                        <w14:solidFill>
                          <w14:schemeClr w14:val="tx1"/>
                        </w14:solidFill>
                      </w14:textFill>
                    </w:rPr>
                    <w:t>3</w:t>
                  </w:r>
                </w:p>
              </w:tc>
            </w:tr>
            <w:tr w14:paraId="61C50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43180FDB">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25874C94">
                  <w:pPr>
                    <w:widowControl/>
                    <w:jc w:val="center"/>
                    <w:rPr>
                      <w:rFonts w:hint="eastAsia" w:ascii="宋体" w:hAnsi="宋体" w:cs="宋体"/>
                      <w:color w:val="000000" w:themeColor="text1"/>
                      <w:kern w:val="0"/>
                      <w:szCs w:val="21"/>
                      <w:lang w:bidi="ar"/>
                      <w14:textFill>
                        <w14:solidFill>
                          <w14:schemeClr w14:val="tx1"/>
                        </w14:solidFill>
                      </w14:textFill>
                    </w:rPr>
                  </w:pPr>
                </w:p>
              </w:tc>
              <w:tc>
                <w:tcPr>
                  <w:tcW w:w="1184" w:type="dxa"/>
                  <w:noWrap w:val="0"/>
                  <w:vAlign w:val="center"/>
                </w:tcPr>
                <w:p w14:paraId="7F26383A">
                  <w:pPr>
                    <w:pStyle w:val="7"/>
                    <w:ind w:firstLine="0" w:firstLineChars="0"/>
                    <w:jc w:val="center"/>
                    <w:rPr>
                      <w:color w:val="000000" w:themeColor="text1"/>
                      <w:szCs w:val="21"/>
                      <w:highlight w:val="none"/>
                      <w14:textFill>
                        <w14:solidFill>
                          <w14:schemeClr w14:val="tx1"/>
                        </w14:solidFill>
                      </w14:textFill>
                    </w:rPr>
                  </w:pPr>
                  <w:r>
                    <w:rPr>
                      <w:rFonts w:hint="eastAsia"/>
                      <w:color w:val="000000" w:themeColor="text1"/>
                      <w:sz w:val="21"/>
                      <w:szCs w:val="21"/>
                      <w14:textFill>
                        <w14:solidFill>
                          <w14:schemeClr w14:val="tx1"/>
                        </w14:solidFill>
                      </w14:textFill>
                    </w:rPr>
                    <w:t>H</w:t>
                  </w:r>
                  <w:r>
                    <w:rPr>
                      <w:rFonts w:hint="eastAsia"/>
                      <w:color w:val="000000" w:themeColor="text1"/>
                      <w:sz w:val="21"/>
                      <w:szCs w:val="21"/>
                      <w:vertAlign w:val="subscript"/>
                      <w14:textFill>
                        <w14:solidFill>
                          <w14:schemeClr w14:val="tx1"/>
                        </w14:solidFill>
                      </w14:textFill>
                    </w:rPr>
                    <w:t>2</w:t>
                  </w:r>
                  <w:r>
                    <w:rPr>
                      <w:rFonts w:hint="eastAsia"/>
                      <w:color w:val="000000" w:themeColor="text1"/>
                      <w:sz w:val="21"/>
                      <w:szCs w:val="21"/>
                      <w14:textFill>
                        <w14:solidFill>
                          <w14:schemeClr w14:val="tx1"/>
                        </w14:solidFill>
                      </w14:textFill>
                    </w:rPr>
                    <w:t>S</w:t>
                  </w:r>
                </w:p>
              </w:tc>
              <w:tc>
                <w:tcPr>
                  <w:tcW w:w="3036" w:type="dxa"/>
                  <w:noWrap w:val="0"/>
                  <w:vAlign w:val="center"/>
                </w:tcPr>
                <w:p w14:paraId="24BC36AA">
                  <w:pPr>
                    <w:widowControl/>
                    <w:jc w:val="center"/>
                    <w:rPr>
                      <w:rFonts w:hint="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厂界浓度</w:t>
                  </w:r>
                  <w:r>
                    <w:rPr>
                      <w:color w:val="000000" w:themeColor="text1"/>
                      <w:kern w:val="0"/>
                      <w:szCs w:val="21"/>
                      <w14:textFill>
                        <w14:solidFill>
                          <w14:schemeClr w14:val="tx1"/>
                        </w14:solidFill>
                      </w14:textFill>
                    </w:rPr>
                    <w:t>0.06mg/m</w:t>
                  </w:r>
                  <w:r>
                    <w:rPr>
                      <w:rFonts w:hint="eastAsia"/>
                      <w:color w:val="000000" w:themeColor="text1"/>
                      <w:kern w:val="0"/>
                      <w:szCs w:val="21"/>
                      <w:vertAlign w:val="superscript"/>
                      <w14:textFill>
                        <w14:solidFill>
                          <w14:schemeClr w14:val="tx1"/>
                        </w14:solidFill>
                      </w14:textFill>
                    </w:rPr>
                    <w:t>3</w:t>
                  </w:r>
                </w:p>
              </w:tc>
            </w:tr>
            <w:tr w14:paraId="02ACA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0F86C80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36C3FE41">
                  <w:pPr>
                    <w:widowControl/>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22903B1C">
                  <w:pPr>
                    <w:pStyle w:val="7"/>
                    <w:ind w:firstLine="0" w:firstLineChars="0"/>
                    <w:jc w:val="center"/>
                    <w:rPr>
                      <w:color w:val="000000" w:themeColor="text1"/>
                      <w:szCs w:val="21"/>
                      <w:highlight w:val="none"/>
                      <w14:textFill>
                        <w14:solidFill>
                          <w14:schemeClr w14:val="tx1"/>
                        </w14:solidFill>
                      </w14:textFill>
                    </w:rPr>
                  </w:pPr>
                  <w:r>
                    <w:rPr>
                      <w:rFonts w:hint="eastAsia"/>
                      <w:color w:val="000000" w:themeColor="text1"/>
                      <w:sz w:val="21"/>
                      <w:szCs w:val="21"/>
                      <w14:textFill>
                        <w14:solidFill>
                          <w14:schemeClr w14:val="tx1"/>
                        </w14:solidFill>
                      </w14:textFill>
                    </w:rPr>
                    <w:t>臭气浓度</w:t>
                  </w:r>
                </w:p>
              </w:tc>
              <w:tc>
                <w:tcPr>
                  <w:tcW w:w="3036" w:type="dxa"/>
                  <w:noWrap w:val="0"/>
                  <w:vAlign w:val="center"/>
                </w:tcPr>
                <w:p w14:paraId="788B776B">
                  <w:pPr>
                    <w:widowControl/>
                    <w:jc w:val="center"/>
                    <w:rPr>
                      <w:rFonts w:hint="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厂界浓度</w:t>
                  </w:r>
                  <w:r>
                    <w:rPr>
                      <w:color w:val="000000" w:themeColor="text1"/>
                      <w:kern w:val="0"/>
                      <w:szCs w:val="21"/>
                      <w14:textFill>
                        <w14:solidFill>
                          <w14:schemeClr w14:val="tx1"/>
                        </w14:solidFill>
                      </w14:textFill>
                    </w:rPr>
                    <w:t>20</w:t>
                  </w:r>
                  <w:r>
                    <w:rPr>
                      <w:rFonts w:hint="eastAsia" w:ascii="宋体" w:hAnsi="宋体" w:cs="宋体"/>
                      <w:color w:val="000000" w:themeColor="text1"/>
                      <w:kern w:val="0"/>
                      <w:szCs w:val="21"/>
                      <w14:textFill>
                        <w14:solidFill>
                          <w14:schemeClr w14:val="tx1"/>
                        </w14:solidFill>
                      </w14:textFill>
                    </w:rPr>
                    <w:t>（无量纲）</w:t>
                  </w:r>
                </w:p>
              </w:tc>
            </w:tr>
            <w:tr w14:paraId="2D3B3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restart"/>
                  <w:noWrap w:val="0"/>
                  <w:vAlign w:val="center"/>
                </w:tcPr>
                <w:p w14:paraId="17F94BA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废水</w:t>
                  </w:r>
                </w:p>
              </w:tc>
              <w:tc>
                <w:tcPr>
                  <w:tcW w:w="4084" w:type="dxa"/>
                  <w:vMerge w:val="restart"/>
                  <w:noWrap w:val="0"/>
                  <w:vAlign w:val="center"/>
                </w:tcPr>
                <w:p w14:paraId="452F600D">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《污水综合排放标准》（GB8978-1996）表4三级标准</w:t>
                  </w:r>
                </w:p>
              </w:tc>
              <w:tc>
                <w:tcPr>
                  <w:tcW w:w="1184" w:type="dxa"/>
                  <w:noWrap w:val="0"/>
                  <w:vAlign w:val="center"/>
                </w:tcPr>
                <w:p w14:paraId="294FF3F7">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COD</w:t>
                  </w:r>
                </w:p>
              </w:tc>
              <w:tc>
                <w:tcPr>
                  <w:tcW w:w="3036" w:type="dxa"/>
                  <w:noWrap w:val="0"/>
                  <w:vAlign w:val="center"/>
                </w:tcPr>
                <w:p w14:paraId="010528DB">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500mg/L</w:t>
                  </w:r>
                </w:p>
              </w:tc>
            </w:tr>
            <w:tr w14:paraId="18B32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6911B5C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1778D588">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58FD0E0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BOD</w:t>
                  </w:r>
                  <w:r>
                    <w:rPr>
                      <w:rFonts w:hint="default" w:ascii="Times New Roman" w:hAnsi="Times New Roman" w:eastAsia="宋体" w:cs="Times New Roman"/>
                      <w:color w:val="auto"/>
                      <w:sz w:val="21"/>
                      <w:szCs w:val="21"/>
                      <w:highlight w:val="none"/>
                      <w:u w:val="none"/>
                      <w:vertAlign w:val="subscript"/>
                    </w:rPr>
                    <w:t>5</w:t>
                  </w:r>
                </w:p>
              </w:tc>
              <w:tc>
                <w:tcPr>
                  <w:tcW w:w="3036" w:type="dxa"/>
                  <w:noWrap w:val="0"/>
                  <w:vAlign w:val="center"/>
                </w:tcPr>
                <w:p w14:paraId="6D7D4F2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300mg/L</w:t>
                  </w:r>
                </w:p>
              </w:tc>
            </w:tr>
            <w:tr w14:paraId="70EA3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05A6A071">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56F1CEB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16D75309">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w:t>
                  </w:r>
                </w:p>
              </w:tc>
              <w:tc>
                <w:tcPr>
                  <w:tcW w:w="3036" w:type="dxa"/>
                  <w:noWrap w:val="0"/>
                  <w:vAlign w:val="center"/>
                </w:tcPr>
                <w:p w14:paraId="03255F7F">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w:t>
                  </w:r>
                </w:p>
              </w:tc>
            </w:tr>
            <w:tr w14:paraId="71445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653EFA8B">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0F756AB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3A163E9C">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SS</w:t>
                  </w:r>
                </w:p>
              </w:tc>
              <w:tc>
                <w:tcPr>
                  <w:tcW w:w="3036" w:type="dxa"/>
                  <w:noWrap w:val="0"/>
                  <w:vAlign w:val="center"/>
                </w:tcPr>
                <w:p w14:paraId="2C1C8B72">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400mg/L</w:t>
                  </w:r>
                </w:p>
              </w:tc>
            </w:tr>
            <w:tr w14:paraId="34E38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551BE7B4">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1DD529EA">
                  <w:pPr>
                    <w:adjustRightInd w:val="0"/>
                    <w:snapToGrid w:val="0"/>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镇平县第二污水处理厂进水水质指标</w:t>
                  </w:r>
                </w:p>
              </w:tc>
              <w:tc>
                <w:tcPr>
                  <w:tcW w:w="1184" w:type="dxa"/>
                  <w:noWrap w:val="0"/>
                  <w:vAlign w:val="center"/>
                </w:tcPr>
                <w:p w14:paraId="1A273B71">
                  <w:pPr>
                    <w:jc w:val="center"/>
                    <w:rPr>
                      <w:rFonts w:hint="default" w:ascii="Times New Roman" w:hAnsi="Times New Roman" w:eastAsia="宋体" w:cs="Times New Roman"/>
                      <w:color w:val="auto"/>
                      <w:sz w:val="21"/>
                      <w:szCs w:val="21"/>
                      <w:highlight w:val="none"/>
                      <w:u w:val="none"/>
                      <w:lang w:val="en-US" w:eastAsia="zh-CN"/>
                    </w:rPr>
                  </w:pPr>
                  <w:r>
                    <w:rPr>
                      <w:color w:val="000000" w:themeColor="text1"/>
                      <w:szCs w:val="21"/>
                      <w:highlight w:val="none"/>
                      <w14:textFill>
                        <w14:solidFill>
                          <w14:schemeClr w14:val="tx1"/>
                        </w14:solidFill>
                      </w14:textFill>
                    </w:rPr>
                    <w:t>COD</w:t>
                  </w:r>
                </w:p>
              </w:tc>
              <w:tc>
                <w:tcPr>
                  <w:tcW w:w="3036" w:type="dxa"/>
                  <w:noWrap w:val="0"/>
                  <w:vAlign w:val="center"/>
                </w:tcPr>
                <w:p w14:paraId="283294AF">
                  <w:pPr>
                    <w:jc w:val="center"/>
                    <w:rPr>
                      <w:rFonts w:hint="default" w:ascii="Times New Roman" w:hAnsi="Times New Roman" w:eastAsia="宋体" w:cs="Times New Roman"/>
                      <w:color w:val="auto"/>
                      <w:sz w:val="21"/>
                      <w:szCs w:val="21"/>
                      <w:highlight w:val="none"/>
                      <w:u w:val="none"/>
                      <w:lang w:val="en-US" w:eastAsia="zh-CN"/>
                    </w:rPr>
                  </w:pPr>
                  <w:r>
                    <w:rPr>
                      <w:color w:val="000000" w:themeColor="text1"/>
                      <w:szCs w:val="21"/>
                      <w:highlight w:val="none"/>
                      <w14:textFill>
                        <w14:solidFill>
                          <w14:schemeClr w14:val="tx1"/>
                        </w14:solidFill>
                      </w14:textFill>
                    </w:rPr>
                    <w:t>400mg/L</w:t>
                  </w:r>
                </w:p>
              </w:tc>
            </w:tr>
            <w:tr w14:paraId="31536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50CE4D16">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0C48BFEA">
                  <w:pPr>
                    <w:adjustRightInd w:val="0"/>
                    <w:snapToGrid w:val="0"/>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1AAC355F">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BOD</w:t>
                  </w:r>
                  <w:r>
                    <w:rPr>
                      <w:color w:val="000000" w:themeColor="text1"/>
                      <w:szCs w:val="21"/>
                      <w:highlight w:val="none"/>
                      <w:vertAlign w:val="subscript"/>
                      <w14:textFill>
                        <w14:solidFill>
                          <w14:schemeClr w14:val="tx1"/>
                        </w14:solidFill>
                      </w14:textFill>
                    </w:rPr>
                    <w:t>5</w:t>
                  </w:r>
                </w:p>
              </w:tc>
              <w:tc>
                <w:tcPr>
                  <w:tcW w:w="3036" w:type="dxa"/>
                  <w:noWrap w:val="0"/>
                  <w:vAlign w:val="center"/>
                </w:tcPr>
                <w:p w14:paraId="4EF44D32">
                  <w:pPr>
                    <w:jc w:val="center"/>
                    <w:rPr>
                      <w:rFonts w:hint="default" w:ascii="Times New Roman" w:hAnsi="Times New Roman" w:eastAsia="宋体" w:cs="Times New Roman"/>
                      <w:color w:val="auto"/>
                      <w:sz w:val="21"/>
                      <w:szCs w:val="21"/>
                      <w:highlight w:val="none"/>
                      <w:u w:val="none"/>
                      <w:lang w:val="de-DE"/>
                    </w:rPr>
                  </w:pPr>
                  <w:r>
                    <w:rPr>
                      <w:color w:val="000000" w:themeColor="text1"/>
                      <w:szCs w:val="21"/>
                      <w:highlight w:val="none"/>
                      <w14:textFill>
                        <w14:solidFill>
                          <w14:schemeClr w14:val="tx1"/>
                        </w14:solidFill>
                      </w14:textFill>
                    </w:rPr>
                    <w:t>150mg/L</w:t>
                  </w:r>
                </w:p>
              </w:tc>
            </w:tr>
            <w:tr w14:paraId="4B2C8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0BE17941">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3F3DC37B">
                  <w:pPr>
                    <w:adjustRightInd w:val="0"/>
                    <w:snapToGrid w:val="0"/>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6AA6D3D6">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NH</w:t>
                  </w:r>
                  <w:r>
                    <w:rPr>
                      <w:color w:val="000000" w:themeColor="text1"/>
                      <w:szCs w:val="21"/>
                      <w:highlight w:val="none"/>
                      <w:vertAlign w:val="subscript"/>
                      <w14:textFill>
                        <w14:solidFill>
                          <w14:schemeClr w14:val="tx1"/>
                        </w14:solidFill>
                      </w14:textFill>
                    </w:rPr>
                    <w:t>3</w:t>
                  </w:r>
                  <w:r>
                    <w:rPr>
                      <w:color w:val="000000" w:themeColor="text1"/>
                      <w:szCs w:val="21"/>
                      <w:highlight w:val="none"/>
                      <w14:textFill>
                        <w14:solidFill>
                          <w14:schemeClr w14:val="tx1"/>
                        </w14:solidFill>
                      </w14:textFill>
                    </w:rPr>
                    <w:t>-N</w:t>
                  </w:r>
                </w:p>
              </w:tc>
              <w:tc>
                <w:tcPr>
                  <w:tcW w:w="3036" w:type="dxa"/>
                  <w:noWrap w:val="0"/>
                  <w:vAlign w:val="center"/>
                </w:tcPr>
                <w:p w14:paraId="005AB709">
                  <w:pPr>
                    <w:jc w:val="center"/>
                    <w:rPr>
                      <w:rFonts w:hint="default" w:ascii="Times New Roman" w:hAnsi="Times New Roman" w:eastAsia="宋体" w:cs="Times New Roman"/>
                      <w:color w:val="auto"/>
                      <w:sz w:val="21"/>
                      <w:szCs w:val="21"/>
                      <w:highlight w:val="none"/>
                      <w:u w:val="none"/>
                      <w:lang w:val="de-DE"/>
                    </w:rPr>
                  </w:pPr>
                  <w:r>
                    <w:rPr>
                      <w:color w:val="000000" w:themeColor="text1"/>
                      <w:szCs w:val="21"/>
                      <w:highlight w:val="none"/>
                      <w14:textFill>
                        <w14:solidFill>
                          <w14:schemeClr w14:val="tx1"/>
                        </w14:solidFill>
                      </w14:textFill>
                    </w:rPr>
                    <w:t>40mg/L</w:t>
                  </w:r>
                </w:p>
              </w:tc>
            </w:tr>
            <w:tr w14:paraId="0F41B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49CD3CB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4ED33D08">
                  <w:pPr>
                    <w:adjustRightInd w:val="0"/>
                    <w:snapToGrid w:val="0"/>
                    <w:jc w:val="center"/>
                    <w:rPr>
                      <w:rFonts w:hint="default" w:ascii="Times New Roman" w:hAnsi="Times New Roman" w:eastAsia="宋体" w:cs="Times New Roman"/>
                      <w:color w:val="auto"/>
                      <w:sz w:val="21"/>
                      <w:szCs w:val="21"/>
                      <w:highlight w:val="none"/>
                      <w:u w:val="none"/>
                    </w:rPr>
                  </w:pPr>
                </w:p>
              </w:tc>
              <w:tc>
                <w:tcPr>
                  <w:tcW w:w="1184" w:type="dxa"/>
                  <w:noWrap w:val="0"/>
                  <w:vAlign w:val="center"/>
                </w:tcPr>
                <w:p w14:paraId="7B16412E">
                  <w:pPr>
                    <w:jc w:val="center"/>
                    <w:rPr>
                      <w:rFonts w:hint="default" w:ascii="Times New Roman" w:hAnsi="Times New Roman" w:eastAsia="宋体" w:cs="Times New Roman"/>
                      <w:color w:val="auto"/>
                      <w:sz w:val="21"/>
                      <w:szCs w:val="21"/>
                      <w:highlight w:val="none"/>
                      <w:u w:val="none"/>
                    </w:rPr>
                  </w:pPr>
                  <w:r>
                    <w:rPr>
                      <w:color w:val="000000" w:themeColor="text1"/>
                      <w:szCs w:val="21"/>
                      <w:highlight w:val="none"/>
                      <w14:textFill>
                        <w14:solidFill>
                          <w14:schemeClr w14:val="tx1"/>
                        </w14:solidFill>
                      </w14:textFill>
                    </w:rPr>
                    <w:t>SS</w:t>
                  </w:r>
                </w:p>
              </w:tc>
              <w:tc>
                <w:tcPr>
                  <w:tcW w:w="3036" w:type="dxa"/>
                  <w:noWrap w:val="0"/>
                  <w:vAlign w:val="center"/>
                </w:tcPr>
                <w:p w14:paraId="3DDFB358">
                  <w:pPr>
                    <w:jc w:val="center"/>
                    <w:rPr>
                      <w:rFonts w:hint="default" w:ascii="Times New Roman" w:hAnsi="Times New Roman" w:eastAsia="宋体" w:cs="Times New Roman"/>
                      <w:color w:val="auto"/>
                      <w:sz w:val="21"/>
                      <w:szCs w:val="21"/>
                      <w:highlight w:val="none"/>
                      <w:u w:val="none"/>
                      <w:lang w:val="en-US" w:eastAsia="zh-CN"/>
                    </w:rPr>
                  </w:pPr>
                  <w:r>
                    <w:rPr>
                      <w:color w:val="000000" w:themeColor="text1"/>
                      <w:szCs w:val="21"/>
                      <w:highlight w:val="none"/>
                      <w14:textFill>
                        <w14:solidFill>
                          <w14:schemeClr w14:val="tx1"/>
                        </w14:solidFill>
                      </w14:textFill>
                    </w:rPr>
                    <w:t>300mg/L</w:t>
                  </w:r>
                </w:p>
              </w:tc>
            </w:tr>
            <w:tr w14:paraId="7444B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364FD0C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restart"/>
                  <w:noWrap w:val="0"/>
                  <w:vAlign w:val="center"/>
                </w:tcPr>
                <w:p w14:paraId="0C88906C">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commentRangeStart w:id="75"/>
                  <w:r>
                    <w:rPr>
                      <w:rFonts w:hint="default" w:ascii="Times New Roman" w:hAnsi="Times New Roman" w:eastAsia="宋体" w:cs="Times New Roman"/>
                      <w:color w:val="auto"/>
                      <w:sz w:val="21"/>
                      <w:szCs w:val="21"/>
                      <w:highlight w:val="none"/>
                      <w:u w:val="none"/>
                    </w:rPr>
                    <w:t>《城镇污水处理厂污染物排放标准》（GB18918-2002）一级A标准</w:t>
                  </w:r>
                  <w:commentRangeEnd w:id="75"/>
                  <w:r>
                    <w:commentReference w:id="75"/>
                  </w:r>
                </w:p>
              </w:tc>
              <w:tc>
                <w:tcPr>
                  <w:tcW w:w="1184" w:type="dxa"/>
                  <w:noWrap w:val="0"/>
                  <w:vAlign w:val="center"/>
                </w:tcPr>
                <w:p w14:paraId="3D505C34">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COD</w:t>
                  </w:r>
                </w:p>
              </w:tc>
              <w:tc>
                <w:tcPr>
                  <w:tcW w:w="3036" w:type="dxa"/>
                  <w:noWrap w:val="0"/>
                  <w:vAlign w:val="center"/>
                </w:tcPr>
                <w:p w14:paraId="11B279CD">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50mg/L</w:t>
                  </w:r>
                </w:p>
              </w:tc>
            </w:tr>
            <w:tr w14:paraId="75196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7A5FE15D">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6EAB47C4">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1EDE4DCC">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BOD</w:t>
                  </w:r>
                  <w:r>
                    <w:rPr>
                      <w:rFonts w:hint="default" w:ascii="Times New Roman" w:hAnsi="Times New Roman" w:eastAsia="宋体" w:cs="Times New Roman"/>
                      <w:color w:val="auto"/>
                      <w:sz w:val="21"/>
                      <w:szCs w:val="21"/>
                      <w:highlight w:val="none"/>
                      <w:u w:val="none"/>
                      <w:vertAlign w:val="subscript"/>
                    </w:rPr>
                    <w:t>5</w:t>
                  </w:r>
                </w:p>
              </w:tc>
              <w:tc>
                <w:tcPr>
                  <w:tcW w:w="3036" w:type="dxa"/>
                  <w:noWrap w:val="0"/>
                  <w:vAlign w:val="center"/>
                </w:tcPr>
                <w:p w14:paraId="1E94CA1F">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10mg/L</w:t>
                  </w:r>
                </w:p>
              </w:tc>
            </w:tr>
            <w:tr w14:paraId="2921C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238301B5">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74F13B3D">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3DA81BB8">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NH</w:t>
                  </w:r>
                  <w:r>
                    <w:rPr>
                      <w:rFonts w:hint="default" w:ascii="Times New Roman" w:hAnsi="Times New Roman" w:eastAsia="宋体" w:cs="Times New Roman"/>
                      <w:color w:val="auto"/>
                      <w:sz w:val="21"/>
                      <w:szCs w:val="21"/>
                      <w:highlight w:val="none"/>
                      <w:u w:val="none"/>
                      <w:vertAlign w:val="subscript"/>
                    </w:rPr>
                    <w:t>3</w:t>
                  </w:r>
                  <w:r>
                    <w:rPr>
                      <w:rFonts w:hint="default" w:ascii="Times New Roman" w:hAnsi="Times New Roman" w:eastAsia="宋体" w:cs="Times New Roman"/>
                      <w:color w:val="auto"/>
                      <w:sz w:val="21"/>
                      <w:szCs w:val="21"/>
                      <w:highlight w:val="none"/>
                      <w:u w:val="none"/>
                    </w:rPr>
                    <w:t>-N</w:t>
                  </w:r>
                </w:p>
              </w:tc>
              <w:tc>
                <w:tcPr>
                  <w:tcW w:w="3036" w:type="dxa"/>
                  <w:noWrap w:val="0"/>
                  <w:vAlign w:val="center"/>
                </w:tcPr>
                <w:p w14:paraId="51B19A70">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5（8）mg/L</w:t>
                  </w:r>
                </w:p>
              </w:tc>
            </w:tr>
            <w:tr w14:paraId="14CAB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noWrap w:val="0"/>
                  <w:vAlign w:val="center"/>
                </w:tcPr>
                <w:p w14:paraId="793BC9D0">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4084" w:type="dxa"/>
                  <w:vMerge w:val="continue"/>
                  <w:noWrap w:val="0"/>
                  <w:vAlign w:val="center"/>
                </w:tcPr>
                <w:p w14:paraId="3E69E340">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p>
              </w:tc>
              <w:tc>
                <w:tcPr>
                  <w:tcW w:w="1184" w:type="dxa"/>
                  <w:noWrap w:val="0"/>
                  <w:vAlign w:val="center"/>
                </w:tcPr>
                <w:p w14:paraId="5A4146DA">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SS</w:t>
                  </w:r>
                </w:p>
              </w:tc>
              <w:tc>
                <w:tcPr>
                  <w:tcW w:w="3036" w:type="dxa"/>
                  <w:noWrap w:val="0"/>
                  <w:vAlign w:val="center"/>
                </w:tcPr>
                <w:p w14:paraId="3A3198B9">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10mg/L</w:t>
                  </w:r>
                </w:p>
              </w:tc>
            </w:tr>
            <w:tr w14:paraId="7870D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noWrap w:val="0"/>
                  <w:vAlign w:val="center"/>
                </w:tcPr>
                <w:p w14:paraId="4F23422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噪声</w:t>
                  </w:r>
                </w:p>
              </w:tc>
              <w:tc>
                <w:tcPr>
                  <w:tcW w:w="4084" w:type="dxa"/>
                  <w:noWrap w:val="0"/>
                  <w:vAlign w:val="center"/>
                </w:tcPr>
                <w:p w14:paraId="2948E79B">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《工业企业厂界环境噪声排放标准》</w:t>
                  </w:r>
                  <w:r>
                    <w:rPr>
                      <w:rFonts w:hint="default"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rPr>
                    <w:t>GB12348-2008</w:t>
                  </w:r>
                  <w:r>
                    <w:rPr>
                      <w:rFonts w:hint="default" w:ascii="Times New Roman" w:hAnsi="Times New Roman" w:eastAsia="宋体" w:cs="Times New Roman"/>
                      <w:color w:val="auto"/>
                      <w:sz w:val="21"/>
                      <w:szCs w:val="21"/>
                      <w:highlight w:val="none"/>
                      <w:u w:val="none"/>
                      <w:lang w:eastAsia="zh-CN"/>
                    </w:rPr>
                    <w:t>）</w:t>
                  </w:r>
                </w:p>
              </w:tc>
              <w:tc>
                <w:tcPr>
                  <w:tcW w:w="1184" w:type="dxa"/>
                  <w:noWrap w:val="0"/>
                  <w:vAlign w:val="center"/>
                </w:tcPr>
                <w:p w14:paraId="57229BA4">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commentRangeStart w:id="76"/>
                  <w:r>
                    <w:rPr>
                      <w:rFonts w:hint="default" w:ascii="Times New Roman" w:hAnsi="Times New Roman" w:eastAsia="宋体" w:cs="Times New Roman"/>
                      <w:color w:val="auto"/>
                      <w:sz w:val="21"/>
                      <w:szCs w:val="21"/>
                      <w:highlight w:val="none"/>
                      <w:u w:val="none"/>
                    </w:rPr>
                    <w:t>2类</w:t>
                  </w:r>
                  <w:commentRangeEnd w:id="76"/>
                  <w:r>
                    <w:commentReference w:id="76"/>
                  </w:r>
                </w:p>
              </w:tc>
              <w:tc>
                <w:tcPr>
                  <w:tcW w:w="3036" w:type="dxa"/>
                  <w:noWrap w:val="0"/>
                  <w:vAlign w:val="center"/>
                </w:tcPr>
                <w:p w14:paraId="722AD1FB">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昼间：60dB(A)</w:t>
                  </w:r>
                </w:p>
              </w:tc>
            </w:tr>
            <w:tr w14:paraId="54197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noWrap w:val="0"/>
                  <w:vAlign w:val="center"/>
                </w:tcPr>
                <w:p w14:paraId="7E1683F2">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固废</w:t>
                  </w:r>
                </w:p>
              </w:tc>
              <w:tc>
                <w:tcPr>
                  <w:tcW w:w="8304" w:type="dxa"/>
                  <w:gridSpan w:val="3"/>
                  <w:noWrap w:val="0"/>
                  <w:vAlign w:val="center"/>
                </w:tcPr>
                <w:p w14:paraId="521CF54E">
                  <w:pPr>
                    <w:keepNext w:val="0"/>
                    <w:keepLines w:val="0"/>
                    <w:pageBreakBefore w:val="0"/>
                    <w:widowControl w:val="0"/>
                    <w:kinsoku/>
                    <w:wordWrap/>
                    <w:overflowPunct/>
                    <w:topLinePunct w:val="0"/>
                    <w:autoSpaceDE/>
                    <w:autoSpaceDN/>
                    <w:bidi w:val="0"/>
                    <w:adjustRightInd/>
                    <w:snapToGrid/>
                    <w:ind w:left="0" w:leftChars="0"/>
                    <w:jc w:val="center"/>
                    <w:textAlignment w:val="auto"/>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eastAsia="宋体" w:cs="Times New Roman"/>
                      <w:color w:val="auto"/>
                      <w:sz w:val="21"/>
                      <w:szCs w:val="21"/>
                      <w:highlight w:val="none"/>
                      <w:u w:val="none"/>
                    </w:rPr>
                    <w:t>一般固体废物执行《一般工业固体废物贮存和填埋污染控制标准》（GB18599-2020）；危险废物执行</w:t>
                  </w:r>
                  <w:r>
                    <w:rPr>
                      <w:rFonts w:hint="default" w:ascii="Times New Roman" w:hAnsi="Times New Roman" w:eastAsia="宋体" w:cs="Times New Roman"/>
                      <w:color w:val="auto"/>
                      <w:kern w:val="21"/>
                      <w:sz w:val="21"/>
                      <w:szCs w:val="21"/>
                      <w:highlight w:val="none"/>
                      <w:u w:val="none"/>
                    </w:rPr>
                    <w:t>《危险废物贮存污染控制标准》（GB18597-2023）中相关要求</w:t>
                  </w:r>
                </w:p>
              </w:tc>
            </w:tr>
          </w:tbl>
          <w:p w14:paraId="56CC1905">
            <w:pPr>
              <w:rPr>
                <w:rFonts w:hint="default" w:ascii="Times New Roman" w:hAnsi="Times New Roman" w:cs="Times New Roman"/>
                <w:color w:val="auto"/>
                <w:sz w:val="24"/>
                <w:u w:val="none"/>
              </w:rPr>
            </w:pPr>
          </w:p>
        </w:tc>
      </w:tr>
      <w:tr w14:paraId="51DECE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8" w:type="pct"/>
            <w:noWrap w:val="0"/>
            <w:vAlign w:val="center"/>
          </w:tcPr>
          <w:p w14:paraId="1BABFDDE">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总量</w:t>
            </w:r>
          </w:p>
          <w:p w14:paraId="187214F8">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控制</w:t>
            </w:r>
          </w:p>
          <w:p w14:paraId="49378943">
            <w:pPr>
              <w:adjustRightInd w:val="0"/>
              <w:snapToGrid w:val="0"/>
              <w:jc w:val="center"/>
              <w:rPr>
                <w:rFonts w:hint="default" w:ascii="Times New Roman" w:hAnsi="Times New Roman" w:cs="Times New Roman"/>
                <w:color w:val="auto"/>
                <w:kern w:val="0"/>
                <w:sz w:val="24"/>
                <w:u w:val="none"/>
              </w:rPr>
            </w:pPr>
            <w:r>
              <w:rPr>
                <w:rFonts w:hint="default" w:ascii="Times New Roman" w:hAnsi="Times New Roman" w:cs="Times New Roman"/>
                <w:color w:val="auto"/>
                <w:kern w:val="0"/>
                <w:sz w:val="24"/>
                <w:u w:val="none"/>
              </w:rPr>
              <w:t>指标</w:t>
            </w:r>
          </w:p>
        </w:tc>
        <w:tc>
          <w:tcPr>
            <w:tcW w:w="4771" w:type="pct"/>
            <w:noWrap w:val="0"/>
            <w:vAlign w:val="center"/>
          </w:tcPr>
          <w:p w14:paraId="0C2F3576">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sz w:val="24"/>
                <w:highlight w:val="none"/>
                <w:u w:val="none"/>
              </w:rPr>
              <w:t>根据《国务院关于印发</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十四五</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节能减排综合工作方案的通知》（国发〔2021〕33号）、生态环境部办公厅《关于做好</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十四五</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主要污染物总量减排工作的通知》（环办综合函〔2021〕323号），</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十四五</w:t>
            </w:r>
            <w:r>
              <w:rPr>
                <w:rFonts w:hint="eastAsia" w:cs="Times New Roman"/>
                <w:color w:val="auto"/>
                <w:sz w:val="24"/>
                <w:highlight w:val="none"/>
                <w:u w:val="none"/>
                <w:lang w:eastAsia="zh-CN"/>
              </w:rPr>
              <w:t>”</w:t>
            </w:r>
            <w:r>
              <w:rPr>
                <w:rFonts w:hint="default" w:ascii="Times New Roman" w:hAnsi="Times New Roman" w:cs="Times New Roman"/>
                <w:color w:val="auto"/>
                <w:sz w:val="24"/>
                <w:highlight w:val="none"/>
                <w:u w:val="none"/>
              </w:rPr>
              <w:t>时期，国家明确列入总量减排的主要污染物为：化学需氧量、氨氮、氮氧化物、挥发性有机物四项。</w:t>
            </w:r>
          </w:p>
          <w:p w14:paraId="3FFF3D35">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kern w:val="0"/>
                <w:sz w:val="24"/>
                <w:highlight w:val="none"/>
                <w:u w:val="none"/>
                <w:lang w:bidi="ar"/>
              </w:rPr>
            </w:pPr>
            <w:commentRangeStart w:id="77"/>
            <w:r>
              <w:rPr>
                <w:rFonts w:hint="default" w:ascii="Times New Roman" w:hAnsi="Times New Roman" w:cs="Times New Roman"/>
                <w:color w:val="auto"/>
                <w:kern w:val="0"/>
                <w:sz w:val="24"/>
                <w:highlight w:val="none"/>
                <w:u w:val="none"/>
                <w:lang w:bidi="ar"/>
              </w:rPr>
              <w:t>（1）大气污染物总量：项目营运期废气类型主要为</w:t>
            </w:r>
            <w:r>
              <w:rPr>
                <w:rFonts w:hint="default" w:ascii="Times New Roman" w:hAnsi="Times New Roman" w:cs="Times New Roman"/>
                <w:color w:val="auto"/>
                <w:kern w:val="0"/>
                <w:sz w:val="24"/>
                <w:highlight w:val="none"/>
                <w:u w:val="none"/>
                <w:lang w:val="en-US" w:eastAsia="zh-CN" w:bidi="ar"/>
              </w:rPr>
              <w:t>油烟</w:t>
            </w:r>
            <w:r>
              <w:rPr>
                <w:rFonts w:hint="eastAsia" w:cs="Times New Roman"/>
                <w:color w:val="auto"/>
                <w:kern w:val="0"/>
                <w:sz w:val="24"/>
                <w:highlight w:val="none"/>
                <w:u w:val="none"/>
                <w:lang w:val="en-US" w:eastAsia="zh-CN" w:bidi="ar"/>
              </w:rPr>
              <w:t>、非甲烷总烃、</w:t>
            </w:r>
            <w:r>
              <w:rPr>
                <w:rFonts w:hint="eastAsia" w:ascii="Times New Roman" w:hAnsi="Times New Roman" w:cs="Times New Roman"/>
                <w:color w:val="auto"/>
                <w:kern w:val="0"/>
                <w:sz w:val="24"/>
                <w:szCs w:val="24"/>
                <w:highlight w:val="none"/>
                <w:u w:val="none"/>
                <w:lang w:val="en-US" w:eastAsia="zh-CN" w:bidi="ar"/>
              </w:rPr>
              <w:t>颗粒物、</w:t>
            </w:r>
            <w:r>
              <w:rPr>
                <w:rFonts w:hint="eastAsia"/>
                <w:color w:val="000000" w:themeColor="text1"/>
                <w:sz w:val="24"/>
                <w:szCs w:val="24"/>
                <w:highlight w:val="none"/>
                <w:u w:val="none"/>
                <w14:textFill>
                  <w14:solidFill>
                    <w14:schemeClr w14:val="tx1"/>
                  </w14:solidFill>
                </w14:textFill>
              </w:rPr>
              <w:t>SO</w:t>
            </w:r>
            <w:r>
              <w:rPr>
                <w:rFonts w:hint="eastAsia"/>
                <w:color w:val="000000" w:themeColor="text1"/>
                <w:sz w:val="24"/>
                <w:szCs w:val="24"/>
                <w:highlight w:val="none"/>
                <w:u w:val="none"/>
                <w:vertAlign w:val="subscript"/>
                <w14:textFill>
                  <w14:solidFill>
                    <w14:schemeClr w14:val="tx1"/>
                  </w14:solidFill>
                </w14:textFill>
              </w:rPr>
              <w:t>2</w:t>
            </w:r>
            <w:r>
              <w:rPr>
                <w:rFonts w:hint="eastAsia" w:ascii="Times New Roman" w:hAnsi="Times New Roman" w:cs="Times New Roman"/>
                <w:color w:val="auto"/>
                <w:kern w:val="0"/>
                <w:sz w:val="24"/>
                <w:szCs w:val="24"/>
                <w:highlight w:val="none"/>
                <w:u w:val="none"/>
                <w:lang w:val="en-US" w:eastAsia="zh-CN" w:bidi="ar"/>
              </w:rPr>
              <w:t>、</w:t>
            </w:r>
            <w:r>
              <w:rPr>
                <w:rFonts w:hint="eastAsia"/>
                <w:color w:val="000000" w:themeColor="text1"/>
                <w:sz w:val="24"/>
                <w:szCs w:val="24"/>
                <w:highlight w:val="none"/>
                <w:u w:val="none"/>
                <w14:textFill>
                  <w14:solidFill>
                    <w14:schemeClr w14:val="tx1"/>
                  </w14:solidFill>
                </w14:textFill>
              </w:rPr>
              <w:t>NOx</w:t>
            </w:r>
            <w:r>
              <w:rPr>
                <w:rFonts w:hint="default" w:ascii="Times New Roman" w:hAnsi="Times New Roman" w:cs="Times New Roman"/>
                <w:color w:val="auto"/>
                <w:kern w:val="0"/>
                <w:sz w:val="24"/>
                <w:szCs w:val="24"/>
                <w:highlight w:val="none"/>
                <w:u w:val="none"/>
                <w:lang w:bidi="ar"/>
              </w:rPr>
              <w:t>，经</w:t>
            </w:r>
            <w:r>
              <w:rPr>
                <w:rFonts w:hint="default" w:ascii="Times New Roman" w:hAnsi="Times New Roman" w:cs="Times New Roman"/>
                <w:color w:val="auto"/>
                <w:kern w:val="0"/>
                <w:sz w:val="24"/>
                <w:highlight w:val="none"/>
                <w:u w:val="none"/>
                <w:lang w:bidi="ar"/>
              </w:rPr>
              <w:t>过处理后</w:t>
            </w:r>
            <w:r>
              <w:rPr>
                <w:rFonts w:hint="default" w:ascii="Times New Roman" w:hAnsi="Times New Roman" w:cs="Times New Roman"/>
                <w:color w:val="auto"/>
                <w:kern w:val="0"/>
                <w:sz w:val="24"/>
                <w:highlight w:val="none"/>
                <w:u w:val="none"/>
                <w:lang w:val="en-US" w:eastAsia="zh-CN" w:bidi="ar"/>
              </w:rPr>
              <w:t>油烟</w:t>
            </w:r>
            <w:r>
              <w:rPr>
                <w:rFonts w:hint="default" w:ascii="Times New Roman" w:hAnsi="Times New Roman" w:cs="Times New Roman"/>
                <w:color w:val="auto"/>
                <w:kern w:val="0"/>
                <w:sz w:val="24"/>
                <w:highlight w:val="none"/>
                <w:u w:val="none"/>
                <w:lang w:bidi="ar"/>
              </w:rPr>
              <w:t>排放量为</w:t>
            </w:r>
            <w:r>
              <w:rPr>
                <w:rFonts w:hint="default" w:ascii="Times New Roman" w:hAnsi="Times New Roman" w:cs="Times New Roman"/>
                <w:color w:val="auto"/>
                <w:kern w:val="0"/>
                <w:sz w:val="24"/>
                <w:highlight w:val="none"/>
                <w:u w:val="none"/>
                <w:lang w:val="en-US" w:eastAsia="zh-CN" w:bidi="ar"/>
              </w:rPr>
              <w:t>0.021</w:t>
            </w:r>
            <w:r>
              <w:rPr>
                <w:rFonts w:hint="eastAsia"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eastAsia" w:ascii="Times New Roman" w:hAnsi="Times New Roman" w:cs="Times New Roman"/>
                <w:color w:val="auto"/>
                <w:kern w:val="0"/>
                <w:sz w:val="24"/>
                <w:highlight w:val="none"/>
                <w:u w:val="none"/>
                <w:lang w:eastAsia="zh-CN" w:bidi="ar"/>
              </w:rPr>
              <w:t>、</w:t>
            </w:r>
            <w:r>
              <w:rPr>
                <w:rFonts w:hint="eastAsia" w:ascii="Times New Roman" w:hAnsi="Times New Roman" w:cs="Times New Roman"/>
                <w:color w:val="auto"/>
                <w:kern w:val="0"/>
                <w:sz w:val="24"/>
                <w:highlight w:val="none"/>
                <w:u w:val="none"/>
                <w:lang w:val="en-US" w:eastAsia="zh-CN" w:bidi="ar"/>
              </w:rPr>
              <w:t>非甲烷总烃</w:t>
            </w:r>
            <w:r>
              <w:rPr>
                <w:rFonts w:hint="default" w:ascii="Times New Roman" w:hAnsi="Times New Roman" w:cs="Times New Roman"/>
                <w:color w:val="auto"/>
                <w:kern w:val="0"/>
                <w:sz w:val="24"/>
                <w:highlight w:val="none"/>
                <w:u w:val="none"/>
                <w:lang w:bidi="ar"/>
              </w:rPr>
              <w:t>排放量为</w:t>
            </w:r>
            <w:r>
              <w:rPr>
                <w:rFonts w:hint="default" w:ascii="Times New Roman" w:hAnsi="Times New Roman" w:cs="Times New Roman"/>
                <w:color w:val="auto"/>
                <w:kern w:val="0"/>
                <w:sz w:val="24"/>
                <w:highlight w:val="none"/>
                <w:u w:val="none"/>
                <w:lang w:val="en-US" w:eastAsia="zh-CN" w:bidi="ar"/>
              </w:rPr>
              <w:t>0.067</w:t>
            </w:r>
            <w:r>
              <w:rPr>
                <w:rFonts w:hint="eastAsia"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eastAsia" w:ascii="Times New Roman" w:hAnsi="Times New Roman" w:cs="Times New Roman"/>
                <w:color w:val="auto"/>
                <w:kern w:val="0"/>
                <w:sz w:val="24"/>
                <w:highlight w:val="none"/>
                <w:u w:val="none"/>
                <w:lang w:eastAsia="zh-CN" w:bidi="ar"/>
              </w:rPr>
              <w:t>、</w:t>
            </w:r>
            <w:r>
              <w:rPr>
                <w:rFonts w:hint="eastAsia" w:ascii="Times New Roman" w:hAnsi="Times New Roman" w:cs="Times New Roman"/>
                <w:color w:val="auto"/>
                <w:kern w:val="0"/>
                <w:sz w:val="24"/>
                <w:highlight w:val="none"/>
                <w:u w:val="none"/>
                <w:lang w:val="en-US" w:eastAsia="zh-CN" w:bidi="ar"/>
              </w:rPr>
              <w:t>颗粒物</w:t>
            </w:r>
            <w:r>
              <w:rPr>
                <w:rFonts w:hint="default" w:ascii="Times New Roman" w:hAnsi="Times New Roman" w:cs="Times New Roman"/>
                <w:color w:val="auto"/>
                <w:kern w:val="0"/>
                <w:sz w:val="24"/>
                <w:highlight w:val="none"/>
                <w:u w:val="none"/>
                <w:lang w:bidi="ar"/>
              </w:rPr>
              <w:t>排放量为</w:t>
            </w:r>
            <w:r>
              <w:rPr>
                <w:rFonts w:hint="default" w:ascii="Times New Roman" w:hAnsi="Times New Roman" w:cs="Times New Roman"/>
                <w:color w:val="auto"/>
                <w:kern w:val="0"/>
                <w:sz w:val="24"/>
                <w:highlight w:val="none"/>
                <w:u w:val="none"/>
                <w:lang w:val="en-US" w:eastAsia="zh-CN" w:bidi="ar"/>
              </w:rPr>
              <w:t>0.025</w:t>
            </w:r>
            <w:r>
              <w:rPr>
                <w:rFonts w:hint="eastAsia"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eastAsia" w:ascii="Times New Roman" w:hAnsi="Times New Roman" w:cs="Times New Roman"/>
                <w:color w:val="auto"/>
                <w:kern w:val="0"/>
                <w:sz w:val="24"/>
                <w:highlight w:val="none"/>
                <w:u w:val="none"/>
                <w:lang w:eastAsia="zh-CN" w:bidi="ar"/>
              </w:rPr>
              <w:t>、</w:t>
            </w:r>
            <w:r>
              <w:rPr>
                <w:rFonts w:hint="eastAsia"/>
                <w:color w:val="000000" w:themeColor="text1"/>
                <w:sz w:val="24"/>
                <w:szCs w:val="24"/>
                <w:highlight w:val="none"/>
                <w:u w:val="none"/>
                <w14:textFill>
                  <w14:solidFill>
                    <w14:schemeClr w14:val="tx1"/>
                  </w14:solidFill>
                </w14:textFill>
              </w:rPr>
              <w:t>SO</w:t>
            </w:r>
            <w:r>
              <w:rPr>
                <w:rFonts w:hint="eastAsia"/>
                <w:color w:val="000000" w:themeColor="text1"/>
                <w:sz w:val="24"/>
                <w:szCs w:val="24"/>
                <w:highlight w:val="none"/>
                <w:u w:val="none"/>
                <w:vertAlign w:val="subscript"/>
                <w14:textFill>
                  <w14:solidFill>
                    <w14:schemeClr w14:val="tx1"/>
                  </w14:solidFill>
                </w14:textFill>
              </w:rPr>
              <w:t>2</w:t>
            </w:r>
            <w:r>
              <w:rPr>
                <w:rFonts w:hint="default" w:ascii="Times New Roman" w:hAnsi="Times New Roman" w:cs="Times New Roman"/>
                <w:color w:val="auto"/>
                <w:kern w:val="0"/>
                <w:sz w:val="24"/>
                <w:highlight w:val="none"/>
                <w:u w:val="none"/>
                <w:lang w:bidi="ar"/>
              </w:rPr>
              <w:t>排放量为</w:t>
            </w:r>
            <w:r>
              <w:rPr>
                <w:rFonts w:hint="default" w:ascii="Times New Roman" w:hAnsi="Times New Roman" w:cs="Times New Roman"/>
                <w:color w:val="auto"/>
                <w:kern w:val="0"/>
                <w:sz w:val="24"/>
                <w:highlight w:val="none"/>
                <w:u w:val="none"/>
                <w:lang w:val="en-US" w:eastAsia="zh-CN" w:bidi="ar"/>
              </w:rPr>
              <w:t>0.00502</w:t>
            </w:r>
            <w:r>
              <w:rPr>
                <w:rFonts w:hint="eastAsia"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eastAsia" w:ascii="Times New Roman" w:hAnsi="Times New Roman" w:cs="Times New Roman"/>
                <w:color w:val="auto"/>
                <w:kern w:val="0"/>
                <w:sz w:val="24"/>
                <w:highlight w:val="none"/>
                <w:u w:val="none"/>
                <w:lang w:eastAsia="zh-CN" w:bidi="ar"/>
              </w:rPr>
              <w:t>、</w:t>
            </w:r>
            <w:r>
              <w:rPr>
                <w:rFonts w:hint="eastAsia"/>
                <w:color w:val="000000" w:themeColor="text1"/>
                <w:sz w:val="24"/>
                <w:szCs w:val="24"/>
                <w:highlight w:val="none"/>
                <w:u w:val="none"/>
                <w14:textFill>
                  <w14:solidFill>
                    <w14:schemeClr w14:val="tx1"/>
                  </w14:solidFill>
                </w14:textFill>
              </w:rPr>
              <w:t>NOx</w:t>
            </w:r>
            <w:r>
              <w:rPr>
                <w:rFonts w:hint="default" w:ascii="Times New Roman" w:hAnsi="Times New Roman" w:cs="Times New Roman"/>
                <w:color w:val="auto"/>
                <w:kern w:val="0"/>
                <w:sz w:val="24"/>
                <w:highlight w:val="none"/>
                <w:u w:val="none"/>
                <w:lang w:bidi="ar"/>
              </w:rPr>
              <w:t>排放量为</w:t>
            </w:r>
            <w:r>
              <w:rPr>
                <w:rFonts w:hint="default" w:ascii="Times New Roman" w:hAnsi="Times New Roman" w:cs="Times New Roman"/>
                <w:color w:val="auto"/>
                <w:kern w:val="0"/>
                <w:sz w:val="24"/>
                <w:highlight w:val="none"/>
                <w:u w:val="none"/>
                <w:lang w:val="en-US" w:eastAsia="zh-CN" w:bidi="ar"/>
              </w:rPr>
              <w:t>0.09</w:t>
            </w:r>
            <w:r>
              <w:rPr>
                <w:rFonts w:hint="eastAsia"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p>
          <w:p w14:paraId="1C19ADB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highlight w:val="none"/>
                <w:u w:val="none"/>
                <w:lang w:bidi="ar"/>
              </w:rPr>
            </w:pPr>
            <w:r>
              <w:rPr>
                <w:rFonts w:hint="default" w:ascii="Times New Roman" w:hAnsi="Times New Roman" w:cs="Times New Roman"/>
                <w:color w:val="auto"/>
                <w:kern w:val="0"/>
                <w:sz w:val="24"/>
                <w:highlight w:val="none"/>
                <w:u w:val="none"/>
                <w:lang w:bidi="ar"/>
              </w:rPr>
              <w:t>（2）废水污染物总量：</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本项目营运期生产废水及生活污水产生总量为</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9325</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u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w:t>
            </w:r>
            <w:r>
              <w:rPr>
                <w:rFonts w:hint="eastAsia" w:cs="Times New Roman"/>
                <w:color w:val="000000" w:themeColor="text1"/>
                <w:sz w:val="24"/>
                <w:szCs w:val="24"/>
                <w:highlight w:val="none"/>
                <w:u w:val="no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，废水经厂区污水处理</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设施</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处理后通过污水总排口接入市政污水管网进入镇平县第二污水处理厂进一步处理达标后排放，因此本项目厂区污水总排口污染物总量控制为：COD：</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2.</w:t>
            </w:r>
            <w:r>
              <w:rPr>
                <w:rFonts w:hint="eastAsia" w:cs="Times New Roman"/>
                <w:color w:val="000000" w:themeColor="text1"/>
                <w:sz w:val="24"/>
                <w:szCs w:val="24"/>
                <w:highlight w:val="none"/>
                <w:u w:val="none"/>
                <w:lang w:val="en-US" w:eastAsia="zh-CN"/>
                <w14:textFill>
                  <w14:solidFill>
                    <w14:schemeClr w14:val="tx1"/>
                  </w14:solidFill>
                </w14:textFill>
              </w:rPr>
              <w:t>106</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t/a，NH</w:t>
            </w:r>
            <w:r>
              <w:rPr>
                <w:rFonts w:hint="default" w:ascii="Times New Roman" w:hAnsi="Times New Roman" w:eastAsia="宋体" w:cs="Times New Roman"/>
                <w:color w:val="000000" w:themeColor="text1"/>
                <w:sz w:val="24"/>
                <w:szCs w:val="24"/>
                <w:highlight w:val="none"/>
                <w:u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-N：</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0.2</w:t>
            </w:r>
            <w:r>
              <w:rPr>
                <w:rFonts w:hint="eastAsia" w:cs="Times New Roman"/>
                <w:color w:val="000000" w:themeColor="text1"/>
                <w:sz w:val="24"/>
                <w:szCs w:val="24"/>
                <w:highlight w:val="none"/>
                <w:u w:val="none"/>
                <w:lang w:val="en-US" w:eastAsia="zh-CN"/>
                <w14:textFill>
                  <w14:solidFill>
                    <w14:schemeClr w14:val="tx1"/>
                  </w14:solidFill>
                </w14:textFill>
              </w:rPr>
              <w:t>24</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t/a；经镇平县第二污水处理厂处理后的污染物总量控制指标为：COD：</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0.</w:t>
            </w:r>
            <w:r>
              <w:rPr>
                <w:rFonts w:hint="eastAsia" w:cs="Times New Roman"/>
                <w:color w:val="000000" w:themeColor="text1"/>
                <w:sz w:val="24"/>
                <w:szCs w:val="24"/>
                <w:highlight w:val="none"/>
                <w:u w:val="none"/>
                <w:lang w:val="en-US" w:eastAsia="zh-CN"/>
                <w14:textFill>
                  <w14:solidFill>
                    <w14:schemeClr w14:val="tx1"/>
                  </w14:solidFill>
                </w14:textFill>
              </w:rPr>
              <w:t>466</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t/a，NH</w:t>
            </w:r>
            <w:r>
              <w:rPr>
                <w:rFonts w:hint="default" w:ascii="Times New Roman" w:hAnsi="Times New Roman" w:eastAsia="宋体" w:cs="Times New Roman"/>
                <w:color w:val="000000" w:themeColor="text1"/>
                <w:sz w:val="24"/>
                <w:szCs w:val="24"/>
                <w:highlight w:val="none"/>
                <w:u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-N：</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0.0</w:t>
            </w:r>
            <w:r>
              <w:rPr>
                <w:rFonts w:hint="eastAsia" w:cs="Times New Roman"/>
                <w:color w:val="000000" w:themeColor="text1"/>
                <w:sz w:val="24"/>
                <w:szCs w:val="24"/>
                <w:highlight w:val="none"/>
                <w:u w:val="none"/>
                <w:lang w:val="en-US" w:eastAsia="zh-CN"/>
                <w14:textFill>
                  <w14:solidFill>
                    <w14:schemeClr w14:val="tx1"/>
                  </w14:solidFill>
                </w14:textFill>
              </w:rPr>
              <w:t>46</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t/a</w:t>
            </w:r>
            <w:r>
              <w:rPr>
                <w:rFonts w:hint="default" w:ascii="Times New Roman" w:hAnsi="Times New Roman" w:eastAsia="宋体" w:cs="Times New Roman"/>
                <w:color w:val="000000" w:themeColor="text1"/>
                <w:kern w:val="0"/>
                <w:sz w:val="24"/>
                <w:szCs w:val="24"/>
                <w:highlight w:val="none"/>
                <w:u w:val="none"/>
                <w:lang w:bidi="ar"/>
                <w14:textFill>
                  <w14:solidFill>
                    <w14:schemeClr w14:val="tx1"/>
                  </w14:solidFill>
                </w14:textFill>
              </w:rPr>
              <w:t>。</w:t>
            </w:r>
            <w:commentRangeEnd w:id="77"/>
            <w:r>
              <w:commentReference w:id="77"/>
            </w:r>
          </w:p>
          <w:p w14:paraId="5492B0A7">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highlight w:val="none"/>
                <w:u w:val="none"/>
              </w:rPr>
            </w:pPr>
            <w:r>
              <w:rPr>
                <w:rFonts w:hint="default" w:ascii="Times New Roman" w:hAnsi="Times New Roman" w:cs="Times New Roman"/>
                <w:color w:val="auto"/>
                <w:kern w:val="0"/>
                <w:sz w:val="24"/>
                <w:highlight w:val="none"/>
                <w:u w:val="none"/>
                <w:lang w:bidi="ar"/>
              </w:rPr>
              <w:t>（3）总量替代方案</w:t>
            </w:r>
          </w:p>
          <w:p w14:paraId="5C6FBFEB">
            <w:pPr>
              <w:pStyle w:val="19"/>
              <w:keepNext w:val="0"/>
              <w:keepLines w:val="0"/>
              <w:pageBreakBefore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highlight w:val="none"/>
                <w:u w:val="none"/>
              </w:rPr>
              <w:t>由于镇平县大气年平均浓度未达到二级空气质量标准，水环境质量良好，因此，大气总量指标实施双倍替代，替代量：</w:t>
            </w:r>
            <w:r>
              <w:rPr>
                <w:rFonts w:hint="default" w:ascii="Times New Roman" w:hAnsi="Times New Roman" w:cs="Times New Roman"/>
                <w:color w:val="auto"/>
                <w:kern w:val="0"/>
                <w:sz w:val="24"/>
                <w:highlight w:val="none"/>
                <w:u w:val="none"/>
                <w:lang w:val="en-US" w:eastAsia="zh-CN" w:bidi="ar"/>
              </w:rPr>
              <w:t>油烟</w:t>
            </w:r>
            <w:r>
              <w:rPr>
                <w:rFonts w:hint="eastAsia" w:ascii="Times New Roman" w:hAnsi="Times New Roman" w:cs="Times New Roman"/>
                <w:color w:val="auto"/>
                <w:kern w:val="0"/>
                <w:sz w:val="24"/>
                <w:highlight w:val="none"/>
                <w:u w:val="none"/>
                <w:lang w:val="en-US" w:eastAsia="zh-CN" w:bidi="ar"/>
              </w:rPr>
              <w:t>0.042</w:t>
            </w:r>
            <w:r>
              <w:rPr>
                <w:rFonts w:hint="default" w:ascii="Times New Roman" w:hAnsi="Times New Roman"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default" w:ascii="Times New Roman" w:hAnsi="Times New Roman" w:cs="Times New Roman"/>
                <w:color w:val="auto"/>
                <w:kern w:val="0"/>
                <w:sz w:val="24"/>
                <w:highlight w:val="none"/>
                <w:u w:val="none"/>
                <w:lang w:eastAsia="zh-CN" w:bidi="ar"/>
              </w:rPr>
              <w:t>、</w:t>
            </w:r>
            <w:r>
              <w:rPr>
                <w:rFonts w:hint="eastAsia" w:ascii="Times New Roman" w:hAnsi="Times New Roman" w:cs="Times New Roman"/>
                <w:color w:val="auto"/>
                <w:kern w:val="0"/>
                <w:sz w:val="24"/>
                <w:highlight w:val="none"/>
                <w:u w:val="none"/>
                <w:lang w:val="en-US" w:eastAsia="zh-CN" w:bidi="ar"/>
              </w:rPr>
              <w:t>非甲烷总烃</w:t>
            </w:r>
            <w:r>
              <w:rPr>
                <w:rFonts w:hint="default" w:ascii="Times New Roman" w:hAnsi="Times New Roman" w:cs="Times New Roman"/>
                <w:color w:val="auto"/>
                <w:kern w:val="0"/>
                <w:sz w:val="24"/>
                <w:highlight w:val="none"/>
                <w:u w:val="none"/>
                <w:lang w:val="en-US" w:eastAsia="zh-CN" w:bidi="ar"/>
              </w:rPr>
              <w:t>0.</w:t>
            </w:r>
            <w:r>
              <w:rPr>
                <w:rFonts w:hint="eastAsia" w:ascii="Times New Roman" w:hAnsi="Times New Roman" w:cs="Times New Roman"/>
                <w:color w:val="auto"/>
                <w:kern w:val="0"/>
                <w:sz w:val="24"/>
                <w:highlight w:val="none"/>
                <w:u w:val="none"/>
                <w:lang w:val="en-US" w:eastAsia="zh-CN" w:bidi="ar"/>
              </w:rPr>
              <w:t>134</w:t>
            </w:r>
            <w:r>
              <w:rPr>
                <w:rFonts w:hint="default" w:ascii="Times New Roman" w:hAnsi="Times New Roman"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default" w:ascii="Times New Roman" w:hAnsi="Times New Roman" w:cs="Times New Roman"/>
                <w:color w:val="auto"/>
                <w:kern w:val="0"/>
                <w:sz w:val="24"/>
                <w:highlight w:val="none"/>
                <w:u w:val="none"/>
                <w:lang w:eastAsia="zh-CN" w:bidi="ar"/>
              </w:rPr>
              <w:t>、</w:t>
            </w:r>
            <w:r>
              <w:rPr>
                <w:rFonts w:hint="default" w:ascii="Times New Roman" w:hAnsi="Times New Roman" w:cs="Times New Roman"/>
                <w:color w:val="auto"/>
                <w:kern w:val="0"/>
                <w:sz w:val="24"/>
                <w:highlight w:val="none"/>
                <w:u w:val="none"/>
                <w:lang w:val="en-US" w:eastAsia="zh-CN" w:bidi="ar"/>
              </w:rPr>
              <w:t>颗粒物0.</w:t>
            </w:r>
            <w:r>
              <w:rPr>
                <w:rFonts w:hint="eastAsia" w:ascii="Times New Roman" w:hAnsi="Times New Roman" w:cs="Times New Roman"/>
                <w:color w:val="auto"/>
                <w:kern w:val="0"/>
                <w:sz w:val="24"/>
                <w:highlight w:val="none"/>
                <w:u w:val="none"/>
                <w:lang w:val="en-US" w:eastAsia="zh-CN" w:bidi="ar"/>
              </w:rPr>
              <w:t>05</w:t>
            </w:r>
            <w:r>
              <w:rPr>
                <w:rFonts w:hint="default" w:ascii="Times New Roman" w:hAnsi="Times New Roman"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default" w:ascii="Times New Roman" w:hAnsi="Times New Roman" w:cs="Times New Roman"/>
                <w:color w:val="auto"/>
                <w:kern w:val="0"/>
                <w:sz w:val="24"/>
                <w:highlight w:val="none"/>
                <w:u w:val="none"/>
                <w:lang w:eastAsia="zh-CN" w:bidi="ar"/>
              </w:rPr>
              <w:t>、</w:t>
            </w:r>
            <w:r>
              <w:rPr>
                <w:rFonts w:hint="default" w:ascii="Times New Roman" w:hAnsi="Times New Roman" w:cs="Times New Roman"/>
                <w:color w:val="000000" w:themeColor="text1"/>
                <w:sz w:val="24"/>
                <w:szCs w:val="24"/>
                <w:highlight w:val="none"/>
                <w:u w:val="none"/>
                <w14:textFill>
                  <w14:solidFill>
                    <w14:schemeClr w14:val="tx1"/>
                  </w14:solidFill>
                </w14:textFill>
              </w:rPr>
              <w:t>SO</w:t>
            </w:r>
            <w:r>
              <w:rPr>
                <w:rFonts w:hint="default" w:ascii="Times New Roman" w:hAnsi="Times New Roman" w:cs="Times New Roman"/>
                <w:color w:val="000000" w:themeColor="text1"/>
                <w:sz w:val="24"/>
                <w:szCs w:val="24"/>
                <w:highlight w:val="none"/>
                <w:u w:val="none"/>
                <w:vertAlign w:val="subscript"/>
                <w14:textFill>
                  <w14:solidFill>
                    <w14:schemeClr w14:val="tx1"/>
                  </w14:solidFill>
                </w14:textFill>
              </w:rPr>
              <w:t>2</w:t>
            </w:r>
            <w:r>
              <w:rPr>
                <w:rFonts w:hint="default" w:ascii="Times New Roman" w:hAnsi="Times New Roman" w:cs="Times New Roman"/>
                <w:color w:val="auto"/>
                <w:kern w:val="0"/>
                <w:sz w:val="24"/>
                <w:highlight w:val="none"/>
                <w:u w:val="none"/>
                <w:lang w:val="en-US" w:eastAsia="zh-CN" w:bidi="ar"/>
              </w:rPr>
              <w:t>0.0</w:t>
            </w:r>
            <w:r>
              <w:rPr>
                <w:rFonts w:hint="eastAsia" w:ascii="Times New Roman" w:hAnsi="Times New Roman" w:cs="Times New Roman"/>
                <w:color w:val="auto"/>
                <w:kern w:val="0"/>
                <w:sz w:val="24"/>
                <w:highlight w:val="none"/>
                <w:u w:val="none"/>
                <w:lang w:val="en-US" w:eastAsia="zh-CN" w:bidi="ar"/>
              </w:rPr>
              <w:t>1004</w:t>
            </w:r>
            <w:r>
              <w:rPr>
                <w:rFonts w:hint="default" w:ascii="Times New Roman" w:hAnsi="Times New Roman"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default" w:ascii="Times New Roman" w:hAnsi="Times New Roman" w:cs="Times New Roman"/>
                <w:color w:val="auto"/>
                <w:kern w:val="0"/>
                <w:sz w:val="24"/>
                <w:highlight w:val="none"/>
                <w:u w:val="none"/>
                <w:lang w:eastAsia="zh-CN" w:bidi="ar"/>
              </w:rPr>
              <w:t>、</w:t>
            </w:r>
            <w:r>
              <w:rPr>
                <w:rFonts w:hint="default" w:ascii="Times New Roman" w:hAnsi="Times New Roman" w:cs="Times New Roman"/>
                <w:color w:val="000000" w:themeColor="text1"/>
                <w:sz w:val="24"/>
                <w:szCs w:val="24"/>
                <w:highlight w:val="none"/>
                <w:u w:val="none"/>
                <w14:textFill>
                  <w14:solidFill>
                    <w14:schemeClr w14:val="tx1"/>
                  </w14:solidFill>
                </w14:textFill>
              </w:rPr>
              <w:t>NOx</w:t>
            </w:r>
            <w:r>
              <w:rPr>
                <w:rFonts w:hint="default" w:ascii="Times New Roman" w:hAnsi="Times New Roman" w:cs="Times New Roman"/>
                <w:color w:val="auto"/>
                <w:kern w:val="0"/>
                <w:sz w:val="24"/>
                <w:highlight w:val="none"/>
                <w:u w:val="none"/>
                <w:lang w:bidi="ar"/>
              </w:rPr>
              <w:t>排放量为</w:t>
            </w:r>
            <w:r>
              <w:rPr>
                <w:rFonts w:hint="default" w:ascii="Times New Roman" w:hAnsi="Times New Roman" w:cs="Times New Roman"/>
                <w:color w:val="auto"/>
                <w:kern w:val="0"/>
                <w:sz w:val="24"/>
                <w:highlight w:val="none"/>
                <w:u w:val="none"/>
                <w:lang w:val="en-US" w:eastAsia="zh-CN" w:bidi="ar"/>
              </w:rPr>
              <w:t>0.</w:t>
            </w:r>
            <w:r>
              <w:rPr>
                <w:rFonts w:hint="eastAsia" w:ascii="Times New Roman" w:hAnsi="Times New Roman" w:cs="Times New Roman"/>
                <w:color w:val="auto"/>
                <w:kern w:val="0"/>
                <w:sz w:val="24"/>
                <w:highlight w:val="none"/>
                <w:u w:val="none"/>
                <w:lang w:val="en-US" w:eastAsia="zh-CN" w:bidi="ar"/>
              </w:rPr>
              <w:t>18</w:t>
            </w:r>
            <w:r>
              <w:rPr>
                <w:rFonts w:hint="default" w:ascii="Times New Roman" w:hAnsi="Times New Roman" w:cs="Times New Roman"/>
                <w:color w:val="auto"/>
                <w:kern w:val="0"/>
                <w:sz w:val="24"/>
                <w:highlight w:val="none"/>
                <w:u w:val="none"/>
                <w:lang w:val="en-US" w:eastAsia="zh-CN" w:bidi="ar"/>
              </w:rPr>
              <w:t>t</w:t>
            </w:r>
            <w:r>
              <w:rPr>
                <w:rFonts w:hint="default" w:ascii="Times New Roman" w:hAnsi="Times New Roman" w:cs="Times New Roman"/>
                <w:color w:val="auto"/>
                <w:kern w:val="0"/>
                <w:sz w:val="24"/>
                <w:highlight w:val="none"/>
                <w:u w:val="none"/>
                <w:lang w:bidi="ar"/>
              </w:rPr>
              <w:t>/a，</w:t>
            </w:r>
            <w:r>
              <w:rPr>
                <w:rFonts w:hint="default" w:ascii="Times New Roman" w:hAnsi="Times New Roman" w:cs="Times New Roman"/>
                <w:color w:val="auto"/>
                <w:sz w:val="24"/>
                <w:highlight w:val="none"/>
                <w:u w:val="none"/>
              </w:rPr>
              <w:t>废水总量控制指标采用等量替代，替代量：</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COD：COD：</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0.466</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t/a，NH3-N：</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0.046</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t/a</w:t>
            </w:r>
            <w:r>
              <w:rPr>
                <w:rFonts w:hint="default" w:ascii="Times New Roman" w:hAnsi="Times New Roman" w:cs="Times New Roman"/>
                <w:color w:val="auto"/>
                <w:sz w:val="24"/>
                <w:highlight w:val="none"/>
                <w:u w:val="none"/>
              </w:rPr>
              <w:t>。</w:t>
            </w:r>
          </w:p>
        </w:tc>
      </w:tr>
    </w:tbl>
    <w:p w14:paraId="7520F66F">
      <w:pPr>
        <w:numPr>
          <w:ilvl w:val="0"/>
          <w:numId w:val="0"/>
        </w:numPr>
        <w:sectPr>
          <w:pgSz w:w="11906" w:h="16838"/>
          <w:pgMar w:top="1440" w:right="1083" w:bottom="1440" w:left="1083" w:header="851" w:footer="992" w:gutter="0"/>
          <w:pgNumType w:fmt="decimal"/>
          <w:cols w:space="0" w:num="1"/>
          <w:rtlGutter w:val="0"/>
          <w:docGrid w:type="lines" w:linePitch="312" w:charSpace="0"/>
        </w:sectPr>
      </w:pPr>
    </w:p>
    <w:p w14:paraId="190DEF53">
      <w:pPr>
        <w:pStyle w:val="3"/>
        <w:bidi w:val="0"/>
        <w:jc w:val="center"/>
      </w:pPr>
      <w:r>
        <w:t>四、主要环境影响和保护措施</w:t>
      </w:r>
    </w:p>
    <w:tbl>
      <w:tblPr>
        <w:tblStyle w:val="20"/>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6"/>
        <w:gridCol w:w="9438"/>
      </w:tblGrid>
      <w:tr w14:paraId="7E4D4F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1" w:type="pct"/>
            <w:noWrap w:val="0"/>
            <w:tcMar>
              <w:left w:w="28" w:type="dxa"/>
              <w:right w:w="28" w:type="dxa"/>
            </w:tcMar>
            <w:vAlign w:val="center"/>
          </w:tcPr>
          <w:p w14:paraId="28BAE0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施工期环境保护措施</w:t>
            </w:r>
          </w:p>
        </w:tc>
        <w:tc>
          <w:tcPr>
            <w:tcW w:w="4778" w:type="pct"/>
            <w:noWrap w:val="0"/>
            <w:vAlign w:val="center"/>
          </w:tcPr>
          <w:p w14:paraId="0447C2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TW"/>
              </w:rPr>
              <w:t>施工期对环境的影响因素主要是</w:t>
            </w:r>
            <w:r>
              <w:rPr>
                <w:rFonts w:hint="default" w:ascii="Times New Roman" w:hAnsi="Times New Roman" w:eastAsia="宋体" w:cs="Times New Roman"/>
                <w:sz w:val="24"/>
                <w:szCs w:val="24"/>
              </w:rPr>
              <w:t>废水、施工噪声</w:t>
            </w:r>
            <w:r>
              <w:rPr>
                <w:rFonts w:hint="default" w:ascii="Times New Roman" w:hAnsi="Times New Roman" w:eastAsia="宋体" w:cs="Times New Roman"/>
                <w:sz w:val="24"/>
                <w:szCs w:val="24"/>
                <w:lang w:eastAsia="zh-TW"/>
              </w:rPr>
              <w:t>及</w:t>
            </w:r>
            <w:r>
              <w:rPr>
                <w:rFonts w:hint="default" w:ascii="Times New Roman" w:hAnsi="Times New Roman" w:eastAsia="宋体" w:cs="Times New Roman"/>
                <w:sz w:val="24"/>
                <w:szCs w:val="24"/>
              </w:rPr>
              <w:t>固废</w:t>
            </w:r>
            <w:r>
              <w:rPr>
                <w:rFonts w:hint="default" w:ascii="Times New Roman" w:hAnsi="Times New Roman" w:eastAsia="宋体" w:cs="Times New Roman"/>
                <w:sz w:val="24"/>
                <w:szCs w:val="24"/>
                <w:lang w:eastAsia="zh-TW"/>
              </w:rPr>
              <w:t>等</w:t>
            </w:r>
            <w:r>
              <w:rPr>
                <w:rFonts w:hint="default" w:ascii="Times New Roman" w:hAnsi="Times New Roman" w:eastAsia="宋体" w:cs="Times New Roman"/>
                <w:sz w:val="24"/>
                <w:szCs w:val="24"/>
              </w:rPr>
              <w:t>，相关保护措施如下：</w:t>
            </w:r>
          </w:p>
          <w:p w14:paraId="1DE96E4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rPr>
            </w:pPr>
            <w:bookmarkStart w:id="6" w:name="_Toc57658096"/>
            <w:r>
              <w:rPr>
                <w:rFonts w:hint="default" w:ascii="Times New Roman" w:hAnsi="Times New Roman" w:eastAsia="宋体" w:cs="Times New Roman"/>
                <w:b/>
                <w:bCs/>
                <w:sz w:val="24"/>
                <w:szCs w:val="24"/>
              </w:rPr>
              <w:t>1</w:t>
            </w:r>
            <w:r>
              <w:rPr>
                <w:rFonts w:hint="default" w:ascii="Times New Roman" w:hAnsi="Times New Roman" w:eastAsia="宋体" w:cs="Times New Roman"/>
                <w:b/>
                <w:bCs/>
                <w:sz w:val="24"/>
                <w:szCs w:val="24"/>
                <w:lang w:eastAsia="zh-TW"/>
              </w:rPr>
              <w:t>、水环境</w:t>
            </w:r>
            <w:r>
              <w:rPr>
                <w:rFonts w:hint="default" w:ascii="Times New Roman" w:hAnsi="Times New Roman" w:eastAsia="宋体" w:cs="Times New Roman"/>
                <w:b/>
                <w:bCs/>
                <w:sz w:val="24"/>
                <w:szCs w:val="24"/>
              </w:rPr>
              <w:t>保护措施</w:t>
            </w:r>
          </w:p>
          <w:p w14:paraId="3F8EC9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施工期废水主要为施工人员的生活污水。</w:t>
            </w:r>
          </w:p>
          <w:p w14:paraId="4E0408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施工单位</w:t>
            </w:r>
            <w:r>
              <w:rPr>
                <w:rFonts w:hint="default" w:ascii="Times New Roman" w:hAnsi="Times New Roman" w:eastAsia="宋体" w:cs="Times New Roman"/>
                <w:sz w:val="24"/>
                <w:szCs w:val="24"/>
                <w:lang w:eastAsia="zh-TW"/>
              </w:rPr>
              <w:t>按规划位置修建厕所和化粪池，施工期生活污水经化粪池处理</w:t>
            </w:r>
            <w:r>
              <w:rPr>
                <w:rFonts w:hint="default" w:ascii="Times New Roman" w:hAnsi="Times New Roman" w:eastAsia="宋体" w:cs="Times New Roman"/>
                <w:sz w:val="24"/>
                <w:szCs w:val="24"/>
                <w:lang w:val="en-US" w:eastAsia="zh-CN"/>
              </w:rPr>
              <w:t>后经市政管网进入镇平县第二污水处理厂进一步处理</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eastAsia="zh-TW"/>
              </w:rPr>
              <w:t>由于施工期较短且水量较小，预计施工期污水对地表水环境无明显影响。</w:t>
            </w:r>
          </w:p>
          <w:bookmarkEnd w:id="6"/>
          <w:p w14:paraId="59FE256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2</w:t>
            </w:r>
            <w:r>
              <w:rPr>
                <w:rFonts w:hint="default" w:ascii="Times New Roman" w:hAnsi="Times New Roman" w:eastAsia="宋体" w:cs="Times New Roman"/>
                <w:b/>
                <w:bCs/>
                <w:sz w:val="24"/>
                <w:szCs w:val="24"/>
                <w:lang w:eastAsia="zh-TW"/>
              </w:rPr>
              <w:t>、施工噪声</w:t>
            </w:r>
            <w:r>
              <w:rPr>
                <w:rFonts w:hint="default" w:ascii="Times New Roman" w:hAnsi="Times New Roman" w:eastAsia="宋体" w:cs="Times New Roman"/>
                <w:b/>
                <w:bCs/>
                <w:sz w:val="24"/>
                <w:szCs w:val="24"/>
              </w:rPr>
              <w:t>保护措施</w:t>
            </w:r>
          </w:p>
          <w:p w14:paraId="73AEE2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TW"/>
              </w:rPr>
            </w:pPr>
            <w:r>
              <w:rPr>
                <w:rFonts w:hint="default" w:ascii="Times New Roman" w:hAnsi="Times New Roman" w:eastAsia="宋体" w:cs="Times New Roman"/>
                <w:sz w:val="24"/>
                <w:szCs w:val="24"/>
                <w:lang w:eastAsia="zh-TW"/>
              </w:rPr>
              <w:t>本项目为了减轻项目建设对周围敏感点的影响，</w:t>
            </w:r>
            <w:r>
              <w:rPr>
                <w:rFonts w:hint="default" w:ascii="Times New Roman" w:hAnsi="Times New Roman" w:eastAsia="宋体" w:cs="Times New Roman"/>
                <w:sz w:val="24"/>
                <w:szCs w:val="24"/>
              </w:rPr>
              <w:t>对此评价提出以下要求：</w:t>
            </w:r>
          </w:p>
          <w:p w14:paraId="23093A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TW"/>
              </w:rPr>
            </w:pPr>
            <w:r>
              <w:rPr>
                <w:rFonts w:hint="default" w:ascii="Times New Roman" w:hAnsi="Times New Roman" w:eastAsia="宋体" w:cs="Times New Roman"/>
                <w:sz w:val="24"/>
                <w:szCs w:val="24"/>
              </w:rPr>
              <w:t>（1）文明施工，尽量减少人为噪声。合理安排施工时间，不得在午间12时至14时和夜间22时至次日6时从事高噪声作业，夜间禁止使用高噪设备。</w:t>
            </w:r>
          </w:p>
          <w:p w14:paraId="0732B9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TW"/>
              </w:rPr>
            </w:pPr>
            <w:r>
              <w:rPr>
                <w:rFonts w:hint="default" w:ascii="Times New Roman" w:hAnsi="Times New Roman" w:eastAsia="宋体" w:cs="Times New Roman"/>
                <w:sz w:val="24"/>
                <w:szCs w:val="24"/>
              </w:rPr>
              <w:t>（2）合理安排施工车辆的运输路线和时间，尽量减少穿越人群集聚区，夜间应禁止运输建筑材料。对必须进行夜间运输的道路，应设禁鸣和限速标志，车辆夜间通过时速度应小于30km/h。</w:t>
            </w:r>
          </w:p>
          <w:p w14:paraId="228CBF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TW"/>
              </w:rPr>
            </w:pPr>
            <w:r>
              <w:rPr>
                <w:rFonts w:hint="default" w:ascii="Times New Roman" w:hAnsi="Times New Roman" w:eastAsia="宋体" w:cs="Times New Roman"/>
                <w:sz w:val="24"/>
                <w:szCs w:val="24"/>
              </w:rPr>
              <w:t>施工单位要对现场施工人员进行严格管理，做到文明施工，将施工期噪声影响降到最低限度。项目施工结束后，施工噪声影响亦随之消失。</w:t>
            </w:r>
          </w:p>
          <w:p w14:paraId="243536F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3</w:t>
            </w:r>
            <w:r>
              <w:rPr>
                <w:rFonts w:hint="default" w:ascii="Times New Roman" w:hAnsi="Times New Roman" w:eastAsia="宋体" w:cs="Times New Roman"/>
                <w:b/>
                <w:bCs/>
                <w:sz w:val="24"/>
                <w:szCs w:val="24"/>
                <w:lang w:eastAsia="zh-TW"/>
              </w:rPr>
              <w:t>、固体废物</w:t>
            </w:r>
            <w:r>
              <w:rPr>
                <w:rFonts w:hint="default" w:ascii="Times New Roman" w:hAnsi="Times New Roman" w:eastAsia="宋体" w:cs="Times New Roman"/>
                <w:b/>
                <w:bCs/>
                <w:sz w:val="24"/>
                <w:szCs w:val="24"/>
              </w:rPr>
              <w:t>防治措施</w:t>
            </w:r>
          </w:p>
          <w:p w14:paraId="690C49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TW"/>
              </w:rPr>
              <w:t>本项目施工期产生的固体废物主要是施工人员的生活垃圾</w:t>
            </w:r>
            <w:r>
              <w:rPr>
                <w:rFonts w:hint="default" w:ascii="Times New Roman" w:hAnsi="Times New Roman" w:eastAsia="宋体" w:cs="Times New Roman"/>
                <w:sz w:val="24"/>
                <w:szCs w:val="24"/>
              </w:rPr>
              <w:t>和设备包装材料</w:t>
            </w:r>
            <w:r>
              <w:rPr>
                <w:rFonts w:hint="default" w:ascii="Times New Roman" w:hAnsi="Times New Roman" w:eastAsia="宋体" w:cs="Times New Roman"/>
                <w:sz w:val="24"/>
                <w:szCs w:val="24"/>
                <w:lang w:eastAsia="zh-TW"/>
              </w:rPr>
              <w:t>。生活垃圾应增设一些分散的小型垃圾收集器（如废物收集箱），并派专人定时打扫清理，及时由环卫部门收集后统一处理处置</w:t>
            </w:r>
            <w:r>
              <w:rPr>
                <w:rFonts w:hint="default" w:ascii="Times New Roman" w:hAnsi="Times New Roman" w:eastAsia="宋体" w:cs="Times New Roman"/>
                <w:sz w:val="24"/>
                <w:szCs w:val="24"/>
              </w:rPr>
              <w:t>，设备包装材料收集后外售给废品回收站</w:t>
            </w:r>
            <w:r>
              <w:rPr>
                <w:rFonts w:hint="default" w:ascii="Times New Roman" w:hAnsi="Times New Roman" w:eastAsia="宋体" w:cs="Times New Roman"/>
                <w:sz w:val="24"/>
                <w:szCs w:val="24"/>
                <w:lang w:eastAsia="zh-TW"/>
              </w:rPr>
              <w:t>。</w:t>
            </w:r>
          </w:p>
          <w:p w14:paraId="73F482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TW"/>
              </w:rPr>
              <w:t>采取上述措施后，施工期固废可得到妥善处置，基本不会对环境造成影响。</w:t>
            </w:r>
          </w:p>
          <w:p w14:paraId="6CFB396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TW"/>
              </w:rPr>
              <w:t>总之，施工期对环境各要素的影响是暂时的、局部的，采取有效的控制措施可将影响降至最低，施工期结束后，其影响基本可消除</w:t>
            </w:r>
            <w:r>
              <w:rPr>
                <w:rFonts w:hint="default" w:ascii="Times New Roman" w:hAnsi="Times New Roman" w:eastAsia="宋体" w:cs="Times New Roman"/>
                <w:sz w:val="24"/>
                <w:szCs w:val="24"/>
              </w:rPr>
              <w:t>。</w:t>
            </w:r>
          </w:p>
        </w:tc>
      </w:tr>
      <w:tr w14:paraId="62AA24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1" w:type="pct"/>
            <w:noWrap w:val="0"/>
            <w:tcMar>
              <w:left w:w="28" w:type="dxa"/>
              <w:right w:w="28" w:type="dxa"/>
            </w:tcMar>
            <w:vAlign w:val="center"/>
          </w:tcPr>
          <w:p w14:paraId="1C0D94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运营期环境影响和保护措施</w:t>
            </w:r>
          </w:p>
        </w:tc>
        <w:tc>
          <w:tcPr>
            <w:tcW w:w="4778" w:type="pct"/>
            <w:noWrap w:val="0"/>
            <w:vAlign w:val="top"/>
          </w:tcPr>
          <w:p w14:paraId="248C16AC">
            <w:pPr>
              <w:pStyle w:val="37"/>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jc w:val="both"/>
              <w:textAlignment w:val="auto"/>
              <w:rPr>
                <w:rFonts w:hint="default" w:ascii="Times New Roman" w:hAnsi="Times New Roman" w:eastAsia="宋体" w:cs="Times New Roman"/>
                <w:b/>
                <w:color w:val="000000" w:themeColor="text1"/>
                <w:kern w:val="0"/>
                <w:sz w:val="24"/>
                <w:szCs w:val="24"/>
                <w:u w:val="none"/>
                <w14:textFill>
                  <w14:solidFill>
                    <w14:schemeClr w14:val="tx1"/>
                  </w14:solidFill>
                </w14:textFill>
              </w:rPr>
            </w:pPr>
            <w:r>
              <w:rPr>
                <w:rFonts w:hint="default" w:ascii="Times New Roman" w:hAnsi="Times New Roman" w:eastAsia="宋体" w:cs="Times New Roman"/>
                <w:b/>
                <w:color w:val="000000" w:themeColor="text1"/>
                <w:kern w:val="0"/>
                <w:sz w:val="24"/>
                <w:szCs w:val="24"/>
                <w:u w:val="none"/>
                <w14:textFill>
                  <w14:solidFill>
                    <w14:schemeClr w14:val="tx1"/>
                  </w14:solidFill>
                </w14:textFill>
              </w:rPr>
              <w:t>1、废气</w:t>
            </w:r>
          </w:p>
          <w:p w14:paraId="5BD7C9B5">
            <w:pPr>
              <w:pStyle w:val="37"/>
              <w:snapToGrid w:val="0"/>
              <w:spacing w:line="360" w:lineRule="auto"/>
              <w:ind w:firstLine="482"/>
              <w:jc w:val="both"/>
              <w:rPr>
                <w:rFonts w:hint="default" w:ascii="Times New Roman" w:hAnsi="Times New Roman" w:cs="Times New Roman"/>
                <w:bCs/>
                <w:color w:val="000000" w:themeColor="text1"/>
                <w:u w:val="none"/>
                <w14:textFill>
                  <w14:solidFill>
                    <w14:schemeClr w14:val="tx1"/>
                  </w14:solidFill>
                </w14:textFill>
              </w:rPr>
            </w:pPr>
            <w:r>
              <w:rPr>
                <w:rFonts w:hint="default" w:ascii="Times New Roman" w:hAnsi="Times New Roman" w:cs="Times New Roman"/>
                <w:bCs/>
                <w:color w:val="000000" w:themeColor="text1"/>
                <w:u w:val="none"/>
                <w:lang w:val="en-US" w:eastAsia="zh-CN"/>
                <w14:textFill>
                  <w14:solidFill>
                    <w14:schemeClr w14:val="tx1"/>
                  </w14:solidFill>
                </w14:textFill>
              </w:rPr>
              <w:t>1</w:t>
            </w:r>
            <w:r>
              <w:rPr>
                <w:rFonts w:hint="default" w:ascii="Times New Roman" w:hAnsi="Times New Roman" w:cs="Times New Roman"/>
                <w:bCs/>
                <w:color w:val="000000" w:themeColor="text1"/>
                <w:u w:val="none"/>
                <w14:textFill>
                  <w14:solidFill>
                    <w14:schemeClr w14:val="tx1"/>
                  </w14:solidFill>
                </w14:textFill>
              </w:rPr>
              <w:t>.1废气源强及源强核算分析</w:t>
            </w:r>
          </w:p>
          <w:p w14:paraId="5967B2B6">
            <w:pPr>
              <w:pStyle w:val="37"/>
              <w:snapToGrid w:val="0"/>
              <w:spacing w:line="360" w:lineRule="auto"/>
              <w:ind w:firstLine="482"/>
              <w:jc w:val="both"/>
              <w:rPr>
                <w:rFonts w:hint="default" w:ascii="Times New Roman" w:hAnsi="Times New Roman" w:cs="Times New Roman"/>
                <w:bCs/>
                <w:color w:val="000000" w:themeColor="text1"/>
                <w:highlight w:val="none"/>
                <w:u w:val="none"/>
                <w14:textFill>
                  <w14:solidFill>
                    <w14:schemeClr w14:val="tx1"/>
                  </w14:solidFill>
                </w14:textFill>
              </w:rPr>
            </w:pPr>
            <w:r>
              <w:rPr>
                <w:rFonts w:hint="default" w:ascii="Times New Roman" w:hAnsi="Times New Roman" w:cs="Times New Roman"/>
                <w:bCs/>
                <w:color w:val="000000" w:themeColor="text1"/>
                <w:highlight w:val="none"/>
                <w:u w:val="none"/>
                <w14:textFill>
                  <w14:solidFill>
                    <w14:schemeClr w14:val="tx1"/>
                  </w14:solidFill>
                </w14:textFill>
              </w:rPr>
              <w:t>项目营运期废气主要为</w:t>
            </w:r>
            <w:r>
              <w:rPr>
                <w:rFonts w:hint="default" w:ascii="Times New Roman" w:hAnsi="Times New Roman" w:cs="Times New Roman"/>
                <w:bCs/>
                <w:color w:val="000000" w:themeColor="text1"/>
                <w:highlight w:val="none"/>
                <w:u w:val="none"/>
                <w:lang w:val="en-US" w:eastAsia="zh-CN"/>
                <w14:textFill>
                  <w14:solidFill>
                    <w14:schemeClr w14:val="tx1"/>
                  </w14:solidFill>
                </w14:textFill>
              </w:rPr>
              <w:t>和面废气</w:t>
            </w:r>
            <w:r>
              <w:rPr>
                <w:rFonts w:hint="eastAsia" w:ascii="Times New Roman" w:hAnsi="Times New Roman" w:cs="Times New Roman"/>
                <w:bCs/>
                <w:color w:val="000000" w:themeColor="text1"/>
                <w:highlight w:val="none"/>
                <w:u w:val="none"/>
                <w:lang w:val="en-US" w:eastAsia="zh-CN"/>
                <w14:textFill>
                  <w14:solidFill>
                    <w14:schemeClr w14:val="tx1"/>
                  </w14:solidFill>
                </w14:textFill>
              </w:rPr>
              <w:t>、</w:t>
            </w:r>
            <w:r>
              <w:rPr>
                <w:rFonts w:hint="eastAsia" w:ascii="Times New Roman" w:hAnsi="Times New Roman" w:cs="Times New Roman"/>
                <w:sz w:val="24"/>
                <w:szCs w:val="24"/>
                <w:highlight w:val="none"/>
                <w:lang w:val="en-US" w:eastAsia="zh-CN"/>
              </w:rPr>
              <w:t>熟化废气、</w:t>
            </w:r>
            <w:r>
              <w:rPr>
                <w:rFonts w:hint="eastAsia" w:cs="Times New Roman"/>
                <w:color w:val="000000" w:themeColor="text1"/>
                <w:sz w:val="24"/>
                <w:szCs w:val="24"/>
                <w:highlight w:val="none"/>
                <w:lang w:val="en-US" w:eastAsia="zh-CN"/>
                <w14:textFill>
                  <w14:solidFill>
                    <w14:schemeClr w14:val="tx1"/>
                  </w14:solidFill>
                </w14:textFill>
              </w:rPr>
              <w:t>天然气</w:t>
            </w:r>
            <w:r>
              <w:rPr>
                <w:rFonts w:hint="eastAsia" w:hAnsi="宋体"/>
                <w:color w:val="000000"/>
                <w:sz w:val="24"/>
                <w:highlight w:val="none"/>
                <w:lang w:val="en-US" w:eastAsia="zh-CN"/>
              </w:rPr>
              <w:t>蒸汽发生器</w:t>
            </w:r>
            <w:r>
              <w:rPr>
                <w:rFonts w:hint="eastAsia"/>
                <w:color w:val="000000" w:themeColor="text1"/>
                <w:kern w:val="0"/>
                <w:sz w:val="24"/>
                <w:highlight w:val="none"/>
                <w:lang w:bidi="ar"/>
                <w14:textFill>
                  <w14:solidFill>
                    <w14:schemeClr w14:val="tx1"/>
                  </w14:solidFill>
                </w14:textFill>
              </w:rPr>
              <w:t>废气</w:t>
            </w:r>
            <w:r>
              <w:rPr>
                <w:rFonts w:hint="default" w:ascii="Times New Roman" w:hAnsi="Times New Roman" w:cs="Times New Roman"/>
                <w:bCs/>
                <w:color w:val="000000" w:themeColor="text1"/>
                <w:highlight w:val="none"/>
                <w:u w:val="none"/>
                <w:lang w:val="en-US" w:eastAsia="zh-CN"/>
                <w14:textFill>
                  <w14:solidFill>
                    <w14:schemeClr w14:val="tx1"/>
                  </w14:solidFill>
                </w14:textFill>
              </w:rPr>
              <w:t>以及</w:t>
            </w:r>
            <w:r>
              <w:rPr>
                <w:rFonts w:hint="default" w:ascii="Times New Roman" w:hAnsi="Times New Roman" w:cs="Times New Roman"/>
                <w:color w:val="000000" w:themeColor="text1"/>
                <w:kern w:val="52"/>
                <w:sz w:val="24"/>
                <w:highlight w:val="none"/>
                <w14:textFill>
                  <w14:solidFill>
                    <w14:schemeClr w14:val="tx1"/>
                  </w14:solidFill>
                </w14:textFill>
              </w:rPr>
              <w:t>污水处理站产生的恶臭</w:t>
            </w:r>
            <w:r>
              <w:rPr>
                <w:rFonts w:hint="default" w:ascii="Times New Roman" w:hAnsi="Times New Roman" w:cs="Times New Roman"/>
                <w:bCs/>
                <w:color w:val="000000" w:themeColor="text1"/>
                <w:highlight w:val="none"/>
                <w:u w:val="none"/>
                <w14:textFill>
                  <w14:solidFill>
                    <w14:schemeClr w14:val="tx1"/>
                  </w14:solidFill>
                </w14:textFill>
              </w:rPr>
              <w:t>。</w:t>
            </w:r>
          </w:p>
          <w:p w14:paraId="492A2F4D">
            <w:pPr>
              <w:pStyle w:val="37"/>
              <w:snapToGrid w:val="0"/>
              <w:spacing w:line="360" w:lineRule="auto"/>
              <w:ind w:firstLine="482"/>
              <w:jc w:val="both"/>
              <w:rPr>
                <w:rFonts w:hint="eastAsia" w:ascii="Times New Roman" w:hAnsi="Times New Roman" w:cs="Times New Roman"/>
                <w:sz w:val="24"/>
                <w:szCs w:val="24"/>
                <w:lang w:val="en-US" w:eastAsia="zh-CN"/>
              </w:rPr>
            </w:pPr>
          </w:p>
          <w:p w14:paraId="4D2A0F84">
            <w:pPr>
              <w:pStyle w:val="37"/>
              <w:snapToGrid w:val="0"/>
              <w:spacing w:line="360" w:lineRule="auto"/>
              <w:ind w:firstLine="482"/>
              <w:jc w:val="both"/>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（1）和面废气</w:t>
            </w:r>
          </w:p>
          <w:p w14:paraId="481730BC">
            <w:pPr>
              <w:pStyle w:val="37"/>
              <w:snapToGrid w:val="0"/>
              <w:spacing w:line="360" w:lineRule="auto"/>
              <w:ind w:firstLine="482"/>
              <w:jc w:val="both"/>
              <w:rPr>
                <w:rFonts w:hint="eastAsia" w:ascii="Times New Roman" w:hAnsi="Times New Roman" w:cs="Times New Roman"/>
                <w:sz w:val="24"/>
                <w:szCs w:val="24"/>
                <w:lang w:val="en-US" w:eastAsia="zh-CN"/>
              </w:rPr>
            </w:pPr>
            <w:r>
              <w:rPr>
                <w:rFonts w:hint="eastAsia" w:ascii="Times New Roman" w:hAnsi="Times New Roman" w:eastAsia="宋体" w:cs="Times New Roman"/>
                <w:sz w:val="24"/>
                <w:szCs w:val="24"/>
                <w:lang w:val="en-US" w:eastAsia="zh-CN"/>
              </w:rPr>
              <w:t>本项目所用面粉为外购袋装，直接由人工拆袋后加入和面机内，之后加盖进行密闭搅拌，此工序会有少量粉尘产生。本项目</w:t>
            </w:r>
            <w:r>
              <w:rPr>
                <w:rFonts w:hint="eastAsia" w:ascii="Times New Roman" w:hAnsi="Times New Roman" w:cs="Times New Roman"/>
                <w:sz w:val="24"/>
                <w:szCs w:val="24"/>
                <w:lang w:val="en-US" w:eastAsia="zh-CN"/>
              </w:rPr>
              <w:t>面粉用量240</w:t>
            </w:r>
            <w:r>
              <w:rPr>
                <w:rFonts w:hint="eastAsia" w:ascii="Times New Roman" w:hAnsi="Times New Roman" w:eastAsia="宋体" w:cs="Times New Roman"/>
                <w:sz w:val="24"/>
                <w:szCs w:val="24"/>
                <w:lang w:val="en-US" w:eastAsia="zh-CN"/>
              </w:rPr>
              <w:t>t/a，参照《逸散性工业粉尘控制技术》中粉尘产生情况，结合本项目实际情况，上料过程中粉尘产生量按0.06kg/t原料估算，</w:t>
            </w:r>
            <w:r>
              <w:rPr>
                <w:rFonts w:hint="eastAsia" w:ascii="Times New Roman" w:hAnsi="Times New Roman" w:cs="Times New Roman"/>
                <w:sz w:val="24"/>
                <w:szCs w:val="24"/>
                <w:lang w:val="en-US" w:eastAsia="zh-CN"/>
              </w:rPr>
              <w:t>上料工序</w:t>
            </w:r>
            <w:r>
              <w:rPr>
                <w:rFonts w:hint="eastAsia" w:ascii="Times New Roman" w:hAnsi="Times New Roman" w:eastAsia="宋体" w:cs="Times New Roman"/>
                <w:sz w:val="24"/>
                <w:szCs w:val="24"/>
                <w:lang w:val="en-US" w:eastAsia="zh-CN"/>
              </w:rPr>
              <w:t>每天运行</w:t>
            </w:r>
            <w:r>
              <w:rPr>
                <w:rFonts w:hint="eastAsia" w:ascii="Times New Roman" w:hAnsi="Times New Roman" w:cs="Times New Roman"/>
                <w:sz w:val="24"/>
                <w:szCs w:val="24"/>
                <w:lang w:val="en-US" w:eastAsia="zh-CN"/>
              </w:rPr>
              <w:t>1</w:t>
            </w:r>
            <w:r>
              <w:rPr>
                <w:rFonts w:hint="eastAsia" w:ascii="Times New Roman" w:hAnsi="Times New Roman" w:eastAsia="宋体" w:cs="Times New Roman"/>
                <w:sz w:val="24"/>
                <w:szCs w:val="24"/>
                <w:lang w:val="en-US" w:eastAsia="zh-CN"/>
              </w:rPr>
              <w:t>h，年运行200d；则粉尘产生量</w:t>
            </w:r>
            <w:r>
              <w:rPr>
                <w:rFonts w:hint="eastAsia" w:ascii="Times New Roman" w:hAnsi="Times New Roman" w:cs="Times New Roman"/>
                <w:sz w:val="24"/>
                <w:szCs w:val="24"/>
                <w:lang w:val="en-US" w:eastAsia="zh-CN"/>
              </w:rPr>
              <w:t>0.014</w:t>
            </w:r>
            <w:r>
              <w:rPr>
                <w:rFonts w:hint="eastAsia" w:ascii="Times New Roman" w:hAnsi="Times New Roman" w:eastAsia="宋体" w:cs="Times New Roman"/>
                <w:sz w:val="24"/>
                <w:szCs w:val="24"/>
                <w:lang w:val="en-US" w:eastAsia="zh-CN"/>
              </w:rPr>
              <w:t>t/a（0.0</w:t>
            </w:r>
            <w:r>
              <w:rPr>
                <w:rFonts w:hint="eastAsia" w:ascii="Times New Roman" w:hAnsi="Times New Roman" w:cs="Times New Roman"/>
                <w:sz w:val="24"/>
                <w:szCs w:val="24"/>
                <w:lang w:val="en-US" w:eastAsia="zh-CN"/>
              </w:rPr>
              <w:t>7</w:t>
            </w:r>
            <w:r>
              <w:rPr>
                <w:rFonts w:hint="eastAsia" w:ascii="Times New Roman" w:hAnsi="Times New Roman" w:eastAsia="宋体" w:cs="Times New Roman"/>
                <w:sz w:val="24"/>
                <w:szCs w:val="24"/>
                <w:lang w:val="en-US" w:eastAsia="zh-CN"/>
              </w:rPr>
              <w:t>kg/h）。由于项目拟使用的和面机为全封闭式，搅拌过程中不会有大量粉尘产生，因此仅在向机器内投加原料时会有少量的粉尘，和面粉尘以无组织形式排放</w:t>
            </w:r>
            <w:commentRangeStart w:id="78"/>
            <w:r>
              <w:rPr>
                <w:rFonts w:hint="eastAsia" w:ascii="Times New Roman" w:hAnsi="Times New Roman" w:cs="Times New Roman"/>
                <w:sz w:val="24"/>
                <w:szCs w:val="24"/>
                <w:lang w:val="en-US" w:eastAsia="zh-CN"/>
              </w:rPr>
              <w:t>。</w:t>
            </w:r>
            <w:commentRangeEnd w:id="78"/>
            <w:r>
              <w:commentReference w:id="78"/>
            </w:r>
          </w:p>
          <w:p w14:paraId="326992E9">
            <w:pPr>
              <w:pStyle w:val="37"/>
              <w:snapToGrid w:val="0"/>
              <w:spacing w:line="360" w:lineRule="auto"/>
              <w:ind w:firstLine="482"/>
              <w:jc w:val="both"/>
              <w:rPr>
                <w:rFonts w:hint="eastAsia"/>
                <w:sz w:val="24"/>
                <w:szCs w:val="24"/>
                <w:lang w:val="en-US" w:eastAsia="zh-CN"/>
              </w:rPr>
            </w:pPr>
            <w:r>
              <w:rPr>
                <w:rFonts w:hint="eastAsia"/>
                <w:sz w:val="24"/>
                <w:szCs w:val="24"/>
                <w:lang w:val="en-US" w:eastAsia="zh-CN"/>
              </w:rPr>
              <w:t>由于和面间封闭结构有利于粉尘沉降，为进一步减少粉尘产生量，环评要求建设单位设置密闭和面间，降低面粉投料高度，减小投料速度，在人员搬运时注意轻拿轻，通过加强管理，减少人为粉尘产生量；采用料斗带盖的和面机，防止局部面粉尘浓度过高，加强生产车间整体通风，防止尘爆；沉降在车间内部的粉尘，每天进行清扫。</w:t>
            </w:r>
          </w:p>
          <w:p w14:paraId="2739ED4F">
            <w:pPr>
              <w:pStyle w:val="37"/>
              <w:snapToGrid w:val="0"/>
              <w:spacing w:line="360" w:lineRule="auto"/>
              <w:ind w:firstLine="482"/>
              <w:jc w:val="both"/>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（2）熟化废气</w:t>
            </w:r>
          </w:p>
          <w:p w14:paraId="70E6197B">
            <w:pPr>
              <w:pStyle w:val="37"/>
              <w:snapToGrid w:val="0"/>
              <w:spacing w:line="360" w:lineRule="auto"/>
              <w:ind w:firstLine="482"/>
              <w:jc w:val="both"/>
              <w:rPr>
                <w:rFonts w:hint="eastAsia"/>
                <w:sz w:val="24"/>
                <w:szCs w:val="24"/>
                <w:lang w:val="en-US" w:eastAsia="zh-CN"/>
              </w:rPr>
            </w:pPr>
            <w:r>
              <w:rPr>
                <w:rFonts w:hint="default"/>
                <w:sz w:val="24"/>
                <w:szCs w:val="24"/>
                <w:lang w:val="en-US" w:eastAsia="zh-CN"/>
              </w:rPr>
              <w:t>①</w:t>
            </w:r>
            <w:r>
              <w:rPr>
                <w:rFonts w:hint="eastAsia"/>
                <w:sz w:val="24"/>
                <w:szCs w:val="24"/>
                <w:lang w:val="en-US" w:eastAsia="zh-CN"/>
              </w:rPr>
              <w:t>熟化过程油烟、非甲烷总烃</w:t>
            </w:r>
          </w:p>
          <w:p w14:paraId="2B6A92FF">
            <w:pPr>
              <w:pStyle w:val="37"/>
              <w:snapToGrid w:val="0"/>
              <w:spacing w:line="360" w:lineRule="auto"/>
              <w:ind w:firstLine="482"/>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本项目食物在烹饪、加工过程中挥发的油脂、有机质受热分解产生油烟，项目设置23个基准灶头，根据《社会区域环境影响评价》中的统计数据，</w:t>
            </w:r>
            <w:commentRangeStart w:id="79"/>
            <w:r>
              <w:rPr>
                <w:rFonts w:hint="default" w:ascii="Times New Roman" w:hAnsi="Times New Roman" w:eastAsia="宋体" w:cs="Times New Roman"/>
                <w:sz w:val="24"/>
                <w:szCs w:val="24"/>
                <w:lang w:val="en-US" w:eastAsia="zh-CN"/>
              </w:rPr>
              <w:t>油烟产生系数为3.815kg/t，</w:t>
            </w:r>
            <w:commentRangeEnd w:id="79"/>
            <w:r>
              <w:commentReference w:id="79"/>
            </w:r>
            <w:r>
              <w:rPr>
                <w:rFonts w:hint="default" w:ascii="Times New Roman" w:hAnsi="Times New Roman" w:eastAsia="宋体" w:cs="Times New Roman"/>
                <w:sz w:val="24"/>
                <w:szCs w:val="24"/>
                <w:lang w:val="en-US" w:eastAsia="zh-CN"/>
              </w:rPr>
              <w:t>项目用油量为40t/a，则油烟产生量为0.153t/a；</w:t>
            </w:r>
            <w:r>
              <w:rPr>
                <w:rFonts w:hint="default" w:ascii="Times New Roman" w:hAnsi="Times New Roman" w:eastAsia="宋体" w:cs="Times New Roman"/>
                <w:sz w:val="24"/>
                <w:szCs w:val="24"/>
              </w:rPr>
              <w:t>根据《餐饮源挥发性有机物组成及排放特征》（高雅琴等）中研究成果，烹饪过程油品的挥发性有机物排放因子范围为0.81～2.53g/kg，本项目挥发性有机物产生系数取均值1.67g/kg，故项目烹饪过程中非甲烷总烃产生量为0.0</w:t>
            </w:r>
            <w:r>
              <w:rPr>
                <w:rFonts w:hint="eastAsia" w:ascii="Times New Roman" w:hAnsi="Times New Roman" w:eastAsia="宋体" w:cs="Times New Roman"/>
                <w:sz w:val="24"/>
                <w:szCs w:val="24"/>
                <w:lang w:val="en-US" w:eastAsia="zh-CN"/>
              </w:rPr>
              <w:t>67</w:t>
            </w:r>
            <w:r>
              <w:rPr>
                <w:rFonts w:hint="default" w:ascii="Times New Roman" w:hAnsi="Times New Roman" w:eastAsia="宋体" w:cs="Times New Roman"/>
                <w:sz w:val="24"/>
                <w:szCs w:val="24"/>
              </w:rPr>
              <w:t>t/a。</w:t>
            </w:r>
            <w:commentRangeStart w:id="80"/>
            <w:r>
              <w:rPr>
                <w:rFonts w:hint="default" w:ascii="Times New Roman" w:hAnsi="Times New Roman" w:eastAsia="宋体" w:cs="Times New Roman"/>
                <w:sz w:val="24"/>
                <w:szCs w:val="24"/>
                <w:lang w:val="en-US" w:eastAsia="zh-CN"/>
              </w:rPr>
              <w:t>每天</w:t>
            </w:r>
            <w:r>
              <w:rPr>
                <w:rFonts w:hint="default" w:ascii="Times New Roman" w:hAnsi="Times New Roman" w:cs="Times New Roman"/>
                <w:sz w:val="24"/>
                <w:szCs w:val="24"/>
                <w:lang w:val="en-US" w:eastAsia="zh-CN"/>
              </w:rPr>
              <w:t>烹饪</w:t>
            </w:r>
            <w:r>
              <w:rPr>
                <w:rFonts w:hint="eastAsia" w:ascii="Times New Roman" w:hAnsi="Times New Roman" w:cs="Times New Roman"/>
                <w:sz w:val="24"/>
                <w:szCs w:val="24"/>
                <w:lang w:val="en-US" w:eastAsia="zh-CN"/>
              </w:rPr>
              <w:t>3</w:t>
            </w:r>
            <w:r>
              <w:rPr>
                <w:rFonts w:hint="default" w:ascii="Times New Roman" w:hAnsi="Times New Roman" w:eastAsia="宋体" w:cs="Times New Roman"/>
                <w:sz w:val="24"/>
                <w:szCs w:val="24"/>
                <w:lang w:val="en-US" w:eastAsia="zh-CN"/>
              </w:rPr>
              <w:t>h，</w:t>
            </w:r>
            <w:commentRangeEnd w:id="80"/>
            <w:r>
              <w:commentReference w:id="80"/>
            </w:r>
            <w:r>
              <w:rPr>
                <w:rFonts w:hint="default" w:ascii="Times New Roman" w:hAnsi="Times New Roman" w:eastAsia="宋体" w:cs="Times New Roman"/>
                <w:sz w:val="24"/>
                <w:szCs w:val="24"/>
                <w:lang w:val="en-US" w:eastAsia="zh-CN"/>
              </w:rPr>
              <w:t>年工作2</w:t>
            </w:r>
            <w:r>
              <w:rPr>
                <w:rFonts w:hint="default" w:ascii="Times New Roman" w:hAnsi="Times New Roman" w:cs="Times New Roman"/>
                <w:sz w:val="24"/>
                <w:szCs w:val="24"/>
                <w:lang w:val="en-US" w:eastAsia="zh-CN"/>
              </w:rPr>
              <w:t>0</w:t>
            </w:r>
            <w:r>
              <w:rPr>
                <w:rFonts w:hint="default" w:ascii="Times New Roman" w:hAnsi="Times New Roman" w:eastAsia="宋体" w:cs="Times New Roman"/>
                <w:sz w:val="24"/>
                <w:szCs w:val="24"/>
                <w:lang w:val="en-US" w:eastAsia="zh-CN"/>
              </w:rPr>
              <w:t>0天。</w:t>
            </w:r>
          </w:p>
          <w:p w14:paraId="3FF72FB3">
            <w:pPr>
              <w:pStyle w:val="37"/>
              <w:snapToGrid w:val="0"/>
              <w:spacing w:line="360" w:lineRule="auto"/>
              <w:ind w:firstLine="482"/>
              <w:jc w:val="both"/>
              <w:rPr>
                <w:rFonts w:hint="default" w:ascii="Times New Roman" w:hAnsi="Times New Roman" w:eastAsia="宋体" w:cs="Times New Roman"/>
                <w:sz w:val="24"/>
                <w:szCs w:val="24"/>
                <w:lang w:val="en-US" w:eastAsia="zh-TW"/>
              </w:rPr>
            </w:pPr>
            <w:r>
              <w:rPr>
                <w:rFonts w:hint="eastAsia" w:ascii="Times New Roman" w:hAnsi="Times New Roman" w:eastAsia="宋体" w:cs="Times New Roman"/>
                <w:sz w:val="24"/>
                <w:szCs w:val="24"/>
                <w:lang w:val="en-US" w:eastAsia="zh-CN"/>
              </w:rPr>
              <w:t>环评建议：</w:t>
            </w:r>
            <w:r>
              <w:rPr>
                <w:rFonts w:hint="default" w:ascii="Times New Roman" w:hAnsi="Times New Roman" w:eastAsia="宋体" w:cs="Times New Roman"/>
                <w:sz w:val="24"/>
                <w:szCs w:val="24"/>
                <w:lang w:val="en-US" w:eastAsia="zh-TW"/>
              </w:rPr>
              <w:t>本项目设置集气罩，共设置</w:t>
            </w: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val="en-US" w:eastAsia="zh-TW"/>
              </w:rPr>
              <w:t>个集气罩，每个集气罩与1套静电油烟净化器</w:t>
            </w:r>
            <w:r>
              <w:rPr>
                <w:rFonts w:hint="eastAsia" w:ascii="Times New Roman" w:hAnsi="Times New Roman" w:eastAsia="宋体" w:cs="Times New Roman"/>
                <w:sz w:val="24"/>
                <w:szCs w:val="24"/>
                <w:lang w:val="en-US" w:eastAsia="zh-CN"/>
              </w:rPr>
              <w:t>（TA001-TA004）</w:t>
            </w:r>
            <w:r>
              <w:rPr>
                <w:rFonts w:hint="default" w:ascii="Times New Roman" w:hAnsi="Times New Roman" w:eastAsia="宋体" w:cs="Times New Roman"/>
                <w:sz w:val="24"/>
                <w:szCs w:val="24"/>
                <w:lang w:val="en-US" w:eastAsia="zh-TW"/>
              </w:rPr>
              <w:t>处理设备连接，</w:t>
            </w:r>
            <w:r>
              <w:rPr>
                <w:rFonts w:hint="eastAsia" w:ascii="Times New Roman" w:hAnsi="Times New Roman" w:eastAsia="宋体" w:cs="Times New Roman"/>
                <w:sz w:val="24"/>
                <w:szCs w:val="24"/>
                <w:lang w:val="en-US" w:eastAsia="zh-CN"/>
              </w:rPr>
              <w:t>其中TA001、TA002</w:t>
            </w:r>
            <w:r>
              <w:rPr>
                <w:rFonts w:hint="default" w:ascii="Times New Roman" w:hAnsi="Times New Roman" w:eastAsia="宋体" w:cs="Times New Roman"/>
                <w:sz w:val="24"/>
                <w:szCs w:val="24"/>
                <w:lang w:val="en-US" w:eastAsia="zh-TW"/>
              </w:rPr>
              <w:t>静电油烟净化器共用1根15m排气筒</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TW"/>
              </w:rPr>
              <w:t>DA00</w:t>
            </w:r>
            <w:r>
              <w:rPr>
                <w:rFonts w:hint="eastAsia" w:ascii="Times New Roman" w:hAnsi="Times New Roman" w:eastAsia="宋体" w:cs="Times New Roman"/>
                <w:sz w:val="24"/>
                <w:szCs w:val="24"/>
                <w:lang w:val="en-US" w:eastAsia="zh-CN"/>
              </w:rPr>
              <w:t>1</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TW"/>
              </w:rPr>
              <w:t>排放</w:t>
            </w:r>
            <w:r>
              <w:rPr>
                <w:rFonts w:hint="eastAsia" w:ascii="Times New Roman" w:hAnsi="Times New Roman" w:eastAsia="宋体" w:cs="Times New Roman"/>
                <w:sz w:val="24"/>
                <w:szCs w:val="24"/>
                <w:lang w:val="en-US" w:eastAsia="zh-CN"/>
              </w:rPr>
              <w:t>；TA003、TA004</w:t>
            </w:r>
            <w:r>
              <w:rPr>
                <w:rFonts w:hint="default" w:ascii="Times New Roman" w:hAnsi="Times New Roman" w:eastAsia="宋体" w:cs="Times New Roman"/>
                <w:sz w:val="24"/>
                <w:szCs w:val="24"/>
                <w:lang w:val="en-US" w:eastAsia="zh-TW"/>
              </w:rPr>
              <w:t>静电油烟净化器</w:t>
            </w:r>
            <w:r>
              <w:rPr>
                <w:rFonts w:hint="eastAsia" w:ascii="Times New Roman" w:hAnsi="Times New Roman" w:eastAsia="宋体" w:cs="Times New Roman"/>
                <w:sz w:val="24"/>
                <w:szCs w:val="24"/>
                <w:lang w:val="en-US" w:eastAsia="zh-CN"/>
              </w:rPr>
              <w:t>分别通过</w:t>
            </w:r>
            <w:r>
              <w:rPr>
                <w:rFonts w:hint="default" w:ascii="Times New Roman" w:hAnsi="Times New Roman" w:eastAsia="宋体" w:cs="Times New Roman"/>
                <w:sz w:val="24"/>
                <w:szCs w:val="24"/>
                <w:lang w:val="en-US" w:eastAsia="zh-TW"/>
              </w:rPr>
              <w:t>1根15m排气筒</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TW"/>
              </w:rPr>
              <w:t>DA00</w:t>
            </w:r>
            <w:r>
              <w:rPr>
                <w:rFonts w:hint="eastAsia" w:ascii="Times New Roman" w:hAnsi="Times New Roman" w:eastAsia="宋体" w:cs="Times New Roman"/>
                <w:sz w:val="24"/>
                <w:szCs w:val="24"/>
                <w:lang w:val="en-US" w:eastAsia="zh-CN"/>
              </w:rPr>
              <w:t>2-DA003</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TW"/>
              </w:rPr>
              <w:t>排放。</w:t>
            </w:r>
          </w:p>
          <w:p w14:paraId="1C0CCB0A">
            <w:pPr>
              <w:pStyle w:val="37"/>
              <w:snapToGrid w:val="0"/>
              <w:spacing w:line="360" w:lineRule="auto"/>
              <w:ind w:firstLine="482"/>
              <w:jc w:val="both"/>
              <w:rPr>
                <w:rFonts w:hint="default" w:ascii="Times New Roman" w:hAnsi="Times New Roman" w:eastAsia="宋体" w:cs="Times New Roman"/>
                <w:sz w:val="24"/>
                <w:szCs w:val="24"/>
                <w:lang w:val="en-US" w:eastAsia="zh-TW"/>
              </w:rPr>
            </w:pPr>
            <w:r>
              <w:rPr>
                <w:rFonts w:hint="default" w:ascii="Times New Roman" w:hAnsi="Times New Roman" w:eastAsia="宋体" w:cs="Times New Roman"/>
                <w:sz w:val="24"/>
                <w:szCs w:val="24"/>
                <w:lang w:val="en-US" w:eastAsia="zh-TW"/>
              </w:rPr>
              <w:t>项目设置23个基准灶头，根据河南省《餐饮业油烟污染物排放标准》（DB41/1604-2018）中饮食业单位的规模划分原则，本项目对应基准灶头数</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TW"/>
              </w:rPr>
              <w:t>个</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TW"/>
              </w:rPr>
              <w:t>≥</w:t>
            </w:r>
            <w:r>
              <w:rPr>
                <w:rFonts w:hint="eastAsia"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lang w:val="en-US" w:eastAsia="zh-TW"/>
              </w:rPr>
              <w:t>，执行大型餐饮单位排放标准。油烟经集气罩运行时间</w:t>
            </w:r>
            <w:r>
              <w:rPr>
                <w:rFonts w:hint="eastAsia" w:ascii="Times New Roman" w:hAnsi="Times New Roman" w:eastAsia="宋体" w:cs="Times New Roman"/>
                <w:sz w:val="24"/>
                <w:szCs w:val="24"/>
                <w:lang w:val="en-US" w:eastAsia="zh-CN"/>
              </w:rPr>
              <w:t>600</w:t>
            </w:r>
            <w:r>
              <w:rPr>
                <w:rFonts w:hint="default" w:ascii="Times New Roman" w:hAnsi="Times New Roman" w:eastAsia="宋体" w:cs="Times New Roman"/>
                <w:sz w:val="24"/>
                <w:szCs w:val="24"/>
                <w:lang w:val="en-US" w:eastAsia="zh-TW"/>
              </w:rPr>
              <w:t>h</w:t>
            </w:r>
            <w:r>
              <w:rPr>
                <w:rFonts w:hint="eastAsia" w:ascii="Times New Roman" w:hAnsi="Times New Roman" w:eastAsia="宋体" w:cs="Times New Roman"/>
                <w:sz w:val="24"/>
                <w:szCs w:val="24"/>
                <w:lang w:val="en-US" w:eastAsia="zh-CN"/>
              </w:rPr>
              <w:t>（</w:t>
            </w:r>
            <w:r>
              <w:rPr>
                <w:rFonts w:hint="default" w:ascii="Times New Roman" w:hAnsi="Times New Roman" w:cs="Times New Roman"/>
                <w:sz w:val="24"/>
                <w:szCs w:val="24"/>
                <w:lang w:val="en-US" w:eastAsia="zh-CN"/>
              </w:rPr>
              <w:t>烹饪</w:t>
            </w:r>
            <w:r>
              <w:rPr>
                <w:rFonts w:hint="default" w:ascii="Times New Roman" w:hAnsi="Times New Roman" w:eastAsia="宋体" w:cs="Times New Roman"/>
                <w:sz w:val="24"/>
                <w:szCs w:val="24"/>
                <w:lang w:val="en-US" w:eastAsia="zh-TW"/>
              </w:rPr>
              <w:t>工序每天运行</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TW"/>
              </w:rPr>
              <w:t>小时计</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TW"/>
              </w:rPr>
              <w:t>，风机总风量为</w:t>
            </w:r>
            <w:commentRangeStart w:id="81"/>
            <w:r>
              <w:rPr>
                <w:rFonts w:hint="eastAsia" w:ascii="Times New Roman" w:hAnsi="Times New Roman" w:eastAsia="宋体" w:cs="Times New Roman"/>
                <w:sz w:val="24"/>
                <w:szCs w:val="24"/>
                <w:lang w:val="en-US" w:eastAsia="zh-CN"/>
              </w:rPr>
              <w:t>15</w:t>
            </w:r>
            <w:r>
              <w:rPr>
                <w:rFonts w:hint="default" w:ascii="Times New Roman" w:hAnsi="Times New Roman" w:eastAsia="宋体" w:cs="Times New Roman"/>
                <w:sz w:val="24"/>
                <w:szCs w:val="24"/>
                <w:lang w:val="en-US" w:eastAsia="zh-TW"/>
              </w:rPr>
              <w:t>000m</w:t>
            </w:r>
            <w:r>
              <w:rPr>
                <w:rFonts w:hint="default" w:ascii="Times New Roman" w:hAnsi="Times New Roman" w:eastAsia="宋体" w:cs="Times New Roman"/>
                <w:sz w:val="24"/>
                <w:szCs w:val="24"/>
                <w:vertAlign w:val="superscript"/>
                <w:lang w:val="en-US" w:eastAsia="zh-TW"/>
              </w:rPr>
              <w:t>3</w:t>
            </w:r>
            <w:r>
              <w:rPr>
                <w:rFonts w:hint="default" w:ascii="Times New Roman" w:hAnsi="Times New Roman" w:eastAsia="宋体" w:cs="Times New Roman"/>
                <w:sz w:val="24"/>
                <w:szCs w:val="24"/>
                <w:lang w:val="en-US" w:eastAsia="zh-TW"/>
              </w:rPr>
              <w:t>/h（每个排气筒风量为</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TW"/>
              </w:rPr>
              <w:t>000m</w:t>
            </w:r>
            <w:r>
              <w:rPr>
                <w:rFonts w:hint="default" w:ascii="Times New Roman" w:hAnsi="Times New Roman" w:eastAsia="宋体" w:cs="Times New Roman"/>
                <w:sz w:val="24"/>
                <w:szCs w:val="24"/>
                <w:vertAlign w:val="superscript"/>
                <w:lang w:val="en-US" w:eastAsia="zh-TW"/>
              </w:rPr>
              <w:t>3</w:t>
            </w:r>
            <w:r>
              <w:rPr>
                <w:rFonts w:hint="default" w:ascii="Times New Roman" w:hAnsi="Times New Roman" w:eastAsia="宋体" w:cs="Times New Roman"/>
                <w:sz w:val="24"/>
                <w:szCs w:val="24"/>
                <w:lang w:val="en-US" w:eastAsia="zh-TW"/>
              </w:rPr>
              <w:t>/h</w:t>
            </w:r>
            <w:commentRangeEnd w:id="81"/>
            <w:r>
              <w:commentReference w:id="81"/>
            </w:r>
            <w:r>
              <w:rPr>
                <w:rFonts w:hint="default" w:ascii="Times New Roman" w:hAnsi="Times New Roman" w:eastAsia="宋体" w:cs="Times New Roman"/>
                <w:sz w:val="24"/>
                <w:szCs w:val="24"/>
                <w:lang w:val="en-US" w:eastAsia="zh-TW"/>
              </w:rPr>
              <w:t>），集气罩集气效率按90%计，静电油烟净化器对油烟的处理效率按9</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TW"/>
              </w:rPr>
              <w:t>%。处理后经专用烟道引至15m高排气筒排放（DA001~DA00</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TW"/>
              </w:rPr>
              <w:t>）。</w:t>
            </w:r>
          </w:p>
          <w:p w14:paraId="7DADEB08">
            <w:pPr>
              <w:pStyle w:val="37"/>
              <w:snapToGrid w:val="0"/>
              <w:spacing w:line="360" w:lineRule="auto"/>
              <w:ind w:firstLine="482"/>
              <w:jc w:val="both"/>
              <w:rPr>
                <w:rFonts w:hint="default" w:ascii="Times New Roman" w:hAnsi="Times New Roman" w:eastAsia="宋体" w:cs="Times New Roman"/>
                <w:sz w:val="24"/>
                <w:szCs w:val="24"/>
                <w:lang w:eastAsia="zh-TW"/>
              </w:rPr>
            </w:pPr>
            <w:r>
              <w:rPr>
                <w:rFonts w:hint="eastAsia" w:ascii="Times New Roman" w:hAnsi="Times New Roman" w:eastAsia="宋体" w:cs="Times New Roman"/>
                <w:sz w:val="24"/>
                <w:szCs w:val="24"/>
                <w:lang w:val="en-US" w:eastAsia="zh-CN"/>
              </w:rPr>
              <w:t>综上所述，</w:t>
            </w:r>
            <w:r>
              <w:rPr>
                <w:rFonts w:hint="eastAsia"/>
                <w:sz w:val="24"/>
                <w:szCs w:val="24"/>
                <w:lang w:val="en-US" w:eastAsia="zh-CN"/>
              </w:rPr>
              <w:t>熟化</w:t>
            </w:r>
            <w:r>
              <w:rPr>
                <w:rFonts w:hint="default" w:ascii="Times New Roman" w:hAnsi="Times New Roman" w:eastAsia="宋体" w:cs="Times New Roman"/>
                <w:sz w:val="24"/>
                <w:szCs w:val="24"/>
                <w:lang w:val="en-US" w:eastAsia="zh-TW"/>
              </w:rPr>
              <w:t>工序DA001</w:t>
            </w:r>
            <w:r>
              <w:rPr>
                <w:rFonts w:hint="eastAsia" w:ascii="Times New Roman" w:hAnsi="Times New Roman" w:eastAsia="宋体" w:cs="Times New Roman"/>
                <w:sz w:val="24"/>
                <w:szCs w:val="24"/>
                <w:lang w:val="en-US" w:eastAsia="zh-CN"/>
              </w:rPr>
              <w:t>-DA003排气筒</w:t>
            </w:r>
            <w:r>
              <w:rPr>
                <w:rFonts w:hint="default" w:ascii="Times New Roman" w:hAnsi="Times New Roman" w:eastAsia="宋体" w:cs="Times New Roman"/>
                <w:sz w:val="24"/>
                <w:szCs w:val="24"/>
                <w:lang w:eastAsia="zh-TW"/>
              </w:rPr>
              <w:t>有组织</w:t>
            </w:r>
            <w:r>
              <w:rPr>
                <w:rFonts w:hint="eastAsia" w:ascii="Times New Roman" w:hAnsi="Times New Roman" w:eastAsia="宋体" w:cs="Times New Roman"/>
                <w:sz w:val="24"/>
                <w:szCs w:val="24"/>
                <w:lang w:val="en-US" w:eastAsia="zh-CN"/>
              </w:rPr>
              <w:t>油烟</w:t>
            </w:r>
            <w:r>
              <w:rPr>
                <w:rFonts w:hint="default" w:ascii="Times New Roman" w:hAnsi="Times New Roman" w:eastAsia="宋体" w:cs="Times New Roman"/>
                <w:sz w:val="24"/>
                <w:szCs w:val="24"/>
                <w:lang w:val="en-US" w:eastAsia="zh-TW"/>
              </w:rPr>
              <w:t>产</w:t>
            </w:r>
            <w:commentRangeStart w:id="82"/>
            <w:r>
              <w:rPr>
                <w:rFonts w:hint="default" w:ascii="Times New Roman" w:hAnsi="Times New Roman" w:eastAsia="宋体" w:cs="Times New Roman"/>
                <w:sz w:val="24"/>
                <w:szCs w:val="24"/>
                <w:lang w:val="en-US" w:eastAsia="zh-TW"/>
              </w:rPr>
              <w:t>生</w:t>
            </w:r>
            <w:r>
              <w:rPr>
                <w:rFonts w:hint="default" w:ascii="Times New Roman" w:hAnsi="Times New Roman" w:eastAsia="宋体" w:cs="Times New Roman"/>
                <w:sz w:val="24"/>
                <w:szCs w:val="24"/>
                <w:lang w:eastAsia="zh-TW"/>
              </w:rPr>
              <w:t>量为</w:t>
            </w:r>
            <w:r>
              <w:rPr>
                <w:rFonts w:hint="eastAsia" w:ascii="Times New Roman" w:hAnsi="Times New Roman" w:cs="Times New Roman"/>
                <w:sz w:val="24"/>
                <w:szCs w:val="24"/>
                <w:lang w:val="en-US" w:eastAsia="zh-CN"/>
              </w:rPr>
              <w:t>0.046</w:t>
            </w:r>
            <w:r>
              <w:rPr>
                <w:rFonts w:hint="default" w:ascii="Times New Roman" w:hAnsi="Times New Roman" w:eastAsia="宋体" w:cs="Times New Roman"/>
                <w:sz w:val="24"/>
                <w:szCs w:val="24"/>
                <w:lang w:eastAsia="zh-TW"/>
              </w:rPr>
              <w:t>t/a，</w:t>
            </w:r>
            <w:commentRangeEnd w:id="82"/>
            <w:r>
              <w:commentReference w:id="82"/>
            </w:r>
            <w:r>
              <w:rPr>
                <w:rFonts w:hint="default" w:ascii="Times New Roman" w:hAnsi="Times New Roman" w:eastAsia="宋体" w:cs="Times New Roman"/>
                <w:sz w:val="24"/>
                <w:szCs w:val="24"/>
                <w:lang w:val="en-US" w:eastAsia="zh-TW"/>
              </w:rPr>
              <w:t>产生速率为0.</w:t>
            </w:r>
            <w:r>
              <w:rPr>
                <w:rFonts w:hint="eastAsia" w:ascii="Times New Roman" w:hAnsi="Times New Roman" w:cs="Times New Roman"/>
                <w:sz w:val="24"/>
                <w:szCs w:val="24"/>
                <w:lang w:val="en-US" w:eastAsia="zh-CN"/>
              </w:rPr>
              <w:t>077</w:t>
            </w:r>
            <w:r>
              <w:rPr>
                <w:rFonts w:hint="default" w:ascii="Times New Roman" w:hAnsi="Times New Roman" w:eastAsia="宋体" w:cs="Times New Roman"/>
                <w:sz w:val="24"/>
                <w:szCs w:val="24"/>
                <w:lang w:val="en-US" w:eastAsia="zh-TW"/>
              </w:rPr>
              <w:t>kg/h，</w:t>
            </w:r>
            <w:r>
              <w:rPr>
                <w:rFonts w:hint="default" w:ascii="Times New Roman" w:hAnsi="Times New Roman" w:eastAsia="宋体" w:cs="Times New Roman"/>
                <w:sz w:val="24"/>
                <w:szCs w:val="24"/>
                <w:lang w:eastAsia="zh-TW"/>
              </w:rPr>
              <w:t>产生浓度为</w:t>
            </w:r>
            <w:r>
              <w:rPr>
                <w:rFonts w:hint="eastAsia" w:ascii="Times New Roman" w:hAnsi="Times New Roman" w:cs="Times New Roman"/>
                <w:sz w:val="24"/>
                <w:szCs w:val="24"/>
                <w:lang w:val="en-US" w:eastAsia="zh-CN"/>
              </w:rPr>
              <w:t>15.333</w:t>
            </w:r>
            <w:r>
              <w:rPr>
                <w:rFonts w:hint="default" w:ascii="Times New Roman" w:hAnsi="Times New Roman" w:eastAsia="宋体" w:cs="Times New Roman"/>
                <w:sz w:val="24"/>
                <w:szCs w:val="24"/>
                <w:lang w:eastAsia="zh-TW"/>
              </w:rPr>
              <w:t>mg/m</w:t>
            </w:r>
            <w:r>
              <w:rPr>
                <w:rFonts w:hint="default" w:ascii="Times New Roman" w:hAnsi="Times New Roman" w:eastAsia="宋体" w:cs="Times New Roman"/>
                <w:sz w:val="24"/>
                <w:szCs w:val="24"/>
                <w:vertAlign w:val="superscript"/>
                <w:lang w:eastAsia="zh-TW"/>
              </w:rPr>
              <w:t>3</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TW"/>
              </w:rPr>
              <w:t>有组织</w:t>
            </w:r>
            <w:r>
              <w:rPr>
                <w:rFonts w:hint="eastAsia" w:ascii="Times New Roman" w:hAnsi="Times New Roman" w:eastAsia="宋体" w:cs="Times New Roman"/>
                <w:sz w:val="24"/>
                <w:szCs w:val="24"/>
                <w:lang w:val="en-US" w:eastAsia="zh-CN"/>
              </w:rPr>
              <w:t>非甲烷总烃</w:t>
            </w:r>
            <w:r>
              <w:rPr>
                <w:rFonts w:hint="default" w:ascii="Times New Roman" w:hAnsi="Times New Roman" w:eastAsia="宋体" w:cs="Times New Roman"/>
                <w:sz w:val="24"/>
                <w:szCs w:val="24"/>
                <w:lang w:val="en-US" w:eastAsia="zh-TW"/>
              </w:rPr>
              <w:t>产生</w:t>
            </w:r>
            <w:r>
              <w:rPr>
                <w:rFonts w:hint="default" w:ascii="Times New Roman" w:hAnsi="Times New Roman" w:eastAsia="宋体" w:cs="Times New Roman"/>
                <w:sz w:val="24"/>
                <w:szCs w:val="24"/>
                <w:lang w:eastAsia="zh-TW"/>
              </w:rPr>
              <w:t>量为</w:t>
            </w:r>
            <w:r>
              <w:rPr>
                <w:rFonts w:hint="eastAsia" w:ascii="Times New Roman" w:hAnsi="Times New Roman" w:cs="Times New Roman"/>
                <w:sz w:val="24"/>
                <w:szCs w:val="24"/>
                <w:lang w:val="en-US" w:eastAsia="zh-CN"/>
              </w:rPr>
              <w:t>0.020</w:t>
            </w:r>
            <w:r>
              <w:rPr>
                <w:rFonts w:hint="default" w:ascii="Times New Roman" w:hAnsi="Times New Roman" w:eastAsia="宋体" w:cs="Times New Roman"/>
                <w:sz w:val="24"/>
                <w:szCs w:val="24"/>
                <w:lang w:eastAsia="zh-TW"/>
              </w:rPr>
              <w:t>t/a，</w:t>
            </w:r>
            <w:r>
              <w:rPr>
                <w:rFonts w:hint="default" w:ascii="Times New Roman" w:hAnsi="Times New Roman" w:eastAsia="宋体" w:cs="Times New Roman"/>
                <w:sz w:val="24"/>
                <w:szCs w:val="24"/>
                <w:lang w:val="en-US" w:eastAsia="zh-TW"/>
              </w:rPr>
              <w:t>产生速率为0.</w:t>
            </w:r>
            <w:r>
              <w:rPr>
                <w:rFonts w:hint="eastAsia" w:ascii="Times New Roman" w:hAnsi="Times New Roman" w:cs="Times New Roman"/>
                <w:sz w:val="24"/>
                <w:szCs w:val="24"/>
                <w:lang w:val="en-US" w:eastAsia="zh-CN"/>
              </w:rPr>
              <w:t>033</w:t>
            </w:r>
            <w:r>
              <w:rPr>
                <w:rFonts w:hint="default" w:ascii="Times New Roman" w:hAnsi="Times New Roman" w:eastAsia="宋体" w:cs="Times New Roman"/>
                <w:sz w:val="24"/>
                <w:szCs w:val="24"/>
                <w:lang w:val="en-US" w:eastAsia="zh-TW"/>
              </w:rPr>
              <w:t>kg/h，</w:t>
            </w:r>
            <w:r>
              <w:rPr>
                <w:rFonts w:hint="default" w:ascii="Times New Roman" w:hAnsi="Times New Roman" w:eastAsia="宋体" w:cs="Times New Roman"/>
                <w:sz w:val="24"/>
                <w:szCs w:val="24"/>
                <w:lang w:eastAsia="zh-TW"/>
              </w:rPr>
              <w:t>产生浓度为</w:t>
            </w:r>
            <w:r>
              <w:rPr>
                <w:rFonts w:hint="eastAsia" w:ascii="Times New Roman" w:hAnsi="Times New Roman" w:cs="Times New Roman"/>
                <w:sz w:val="24"/>
                <w:szCs w:val="24"/>
                <w:lang w:val="en-US" w:eastAsia="zh-CN"/>
              </w:rPr>
              <w:t>6.667</w:t>
            </w:r>
            <w:r>
              <w:rPr>
                <w:rFonts w:hint="default" w:ascii="Times New Roman" w:hAnsi="Times New Roman" w:eastAsia="宋体" w:cs="Times New Roman"/>
                <w:sz w:val="24"/>
                <w:szCs w:val="24"/>
                <w:lang w:eastAsia="zh-TW"/>
              </w:rPr>
              <w:t>mg/m</w:t>
            </w:r>
            <w:r>
              <w:rPr>
                <w:rFonts w:hint="default" w:ascii="Times New Roman" w:hAnsi="Times New Roman" w:eastAsia="宋体" w:cs="Times New Roman"/>
                <w:sz w:val="24"/>
                <w:szCs w:val="24"/>
                <w:vertAlign w:val="superscript"/>
                <w:lang w:eastAsia="zh-TW"/>
              </w:rPr>
              <w:t>3</w:t>
            </w:r>
            <w:r>
              <w:rPr>
                <w:rFonts w:hint="default" w:ascii="Times New Roman" w:hAnsi="Times New Roman" w:eastAsia="宋体" w:cs="Times New Roman"/>
                <w:sz w:val="24"/>
                <w:szCs w:val="24"/>
                <w:lang w:eastAsia="zh-TW"/>
              </w:rPr>
              <w:t>。</w:t>
            </w:r>
            <w:commentRangeStart w:id="83"/>
            <w:r>
              <w:rPr>
                <w:rFonts w:hint="default" w:ascii="Times New Roman" w:hAnsi="Times New Roman" w:eastAsia="宋体" w:cs="Times New Roman"/>
                <w:sz w:val="24"/>
                <w:szCs w:val="24"/>
                <w:lang w:val="en-US" w:eastAsia="zh-TW"/>
              </w:rPr>
              <w:t>静电油烟净化器对油</w:t>
            </w:r>
            <w:commentRangeEnd w:id="83"/>
            <w:r>
              <w:commentReference w:id="83"/>
            </w:r>
            <w:r>
              <w:rPr>
                <w:rFonts w:hint="default" w:ascii="Times New Roman" w:hAnsi="Times New Roman" w:eastAsia="宋体" w:cs="Times New Roman"/>
                <w:sz w:val="24"/>
                <w:szCs w:val="24"/>
                <w:lang w:val="en-US" w:eastAsia="zh-TW"/>
              </w:rPr>
              <w:t>烟的处理效率按9</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TW"/>
              </w:rPr>
              <w:t>%</w:t>
            </w:r>
            <w:r>
              <w:rPr>
                <w:rFonts w:hint="default" w:ascii="Times New Roman" w:hAnsi="Times New Roman" w:eastAsia="宋体" w:cs="Times New Roman"/>
                <w:sz w:val="24"/>
                <w:szCs w:val="24"/>
                <w:lang w:eastAsia="zh-TW"/>
              </w:rPr>
              <w:t>，则经</w:t>
            </w:r>
            <w:r>
              <w:rPr>
                <w:rFonts w:hint="default" w:ascii="Times New Roman" w:hAnsi="Times New Roman" w:eastAsia="宋体" w:cs="Times New Roman"/>
                <w:sz w:val="24"/>
                <w:szCs w:val="24"/>
                <w:lang w:val="en-US" w:eastAsia="zh-TW"/>
              </w:rPr>
              <w:t>静电油烟净化器</w:t>
            </w:r>
            <w:r>
              <w:rPr>
                <w:rFonts w:hint="default" w:ascii="Times New Roman" w:hAnsi="Times New Roman" w:eastAsia="宋体" w:cs="Times New Roman"/>
                <w:sz w:val="24"/>
                <w:szCs w:val="24"/>
                <w:lang w:eastAsia="zh-TW"/>
              </w:rPr>
              <w:t>处理后有组织</w:t>
            </w:r>
            <w:r>
              <w:rPr>
                <w:rFonts w:hint="eastAsia" w:ascii="Times New Roman" w:hAnsi="Times New Roman" w:eastAsia="宋体" w:cs="Times New Roman"/>
                <w:sz w:val="24"/>
                <w:szCs w:val="24"/>
                <w:lang w:val="en-US" w:eastAsia="zh-CN"/>
              </w:rPr>
              <w:t>油烟</w:t>
            </w:r>
            <w:r>
              <w:rPr>
                <w:rFonts w:hint="default" w:ascii="Times New Roman" w:hAnsi="Times New Roman" w:eastAsia="宋体" w:cs="Times New Roman"/>
                <w:sz w:val="24"/>
                <w:szCs w:val="24"/>
                <w:lang w:eastAsia="zh-TW"/>
              </w:rPr>
              <w:t>排放量为0.</w:t>
            </w:r>
            <w:r>
              <w:rPr>
                <w:rFonts w:hint="default" w:ascii="Times New Roman" w:hAnsi="Times New Roman" w:eastAsia="宋体" w:cs="Times New Roman"/>
                <w:sz w:val="24"/>
                <w:szCs w:val="24"/>
                <w:lang w:val="en-US" w:eastAsia="zh-TW"/>
              </w:rPr>
              <w:t>00</w:t>
            </w:r>
            <w:r>
              <w:rPr>
                <w:rFonts w:hint="eastAsia" w:ascii="Times New Roman" w:hAnsi="Times New Roman" w:cs="Times New Roman"/>
                <w:sz w:val="24"/>
                <w:szCs w:val="24"/>
                <w:lang w:val="en-US" w:eastAsia="zh-CN"/>
              </w:rPr>
              <w:t>2</w:t>
            </w:r>
            <w:r>
              <w:rPr>
                <w:rFonts w:hint="default" w:ascii="Times New Roman" w:hAnsi="Times New Roman" w:eastAsia="宋体" w:cs="Times New Roman"/>
                <w:sz w:val="24"/>
                <w:szCs w:val="24"/>
                <w:lang w:val="en-US" w:eastAsia="zh-TW"/>
              </w:rPr>
              <w:t>t</w:t>
            </w:r>
            <w:r>
              <w:rPr>
                <w:rFonts w:hint="default" w:ascii="Times New Roman" w:hAnsi="Times New Roman" w:eastAsia="宋体" w:cs="Times New Roman"/>
                <w:sz w:val="24"/>
                <w:szCs w:val="24"/>
                <w:lang w:eastAsia="zh-TW"/>
              </w:rPr>
              <w:t>/a，排放速率为</w:t>
            </w:r>
            <w:r>
              <w:rPr>
                <w:rFonts w:hint="default" w:ascii="Times New Roman" w:hAnsi="Times New Roman" w:eastAsia="宋体" w:cs="Times New Roman"/>
                <w:sz w:val="24"/>
                <w:szCs w:val="24"/>
                <w:lang w:val="en-US" w:eastAsia="zh-TW"/>
              </w:rPr>
              <w:t>0.00</w:t>
            </w:r>
            <w:r>
              <w:rPr>
                <w:rFonts w:hint="eastAsia" w:ascii="Times New Roman" w:hAnsi="Times New Roman" w:cs="Times New Roman"/>
                <w:sz w:val="24"/>
                <w:szCs w:val="24"/>
                <w:lang w:val="en-US" w:eastAsia="zh-CN"/>
              </w:rPr>
              <w:t>4</w:t>
            </w:r>
            <w:r>
              <w:rPr>
                <w:rFonts w:hint="default" w:ascii="Times New Roman" w:hAnsi="Times New Roman" w:eastAsia="宋体" w:cs="Times New Roman"/>
                <w:sz w:val="24"/>
                <w:szCs w:val="24"/>
                <w:lang w:val="en-US" w:eastAsia="zh-TW"/>
              </w:rPr>
              <w:t>k</w:t>
            </w:r>
            <w:r>
              <w:rPr>
                <w:rFonts w:hint="default" w:ascii="Times New Roman" w:hAnsi="Times New Roman" w:eastAsia="宋体" w:cs="Times New Roman"/>
                <w:sz w:val="24"/>
                <w:szCs w:val="24"/>
                <w:lang w:eastAsia="zh-TW"/>
              </w:rPr>
              <w:t>g/h，排放浓度为</w:t>
            </w:r>
            <w:r>
              <w:rPr>
                <w:rFonts w:hint="eastAsia" w:ascii="Times New Roman" w:hAnsi="Times New Roman" w:cs="Times New Roman"/>
                <w:sz w:val="24"/>
                <w:szCs w:val="24"/>
                <w:lang w:val="en-US" w:eastAsia="zh-CN"/>
              </w:rPr>
              <w:t>0.767</w:t>
            </w:r>
            <w:r>
              <w:rPr>
                <w:rFonts w:hint="default" w:ascii="Times New Roman" w:hAnsi="Times New Roman" w:eastAsia="宋体" w:cs="Times New Roman"/>
                <w:sz w:val="24"/>
                <w:szCs w:val="24"/>
                <w:lang w:eastAsia="zh-TW"/>
              </w:rPr>
              <w:t>mg/m</w:t>
            </w:r>
            <w:r>
              <w:rPr>
                <w:rFonts w:hint="default" w:ascii="Times New Roman" w:hAnsi="Times New Roman" w:eastAsia="宋体" w:cs="Times New Roman"/>
                <w:sz w:val="24"/>
                <w:szCs w:val="24"/>
                <w:vertAlign w:val="superscript"/>
                <w:lang w:eastAsia="zh-TW"/>
              </w:rPr>
              <w:t>3</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TW"/>
              </w:rPr>
              <w:t>有组织</w:t>
            </w:r>
            <w:r>
              <w:rPr>
                <w:rFonts w:hint="eastAsia" w:ascii="Times New Roman" w:hAnsi="Times New Roman" w:eastAsia="宋体" w:cs="Times New Roman"/>
                <w:sz w:val="24"/>
                <w:szCs w:val="24"/>
                <w:lang w:val="en-US" w:eastAsia="zh-CN"/>
              </w:rPr>
              <w:t>非甲烷总烃</w:t>
            </w:r>
            <w:r>
              <w:rPr>
                <w:rFonts w:hint="default" w:ascii="Times New Roman" w:hAnsi="Times New Roman" w:eastAsia="宋体" w:cs="Times New Roman"/>
                <w:sz w:val="24"/>
                <w:szCs w:val="24"/>
                <w:lang w:eastAsia="zh-TW"/>
              </w:rPr>
              <w:t>排放量为</w:t>
            </w:r>
            <w:r>
              <w:rPr>
                <w:rFonts w:hint="eastAsia" w:ascii="Times New Roman" w:hAnsi="Times New Roman" w:cs="Times New Roman"/>
                <w:sz w:val="24"/>
                <w:szCs w:val="24"/>
                <w:lang w:val="en-US" w:eastAsia="zh-CN"/>
              </w:rPr>
              <w:t>0.020</w:t>
            </w:r>
            <w:r>
              <w:rPr>
                <w:rFonts w:hint="default" w:ascii="Times New Roman" w:hAnsi="Times New Roman" w:eastAsia="宋体" w:cs="Times New Roman"/>
                <w:sz w:val="24"/>
                <w:szCs w:val="24"/>
                <w:lang w:eastAsia="zh-TW"/>
              </w:rPr>
              <w:t>t/a，排放速率为</w:t>
            </w:r>
            <w:r>
              <w:rPr>
                <w:rFonts w:hint="default" w:ascii="Times New Roman" w:hAnsi="Times New Roman" w:eastAsia="宋体" w:cs="Times New Roman"/>
                <w:sz w:val="24"/>
                <w:szCs w:val="24"/>
                <w:lang w:val="en-US" w:eastAsia="zh-TW"/>
              </w:rPr>
              <w:t>0.</w:t>
            </w:r>
            <w:r>
              <w:rPr>
                <w:rFonts w:hint="eastAsia" w:ascii="Times New Roman" w:hAnsi="Times New Roman" w:cs="Times New Roman"/>
                <w:sz w:val="24"/>
                <w:szCs w:val="24"/>
                <w:lang w:val="en-US" w:eastAsia="zh-CN"/>
              </w:rPr>
              <w:t>033</w:t>
            </w:r>
            <w:r>
              <w:rPr>
                <w:rFonts w:hint="default" w:ascii="Times New Roman" w:hAnsi="Times New Roman" w:eastAsia="宋体" w:cs="Times New Roman"/>
                <w:sz w:val="24"/>
                <w:szCs w:val="24"/>
                <w:lang w:val="en-US" w:eastAsia="zh-TW"/>
              </w:rPr>
              <w:t>kg/h</w:t>
            </w:r>
            <w:r>
              <w:rPr>
                <w:rFonts w:hint="default" w:ascii="Times New Roman" w:hAnsi="Times New Roman" w:eastAsia="宋体" w:cs="Times New Roman"/>
                <w:sz w:val="24"/>
                <w:szCs w:val="24"/>
                <w:lang w:eastAsia="zh-TW"/>
              </w:rPr>
              <w:t>，排放浓度为</w:t>
            </w:r>
            <w:r>
              <w:rPr>
                <w:rFonts w:hint="eastAsia" w:ascii="Times New Roman" w:hAnsi="Times New Roman" w:cs="Times New Roman"/>
                <w:sz w:val="24"/>
                <w:szCs w:val="24"/>
                <w:lang w:val="en-US" w:eastAsia="zh-CN"/>
              </w:rPr>
              <w:t>6.667</w:t>
            </w:r>
            <w:r>
              <w:rPr>
                <w:rFonts w:hint="default" w:ascii="Times New Roman" w:hAnsi="Times New Roman" w:eastAsia="宋体" w:cs="Times New Roman"/>
                <w:sz w:val="24"/>
                <w:szCs w:val="24"/>
                <w:lang w:eastAsia="zh-TW"/>
              </w:rPr>
              <w:t>mg/m</w:t>
            </w:r>
            <w:r>
              <w:rPr>
                <w:rFonts w:hint="default" w:ascii="Times New Roman" w:hAnsi="Times New Roman" w:eastAsia="宋体" w:cs="Times New Roman"/>
                <w:sz w:val="24"/>
                <w:szCs w:val="24"/>
                <w:vertAlign w:val="superscript"/>
                <w:lang w:eastAsia="zh-TW"/>
              </w:rPr>
              <w:t>3</w:t>
            </w:r>
            <w:r>
              <w:rPr>
                <w:rFonts w:hint="default" w:ascii="Times New Roman" w:hAnsi="Times New Roman" w:eastAsia="宋体" w:cs="Times New Roman"/>
                <w:sz w:val="24"/>
                <w:szCs w:val="24"/>
                <w:lang w:eastAsia="zh-TW"/>
              </w:rPr>
              <w:t>。</w:t>
            </w:r>
          </w:p>
          <w:p w14:paraId="7BE11EE0">
            <w:pPr>
              <w:pStyle w:val="37"/>
              <w:snapToGrid w:val="0"/>
              <w:spacing w:line="360" w:lineRule="auto"/>
              <w:ind w:firstLine="482"/>
              <w:jc w:val="both"/>
              <w:rPr>
                <w:rFonts w:hint="default" w:ascii="Times New Roman" w:hAnsi="Times New Roman" w:eastAsia="宋体" w:cs="Times New Roman"/>
                <w:sz w:val="24"/>
                <w:szCs w:val="24"/>
                <w:lang w:eastAsia="zh-TW"/>
              </w:rPr>
            </w:pPr>
            <w:r>
              <w:rPr>
                <w:rFonts w:hint="eastAsia"/>
                <w:sz w:val="24"/>
                <w:szCs w:val="24"/>
                <w:lang w:val="en-US" w:eastAsia="zh-CN"/>
              </w:rPr>
              <w:t>熟化过程</w:t>
            </w:r>
            <w:r>
              <w:rPr>
                <w:rFonts w:hint="default" w:ascii="Times New Roman" w:hAnsi="Times New Roman" w:eastAsia="宋体" w:cs="Times New Roman"/>
                <w:sz w:val="24"/>
                <w:szCs w:val="24"/>
                <w:lang w:eastAsia="zh-TW"/>
              </w:rPr>
              <w:t>无组织</w:t>
            </w:r>
            <w:r>
              <w:rPr>
                <w:rFonts w:hint="eastAsia" w:ascii="Times New Roman" w:hAnsi="Times New Roman" w:eastAsia="宋体" w:cs="Times New Roman"/>
                <w:sz w:val="24"/>
                <w:szCs w:val="24"/>
                <w:lang w:val="en-US" w:eastAsia="zh-CN"/>
              </w:rPr>
              <w:t>油烟</w:t>
            </w:r>
            <w:r>
              <w:rPr>
                <w:rFonts w:hint="default" w:ascii="Times New Roman" w:hAnsi="Times New Roman" w:eastAsia="宋体" w:cs="Times New Roman"/>
                <w:sz w:val="24"/>
                <w:szCs w:val="24"/>
                <w:lang w:eastAsia="zh-TW"/>
              </w:rPr>
              <w:t>排放量为0.0</w:t>
            </w:r>
            <w:r>
              <w:rPr>
                <w:rFonts w:hint="eastAsia" w:ascii="Times New Roman" w:hAnsi="Times New Roman" w:eastAsia="宋体" w:cs="Times New Roman"/>
                <w:sz w:val="24"/>
                <w:szCs w:val="24"/>
                <w:lang w:val="en-US" w:eastAsia="zh-CN"/>
              </w:rPr>
              <w:t>15</w:t>
            </w:r>
            <w:r>
              <w:rPr>
                <w:rFonts w:hint="default" w:ascii="Times New Roman" w:hAnsi="Times New Roman" w:eastAsia="宋体" w:cs="Times New Roman"/>
                <w:sz w:val="24"/>
                <w:szCs w:val="24"/>
                <w:lang w:eastAsia="zh-TW"/>
              </w:rPr>
              <w:t>t/a，排放速率为0.0</w:t>
            </w:r>
            <w:r>
              <w:rPr>
                <w:rFonts w:hint="eastAsia" w:ascii="Times New Roman" w:hAnsi="Times New Roman" w:eastAsia="宋体" w:cs="Times New Roman"/>
                <w:sz w:val="24"/>
                <w:szCs w:val="24"/>
                <w:lang w:val="en-US" w:eastAsia="zh-CN"/>
              </w:rPr>
              <w:t>25</w:t>
            </w:r>
            <w:r>
              <w:rPr>
                <w:rFonts w:hint="default" w:ascii="Times New Roman" w:hAnsi="Times New Roman" w:eastAsia="宋体" w:cs="Times New Roman"/>
                <w:sz w:val="24"/>
                <w:szCs w:val="24"/>
                <w:lang w:eastAsia="zh-TW"/>
              </w:rPr>
              <w:t>kg/h</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TW"/>
              </w:rPr>
              <w:t>无组织</w:t>
            </w:r>
            <w:r>
              <w:rPr>
                <w:rFonts w:hint="eastAsia" w:ascii="Times New Roman" w:hAnsi="Times New Roman" w:eastAsia="宋体" w:cs="Times New Roman"/>
                <w:sz w:val="24"/>
                <w:szCs w:val="24"/>
                <w:lang w:val="en-US" w:eastAsia="zh-CN"/>
              </w:rPr>
              <w:t>非甲烷总烃</w:t>
            </w:r>
            <w:r>
              <w:rPr>
                <w:rFonts w:hint="default" w:ascii="Times New Roman" w:hAnsi="Times New Roman" w:eastAsia="宋体" w:cs="Times New Roman"/>
                <w:sz w:val="24"/>
                <w:szCs w:val="24"/>
                <w:lang w:eastAsia="zh-TW"/>
              </w:rPr>
              <w:t>排放量为0.0</w:t>
            </w:r>
            <w:r>
              <w:rPr>
                <w:rFonts w:hint="eastAsia" w:ascii="Times New Roman" w:hAnsi="Times New Roman" w:eastAsia="宋体" w:cs="Times New Roman"/>
                <w:sz w:val="24"/>
                <w:szCs w:val="24"/>
                <w:lang w:val="en-US" w:eastAsia="zh-CN"/>
              </w:rPr>
              <w:t>07</w:t>
            </w:r>
            <w:r>
              <w:rPr>
                <w:rFonts w:hint="default" w:ascii="Times New Roman" w:hAnsi="Times New Roman" w:eastAsia="宋体" w:cs="Times New Roman"/>
                <w:sz w:val="24"/>
                <w:szCs w:val="24"/>
                <w:lang w:eastAsia="zh-TW"/>
              </w:rPr>
              <w:t>t/a，排放速率为0.0</w:t>
            </w:r>
            <w:r>
              <w:rPr>
                <w:rFonts w:hint="eastAsia" w:ascii="Times New Roman" w:hAnsi="Times New Roman" w:eastAsia="宋体" w:cs="Times New Roman"/>
                <w:sz w:val="24"/>
                <w:szCs w:val="24"/>
                <w:lang w:val="en-US" w:eastAsia="zh-CN"/>
              </w:rPr>
              <w:t>12</w:t>
            </w:r>
            <w:r>
              <w:rPr>
                <w:rFonts w:hint="default" w:ascii="Times New Roman" w:hAnsi="Times New Roman" w:eastAsia="宋体" w:cs="Times New Roman"/>
                <w:sz w:val="24"/>
                <w:szCs w:val="24"/>
                <w:lang w:eastAsia="zh-TW"/>
              </w:rPr>
              <w:t>kg/h。</w:t>
            </w:r>
          </w:p>
          <w:p w14:paraId="53F8E9E2">
            <w:pPr>
              <w:pStyle w:val="37"/>
              <w:snapToGrid w:val="0"/>
              <w:spacing w:line="360" w:lineRule="auto"/>
              <w:ind w:firstLine="482"/>
              <w:jc w:val="both"/>
              <w:rPr>
                <w:rFonts w:hint="eastAsia"/>
                <w:sz w:val="24"/>
                <w:szCs w:val="24"/>
                <w:lang w:val="en-US" w:eastAsia="zh-CN"/>
              </w:rPr>
            </w:pPr>
            <w:r>
              <w:rPr>
                <w:rFonts w:hint="default"/>
                <w:sz w:val="24"/>
                <w:szCs w:val="24"/>
                <w:lang w:val="en-US" w:eastAsia="zh-CN"/>
              </w:rPr>
              <w:t>②</w:t>
            </w:r>
            <w:r>
              <w:rPr>
                <w:rFonts w:hint="eastAsia"/>
                <w:sz w:val="24"/>
                <w:szCs w:val="24"/>
                <w:lang w:val="en-US" w:eastAsia="zh-CN"/>
              </w:rPr>
              <w:t>熟化过程天然气燃烧废气</w:t>
            </w:r>
          </w:p>
          <w:p w14:paraId="5472F57E">
            <w:pPr>
              <w:pStyle w:val="37"/>
              <w:snapToGrid w:val="0"/>
              <w:spacing w:line="360" w:lineRule="auto"/>
              <w:ind w:firstLine="482"/>
              <w:jc w:val="both"/>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w:t>
            </w:r>
            <w:r>
              <w:rPr>
                <w:rFonts w:hint="eastAsia" w:cs="Times New Roman"/>
                <w:sz w:val="24"/>
                <w:szCs w:val="24"/>
                <w:lang w:val="en-US" w:eastAsia="zh-CN"/>
              </w:rPr>
              <w:t>燃气</w:t>
            </w:r>
            <w:r>
              <w:rPr>
                <w:rFonts w:hint="eastAsia" w:ascii="Times New Roman" w:hAnsi="Times New Roman" w:eastAsia="宋体" w:cs="Times New Roman"/>
                <w:sz w:val="24"/>
                <w:szCs w:val="24"/>
                <w:lang w:val="en-US" w:eastAsia="zh-CN"/>
              </w:rPr>
              <w:t>炒锅</w:t>
            </w:r>
            <w:r>
              <w:rPr>
                <w:rFonts w:hint="eastAsia" w:cs="Times New Roman"/>
                <w:sz w:val="24"/>
                <w:szCs w:val="24"/>
                <w:lang w:val="en-US" w:eastAsia="zh-CN"/>
              </w:rPr>
              <w:t>、燃气汤锅</w:t>
            </w:r>
            <w:r>
              <w:rPr>
                <w:rFonts w:hint="eastAsia" w:ascii="Times New Roman" w:hAnsi="Times New Roman" w:eastAsia="宋体" w:cs="Times New Roman"/>
                <w:sz w:val="24"/>
                <w:szCs w:val="24"/>
                <w:lang w:val="en-US" w:eastAsia="zh-CN"/>
              </w:rPr>
              <w:t>采用天然气作为燃料，天然气燃烧产生燃烧废气，车间内无组织排放。该工序与生活中燃烧天然气相似，废气中的颗粒物、二氧化硫、氮氧化物排放系数参考《排放源统计调查产排污核算方法和系数手册》（生态环境部公告2021年第24号）中《附3生活源-附表生活源产排污系数手册》表3-1生活及其他大气污染物排放系数表单计算，具体产污系数见下表。</w:t>
            </w:r>
          </w:p>
          <w:p w14:paraId="39CA48E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sz w:val="24"/>
                <w:szCs w:val="24"/>
                <w:lang w:val="en-US" w:eastAsia="zh-CN"/>
              </w:rPr>
            </w:pPr>
            <w:r>
              <w:rPr>
                <w:rFonts w:hint="eastAsia" w:cs="Times New Roman"/>
                <w:b/>
                <w:bCs/>
                <w:sz w:val="24"/>
                <w:szCs w:val="24"/>
                <w:lang w:val="en-US" w:eastAsia="zh-CN"/>
              </w:rPr>
              <w:t xml:space="preserve">表4-1  </w:t>
            </w:r>
            <w:r>
              <w:rPr>
                <w:rFonts w:hint="eastAsia"/>
                <w:b/>
                <w:bCs/>
                <w:sz w:val="24"/>
                <w:szCs w:val="24"/>
                <w:lang w:val="en-US" w:eastAsia="zh-CN"/>
              </w:rPr>
              <w:t>熟化过程</w:t>
            </w:r>
            <w:r>
              <w:rPr>
                <w:rFonts w:hint="eastAsia" w:cs="Times New Roman"/>
                <w:b/>
                <w:bCs/>
                <w:sz w:val="24"/>
                <w:szCs w:val="24"/>
                <w:lang w:val="en-US" w:eastAsia="zh-CN"/>
              </w:rPr>
              <w:t>天然气燃烧废气产污系数表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3"/>
              <w:gridCol w:w="2303"/>
              <w:gridCol w:w="2303"/>
              <w:gridCol w:w="2303"/>
            </w:tblGrid>
            <w:tr w14:paraId="507FE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03" w:type="dxa"/>
                  <w:vAlign w:val="center"/>
                </w:tcPr>
                <w:p w14:paraId="3B36FB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污染物指标</w:t>
                  </w:r>
                </w:p>
              </w:tc>
              <w:tc>
                <w:tcPr>
                  <w:tcW w:w="2303" w:type="dxa"/>
                  <w:vAlign w:val="center"/>
                </w:tcPr>
                <w:p w14:paraId="09A12D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排放源类型</w:t>
                  </w:r>
                </w:p>
              </w:tc>
              <w:tc>
                <w:tcPr>
                  <w:tcW w:w="2303" w:type="dxa"/>
                  <w:vAlign w:val="center"/>
                </w:tcPr>
                <w:p w14:paraId="38FF80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产污系数</w:t>
                  </w:r>
                </w:p>
              </w:tc>
              <w:tc>
                <w:tcPr>
                  <w:tcW w:w="2303" w:type="dxa"/>
                  <w:vAlign w:val="center"/>
                </w:tcPr>
                <w:p w14:paraId="78A19D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单位</w:t>
                  </w:r>
                </w:p>
              </w:tc>
            </w:tr>
            <w:tr w14:paraId="2956D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03" w:type="dxa"/>
                  <w:vAlign w:val="center"/>
                </w:tcPr>
                <w:p w14:paraId="3F96E8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颗粒物</w:t>
                  </w:r>
                </w:p>
              </w:tc>
              <w:tc>
                <w:tcPr>
                  <w:tcW w:w="2303" w:type="dxa"/>
                  <w:vMerge w:val="restart"/>
                  <w:vAlign w:val="center"/>
                </w:tcPr>
                <w:p w14:paraId="35D9D5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生活及其他天然气</w:t>
                  </w:r>
                </w:p>
              </w:tc>
              <w:tc>
                <w:tcPr>
                  <w:tcW w:w="2303" w:type="dxa"/>
                  <w:vAlign w:val="center"/>
                </w:tcPr>
                <w:p w14:paraId="255FE7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1.1</w:t>
                  </w:r>
                </w:p>
              </w:tc>
              <w:tc>
                <w:tcPr>
                  <w:tcW w:w="2303" w:type="dxa"/>
                  <w:vAlign w:val="center"/>
                </w:tcPr>
                <w:p w14:paraId="617F58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千克/万立方米-燃料</w:t>
                  </w:r>
                </w:p>
              </w:tc>
            </w:tr>
            <w:tr w14:paraId="6494A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03" w:type="dxa"/>
                  <w:vAlign w:val="center"/>
                </w:tcPr>
                <w:p w14:paraId="07DDF0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二氧化硫</w:t>
                  </w:r>
                </w:p>
              </w:tc>
              <w:tc>
                <w:tcPr>
                  <w:tcW w:w="2303" w:type="dxa"/>
                  <w:vMerge w:val="continue"/>
                  <w:vAlign w:val="center"/>
                </w:tcPr>
                <w:p w14:paraId="488AED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2303" w:type="dxa"/>
                  <w:vAlign w:val="center"/>
                </w:tcPr>
                <w:p w14:paraId="7B3828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0.0054</w:t>
                  </w:r>
                </w:p>
              </w:tc>
              <w:tc>
                <w:tcPr>
                  <w:tcW w:w="2303" w:type="dxa"/>
                  <w:vAlign w:val="center"/>
                </w:tcPr>
                <w:p w14:paraId="3FB9B2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千克/万立方米-燃料</w:t>
                  </w:r>
                </w:p>
              </w:tc>
            </w:tr>
            <w:tr w14:paraId="302AA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03" w:type="dxa"/>
                  <w:vAlign w:val="center"/>
                </w:tcPr>
                <w:p w14:paraId="6C36CA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氮氧化物</w:t>
                  </w:r>
                </w:p>
              </w:tc>
              <w:tc>
                <w:tcPr>
                  <w:tcW w:w="2303" w:type="dxa"/>
                  <w:vMerge w:val="continue"/>
                  <w:vAlign w:val="center"/>
                </w:tcPr>
                <w:p w14:paraId="5FA6C6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p>
              </w:tc>
              <w:tc>
                <w:tcPr>
                  <w:tcW w:w="2303" w:type="dxa"/>
                  <w:vAlign w:val="center"/>
                </w:tcPr>
                <w:p w14:paraId="720281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12</w:t>
                  </w:r>
                </w:p>
              </w:tc>
              <w:tc>
                <w:tcPr>
                  <w:tcW w:w="2303" w:type="dxa"/>
                  <w:vAlign w:val="center"/>
                </w:tcPr>
                <w:p w14:paraId="7FE5FE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千克/万立方米-燃料</w:t>
                  </w:r>
                </w:p>
              </w:tc>
            </w:tr>
          </w:tbl>
          <w:p w14:paraId="74708E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项目</w:t>
            </w:r>
            <w:r>
              <w:rPr>
                <w:rFonts w:hint="eastAsia" w:cs="Times New Roman"/>
                <w:sz w:val="24"/>
                <w:szCs w:val="24"/>
                <w:lang w:val="en-US" w:eastAsia="zh-CN"/>
              </w:rPr>
              <w:t>燃气</w:t>
            </w:r>
            <w:r>
              <w:rPr>
                <w:rFonts w:hint="eastAsia" w:ascii="Times New Roman" w:hAnsi="Times New Roman" w:eastAsia="宋体" w:cs="Times New Roman"/>
                <w:sz w:val="24"/>
                <w:szCs w:val="24"/>
                <w:lang w:val="en-US" w:eastAsia="zh-CN"/>
              </w:rPr>
              <w:t>炒锅</w:t>
            </w:r>
            <w:r>
              <w:rPr>
                <w:rFonts w:hint="eastAsia" w:cs="Times New Roman"/>
                <w:sz w:val="24"/>
                <w:szCs w:val="24"/>
                <w:lang w:val="en-US" w:eastAsia="zh-CN"/>
              </w:rPr>
              <w:t>、燃气汤锅</w:t>
            </w:r>
            <w:r>
              <w:rPr>
                <w:rFonts w:hint="eastAsia" w:ascii="Times New Roman" w:hAnsi="Times New Roman" w:eastAsia="宋体" w:cs="Times New Roman"/>
                <w:sz w:val="24"/>
                <w:szCs w:val="24"/>
                <w:lang w:val="en-US" w:eastAsia="zh-CN"/>
              </w:rPr>
              <w:t>天然气消耗量为</w:t>
            </w:r>
            <w:r>
              <w:rPr>
                <w:rFonts w:hint="eastAsia" w:cs="Times New Roman"/>
                <w:sz w:val="24"/>
                <w:szCs w:val="24"/>
                <w:lang w:val="en-US" w:eastAsia="zh-CN"/>
              </w:rPr>
              <w:t>45927</w:t>
            </w:r>
            <w:r>
              <w:rPr>
                <w:rFonts w:hint="eastAsia" w:ascii="Times New Roman" w:hAnsi="Times New Roman" w:eastAsia="宋体" w:cs="Times New Roman"/>
                <w:sz w:val="24"/>
                <w:szCs w:val="24"/>
                <w:lang w:val="en-US" w:eastAsia="zh-CN"/>
              </w:rPr>
              <w:t>m</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eastAsia="宋体" w:cs="Times New Roman"/>
                <w:sz w:val="24"/>
                <w:szCs w:val="24"/>
                <w:lang w:val="en-US" w:eastAsia="zh-CN"/>
              </w:rPr>
              <w:t>/a，</w:t>
            </w:r>
            <w:r>
              <w:rPr>
                <w:rFonts w:hint="eastAsia" w:cs="Times New Roman"/>
                <w:sz w:val="24"/>
                <w:szCs w:val="24"/>
                <w:lang w:val="en-US" w:eastAsia="zh-CN"/>
              </w:rPr>
              <w:t>燃气</w:t>
            </w:r>
            <w:r>
              <w:rPr>
                <w:rFonts w:hint="eastAsia" w:ascii="Times New Roman" w:hAnsi="Times New Roman" w:eastAsia="宋体" w:cs="Times New Roman"/>
                <w:sz w:val="24"/>
                <w:szCs w:val="24"/>
                <w:lang w:val="en-US" w:eastAsia="zh-CN"/>
              </w:rPr>
              <w:t>炒锅</w:t>
            </w:r>
            <w:r>
              <w:rPr>
                <w:rFonts w:hint="eastAsia" w:cs="Times New Roman"/>
                <w:sz w:val="24"/>
                <w:szCs w:val="24"/>
                <w:lang w:val="en-US" w:eastAsia="zh-CN"/>
              </w:rPr>
              <w:t>、燃气汤锅每天运行3h，年运行200d；</w:t>
            </w:r>
            <w:r>
              <w:rPr>
                <w:rFonts w:hint="eastAsia" w:ascii="Times New Roman" w:hAnsi="Times New Roman" w:eastAsia="宋体" w:cs="Times New Roman"/>
                <w:sz w:val="24"/>
                <w:szCs w:val="24"/>
                <w:lang w:val="en-US" w:eastAsia="zh-CN"/>
              </w:rPr>
              <w:t>则中央厨房天然气燃烧废气中颗粒物产生量约为0.0</w:t>
            </w:r>
            <w:r>
              <w:rPr>
                <w:rFonts w:hint="eastAsia" w:cs="Times New Roman"/>
                <w:sz w:val="24"/>
                <w:szCs w:val="24"/>
                <w:lang w:val="en-US" w:eastAsia="zh-CN"/>
              </w:rPr>
              <w:t>05</w:t>
            </w:r>
            <w:r>
              <w:rPr>
                <w:rFonts w:hint="eastAsia" w:ascii="Times New Roman" w:hAnsi="Times New Roman" w:eastAsia="宋体" w:cs="Times New Roman"/>
                <w:sz w:val="24"/>
                <w:szCs w:val="24"/>
                <w:lang w:val="en-US" w:eastAsia="zh-CN"/>
              </w:rPr>
              <w:t>t/a</w:t>
            </w:r>
            <w:r>
              <w:rPr>
                <w:color w:val="000000" w:themeColor="text1"/>
                <w:sz w:val="24"/>
                <w14:textFill>
                  <w14:solidFill>
                    <w14:schemeClr w14:val="tx1"/>
                  </w14:solidFill>
                </w14:textFill>
              </w:rPr>
              <w:t>（0.0</w:t>
            </w:r>
            <w:r>
              <w:rPr>
                <w:rFonts w:hint="eastAsia"/>
                <w:color w:val="000000" w:themeColor="text1"/>
                <w:sz w:val="24"/>
                <w:lang w:val="en-US" w:eastAsia="zh-CN"/>
                <w14:textFill>
                  <w14:solidFill>
                    <w14:schemeClr w14:val="tx1"/>
                  </w14:solidFill>
                </w14:textFill>
              </w:rPr>
              <w:t>08</w:t>
            </w:r>
            <w:r>
              <w:rPr>
                <w:color w:val="000000" w:themeColor="text1"/>
                <w:sz w:val="24"/>
                <w14:textFill>
                  <w14:solidFill>
                    <w14:schemeClr w14:val="tx1"/>
                  </w14:solidFill>
                </w14:textFill>
              </w:rPr>
              <w:t>kg/h）</w:t>
            </w:r>
            <w:r>
              <w:rPr>
                <w:rFonts w:hint="eastAsia" w:ascii="Times New Roman" w:hAnsi="Times New Roman" w:eastAsia="宋体" w:cs="Times New Roman"/>
                <w:sz w:val="24"/>
                <w:szCs w:val="24"/>
                <w:lang w:val="en-US" w:eastAsia="zh-CN"/>
              </w:rPr>
              <w:t>，二氧化硫产生量约为0.000</w:t>
            </w:r>
            <w:r>
              <w:rPr>
                <w:rFonts w:hint="eastAsia" w:cs="Times New Roman"/>
                <w:sz w:val="24"/>
                <w:szCs w:val="24"/>
                <w:lang w:val="en-US" w:eastAsia="zh-CN"/>
              </w:rPr>
              <w:t>02</w:t>
            </w:r>
            <w:r>
              <w:rPr>
                <w:rFonts w:hint="eastAsia" w:ascii="Times New Roman" w:hAnsi="Times New Roman" w:eastAsia="宋体" w:cs="Times New Roman"/>
                <w:sz w:val="24"/>
                <w:szCs w:val="24"/>
                <w:lang w:val="en-US" w:eastAsia="zh-CN"/>
              </w:rPr>
              <w:t>t/a</w:t>
            </w:r>
            <w:r>
              <w:rPr>
                <w:color w:val="000000" w:themeColor="text1"/>
                <w:sz w:val="24"/>
                <w14:textFill>
                  <w14:solidFill>
                    <w14:schemeClr w14:val="tx1"/>
                  </w14:solidFill>
                </w14:textFill>
              </w:rPr>
              <w:t>（0.0</w:t>
            </w:r>
            <w:r>
              <w:rPr>
                <w:rFonts w:hint="eastAsia"/>
                <w:color w:val="000000" w:themeColor="text1"/>
                <w:sz w:val="24"/>
                <w:lang w:val="en-US" w:eastAsia="zh-CN"/>
                <w14:textFill>
                  <w14:solidFill>
                    <w14:schemeClr w14:val="tx1"/>
                  </w14:solidFill>
                </w14:textFill>
              </w:rPr>
              <w:t>0004</w:t>
            </w:r>
            <w:r>
              <w:rPr>
                <w:color w:val="000000" w:themeColor="text1"/>
                <w:sz w:val="24"/>
                <w14:textFill>
                  <w14:solidFill>
                    <w14:schemeClr w14:val="tx1"/>
                  </w14:solidFill>
                </w14:textFill>
              </w:rPr>
              <w:t>kg/h）</w:t>
            </w:r>
            <w:r>
              <w:rPr>
                <w:rFonts w:hint="eastAsia" w:ascii="Times New Roman" w:hAnsi="Times New Roman" w:eastAsia="宋体" w:cs="Times New Roman"/>
                <w:sz w:val="24"/>
                <w:szCs w:val="24"/>
                <w:lang w:val="en-US" w:eastAsia="zh-CN"/>
              </w:rPr>
              <w:t>（保留小数点后</w:t>
            </w:r>
            <w:r>
              <w:rPr>
                <w:rFonts w:hint="eastAsia" w:cs="Times New Roman"/>
                <w:sz w:val="24"/>
                <w:szCs w:val="24"/>
                <w:lang w:val="en-US" w:eastAsia="zh-CN"/>
              </w:rPr>
              <w:t>五</w:t>
            </w:r>
            <w:r>
              <w:rPr>
                <w:rFonts w:hint="eastAsia" w:ascii="Times New Roman" w:hAnsi="Times New Roman" w:eastAsia="宋体" w:cs="Times New Roman"/>
                <w:sz w:val="24"/>
                <w:szCs w:val="24"/>
                <w:lang w:val="en-US" w:eastAsia="zh-CN"/>
              </w:rPr>
              <w:t>位结果），氮氧化物产生量约为</w:t>
            </w:r>
            <w:r>
              <w:rPr>
                <w:rFonts w:hint="eastAsia" w:cs="Times New Roman"/>
                <w:sz w:val="24"/>
                <w:szCs w:val="24"/>
                <w:lang w:val="en-US" w:eastAsia="zh-CN"/>
              </w:rPr>
              <w:t>0.055</w:t>
            </w:r>
            <w:r>
              <w:rPr>
                <w:rFonts w:hint="eastAsia" w:ascii="Times New Roman" w:hAnsi="Times New Roman" w:eastAsia="宋体" w:cs="Times New Roman"/>
                <w:sz w:val="24"/>
                <w:szCs w:val="24"/>
                <w:lang w:val="en-US" w:eastAsia="zh-CN"/>
              </w:rPr>
              <w:t>t/a</w:t>
            </w:r>
            <w:r>
              <w:rPr>
                <w:color w:val="000000" w:themeColor="text1"/>
                <w:sz w:val="24"/>
                <w14:textFill>
                  <w14:solidFill>
                    <w14:schemeClr w14:val="tx1"/>
                  </w14:solidFill>
                </w14:textFill>
              </w:rPr>
              <w:t>（0.0</w:t>
            </w:r>
            <w:r>
              <w:rPr>
                <w:rFonts w:hint="eastAsia"/>
                <w:color w:val="000000" w:themeColor="text1"/>
                <w:sz w:val="24"/>
                <w:lang w:val="en-US" w:eastAsia="zh-CN"/>
                <w14:textFill>
                  <w14:solidFill>
                    <w14:schemeClr w14:val="tx1"/>
                  </w14:solidFill>
                </w14:textFill>
              </w:rPr>
              <w:t>92</w:t>
            </w:r>
            <w:r>
              <w:rPr>
                <w:color w:val="000000" w:themeColor="text1"/>
                <w:sz w:val="24"/>
                <w14:textFill>
                  <w14:solidFill>
                    <w14:schemeClr w14:val="tx1"/>
                  </w14:solidFill>
                </w14:textFill>
              </w:rPr>
              <w:t>kg/h）</w:t>
            </w:r>
            <w:r>
              <w:rPr>
                <w:rFonts w:hint="eastAsia" w:ascii="Times New Roman" w:hAnsi="Times New Roman" w:eastAsia="宋体" w:cs="Times New Roman"/>
                <w:sz w:val="24"/>
                <w:szCs w:val="24"/>
                <w:lang w:val="en-US" w:eastAsia="zh-CN"/>
              </w:rPr>
              <w:t>，项目废气车间内无组织排放。</w:t>
            </w:r>
          </w:p>
          <w:p w14:paraId="01B98B10">
            <w:pPr>
              <w:widowControl/>
              <w:spacing w:line="360" w:lineRule="auto"/>
              <w:ind w:firstLine="480" w:firstLineChars="200"/>
              <w:jc w:val="left"/>
              <w:rPr>
                <w:rFonts w:hint="eastAsia"/>
                <w:color w:val="000000" w:themeColor="text1"/>
                <w:kern w:val="0"/>
                <w:sz w:val="24"/>
                <w:lang w:bidi="ar"/>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天然气</w:t>
            </w:r>
            <w:r>
              <w:rPr>
                <w:rFonts w:hint="eastAsia" w:hAnsi="宋体"/>
                <w:color w:val="000000"/>
                <w:sz w:val="24"/>
                <w:lang w:val="en-US" w:eastAsia="zh-CN"/>
              </w:rPr>
              <w:t>蒸汽发生器</w:t>
            </w:r>
            <w:r>
              <w:rPr>
                <w:rFonts w:hint="eastAsia"/>
                <w:color w:val="000000" w:themeColor="text1"/>
                <w:kern w:val="0"/>
                <w:sz w:val="24"/>
                <w:lang w:bidi="ar"/>
                <w14:textFill>
                  <w14:solidFill>
                    <w14:schemeClr w14:val="tx1"/>
                  </w14:solidFill>
                </w14:textFill>
              </w:rPr>
              <w:t>废气</w:t>
            </w:r>
          </w:p>
          <w:p w14:paraId="27335D08">
            <w:pPr>
              <w:widowControl/>
              <w:spacing w:line="360" w:lineRule="auto"/>
              <w:ind w:firstLine="480" w:firstLineChars="200"/>
              <w:jc w:val="left"/>
              <w:rPr>
                <w:rFonts w:hint="eastAsia"/>
                <w:color w:val="000000" w:themeColor="text1"/>
                <w:sz w:val="24"/>
                <w:lang w:eastAsia="zh-CN"/>
                <w14:textFill>
                  <w14:solidFill>
                    <w14:schemeClr w14:val="tx1"/>
                  </w14:solidFill>
                </w14:textFill>
              </w:rPr>
            </w:pPr>
            <w:r>
              <w:rPr>
                <w:rFonts w:hint="eastAsia"/>
                <w:color w:val="000000" w:themeColor="text1"/>
                <w:sz w:val="24"/>
                <w14:textFill>
                  <w14:solidFill>
                    <w14:schemeClr w14:val="tx1"/>
                  </w14:solidFill>
                </w14:textFill>
              </w:rPr>
              <w:t>项目生产过程中配套</w:t>
            </w:r>
            <w:r>
              <w:rPr>
                <w:rFonts w:hint="eastAsia"/>
                <w:color w:val="000000"/>
                <w:sz w:val="24"/>
                <w:highlight w:val="none"/>
                <w:lang w:val="en-US" w:eastAsia="zh-CN"/>
              </w:rPr>
              <w:t>8</w:t>
            </w:r>
            <w:r>
              <w:rPr>
                <w:color w:val="000000"/>
                <w:sz w:val="24"/>
                <w:highlight w:val="none"/>
              </w:rPr>
              <w:t>台</w:t>
            </w:r>
            <w:r>
              <w:rPr>
                <w:rFonts w:hint="eastAsia"/>
                <w:color w:val="000000"/>
                <w:sz w:val="24"/>
                <w:highlight w:val="none"/>
                <w:lang w:val="en-US" w:eastAsia="zh-CN"/>
              </w:rPr>
              <w:t>0.1</w:t>
            </w:r>
            <w:r>
              <w:rPr>
                <w:rFonts w:hint="eastAsia"/>
                <w:color w:val="000000"/>
                <w:sz w:val="24"/>
                <w:highlight w:val="none"/>
              </w:rPr>
              <w:t>t</w:t>
            </w:r>
            <w:r>
              <w:rPr>
                <w:color w:val="000000"/>
                <w:sz w:val="24"/>
                <w:highlight w:val="none"/>
              </w:rPr>
              <w:t>/h</w:t>
            </w:r>
            <w:r>
              <w:rPr>
                <w:rFonts w:hint="eastAsia"/>
                <w:color w:val="000000"/>
                <w:sz w:val="24"/>
                <w:highlight w:val="none"/>
                <w:lang w:eastAsia="zh-CN"/>
              </w:rPr>
              <w:t>、</w:t>
            </w:r>
            <w:r>
              <w:rPr>
                <w:rFonts w:hint="eastAsia"/>
                <w:color w:val="000000"/>
                <w:sz w:val="24"/>
                <w:highlight w:val="none"/>
                <w:lang w:val="en-US" w:eastAsia="zh-CN"/>
              </w:rPr>
              <w:t>6台0.15t/h以及1台0.2t/h蒸汽发生器</w:t>
            </w:r>
            <w:r>
              <w:rPr>
                <w:rFonts w:hint="eastAsia"/>
                <w:color w:val="000000" w:themeColor="text1"/>
                <w:sz w:val="24"/>
                <w14:textFill>
                  <w14:solidFill>
                    <w14:schemeClr w14:val="tx1"/>
                  </w14:solidFill>
                </w14:textFill>
              </w:rPr>
              <w:t>为本项目提供蒸汽，</w:t>
            </w:r>
            <w:r>
              <w:rPr>
                <w:rFonts w:hint="eastAsia"/>
                <w:color w:val="000000"/>
                <w:sz w:val="24"/>
                <w:lang w:val="en-US" w:eastAsia="zh-CN"/>
              </w:rPr>
              <w:t>天然气</w:t>
            </w:r>
            <w:r>
              <w:rPr>
                <w:rFonts w:hint="eastAsia" w:hAnsi="宋体"/>
                <w:color w:val="000000"/>
                <w:sz w:val="24"/>
                <w:lang w:val="en-US" w:eastAsia="zh-CN"/>
              </w:rPr>
              <w:t>蒸汽发生器</w:t>
            </w:r>
            <w:r>
              <w:rPr>
                <w:rFonts w:hint="eastAsia"/>
                <w:color w:val="000000" w:themeColor="text1"/>
                <w:sz w:val="24"/>
                <w14:textFill>
                  <w14:solidFill>
                    <w14:schemeClr w14:val="tx1"/>
                  </w14:solidFill>
                </w14:textFill>
              </w:rPr>
              <w:t>以天然气为燃料，天然气燃烧过程会产生烟尘、</w:t>
            </w:r>
            <w:r>
              <w:rPr>
                <w:color w:val="000000" w:themeColor="text1"/>
                <w:sz w:val="24"/>
                <w14:textFill>
                  <w14:solidFill>
                    <w14:schemeClr w14:val="tx1"/>
                  </w14:solidFill>
                </w14:textFill>
              </w:rPr>
              <w:t>SO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、NO</w:t>
            </w:r>
            <w:r>
              <w:rPr>
                <w:color w:val="000000" w:themeColor="text1"/>
                <w:sz w:val="24"/>
                <w:vertAlign w:val="subscript"/>
                <w14:textFill>
                  <w14:solidFill>
                    <w14:schemeClr w14:val="tx1"/>
                  </w14:solidFill>
                </w14:textFill>
              </w:rPr>
              <w:t>X</w:t>
            </w:r>
            <w:r>
              <w:rPr>
                <w:rFonts w:hint="eastAsia"/>
                <w:color w:val="000000" w:themeColor="text1"/>
                <w:sz w:val="24"/>
                <w14:textFill>
                  <w14:solidFill>
                    <w14:schemeClr w14:val="tx1"/>
                  </w14:solidFill>
                </w14:textFill>
              </w:rPr>
              <w:t>。根据企业提供资料，项目</w:t>
            </w:r>
            <w:r>
              <w:rPr>
                <w:rFonts w:hint="eastAsia"/>
                <w:color w:val="000000"/>
                <w:sz w:val="24"/>
                <w:lang w:val="en-US" w:eastAsia="zh-CN"/>
              </w:rPr>
              <w:t>天然气</w:t>
            </w:r>
            <w:r>
              <w:rPr>
                <w:rFonts w:hint="eastAsia" w:hAnsi="宋体"/>
                <w:color w:val="000000"/>
                <w:sz w:val="24"/>
                <w:lang w:val="en-US" w:eastAsia="zh-CN"/>
              </w:rPr>
              <w:t>蒸汽发生器</w:t>
            </w:r>
            <w:r>
              <w:rPr>
                <w:rFonts w:hint="eastAsia" w:ascii="Times New Roman" w:hAnsi="Times New Roman" w:cs="Times New Roman"/>
                <w:sz w:val="24"/>
                <w:szCs w:val="24"/>
                <w:lang w:val="en-US" w:eastAsia="zh-CN"/>
              </w:rPr>
              <w:t>每天运行</w:t>
            </w:r>
            <w:r>
              <w:rPr>
                <w:rFonts w:hint="eastAsia" w:cs="Times New Roman"/>
                <w:sz w:val="24"/>
                <w:szCs w:val="24"/>
                <w:lang w:val="en-US" w:eastAsia="zh-CN"/>
              </w:rPr>
              <w:t>4</w:t>
            </w:r>
            <w:r>
              <w:rPr>
                <w:rFonts w:hint="eastAsia" w:ascii="Times New Roman" w:hAnsi="Times New Roman" w:cs="Times New Roman"/>
                <w:sz w:val="24"/>
                <w:szCs w:val="24"/>
                <w:lang w:val="en-US" w:eastAsia="zh-CN"/>
              </w:rPr>
              <w:t>h，</w:t>
            </w:r>
            <w:r>
              <w:rPr>
                <w:rFonts w:hint="default" w:ascii="Times New Roman" w:hAnsi="Times New Roman" w:eastAsia="宋体" w:cs="Times New Roman"/>
                <w:sz w:val="24"/>
                <w:szCs w:val="24"/>
                <w:lang w:val="en-US" w:eastAsia="zh-TW"/>
              </w:rPr>
              <w:t>年工作时间为</w:t>
            </w:r>
            <w:r>
              <w:rPr>
                <w:rFonts w:hint="eastAsia" w:ascii="Times New Roman" w:hAnsi="Times New Roman" w:cs="Times New Roman"/>
                <w:sz w:val="24"/>
                <w:szCs w:val="24"/>
                <w:lang w:val="en-US" w:eastAsia="zh-CN"/>
              </w:rPr>
              <w:t>2</w:t>
            </w:r>
            <w:r>
              <w:rPr>
                <w:rFonts w:hint="eastAsia" w:cs="Times New Roman"/>
                <w:sz w:val="24"/>
                <w:szCs w:val="24"/>
                <w:lang w:val="en-US" w:eastAsia="zh-CN"/>
              </w:rPr>
              <w:t>0</w:t>
            </w:r>
            <w:r>
              <w:rPr>
                <w:rFonts w:hint="eastAsia" w:ascii="Times New Roman" w:hAnsi="Times New Roman" w:cs="Times New Roman"/>
                <w:sz w:val="24"/>
                <w:szCs w:val="24"/>
                <w:lang w:val="en-US" w:eastAsia="zh-CN"/>
              </w:rPr>
              <w:t>0d</w:t>
            </w:r>
            <w:r>
              <w:rPr>
                <w:rFonts w:hint="default" w:ascii="Times New Roman" w:hAnsi="Times New Roman" w:eastAsia="宋体" w:cs="Times New Roman"/>
                <w:sz w:val="24"/>
                <w:szCs w:val="24"/>
                <w:lang w:val="en-US" w:eastAsia="zh-TW"/>
              </w:rPr>
              <w:t>，</w:t>
            </w:r>
            <w:r>
              <w:rPr>
                <w:rFonts w:hint="eastAsia"/>
                <w:color w:val="000000" w:themeColor="text1"/>
                <w:sz w:val="24"/>
                <w14:textFill>
                  <w14:solidFill>
                    <w14:schemeClr w14:val="tx1"/>
                  </w14:solidFill>
                </w14:textFill>
              </w:rPr>
              <w:t>天然气用量为</w:t>
            </w:r>
            <w:r>
              <w:rPr>
                <w:rFonts w:hint="eastAsia"/>
                <w:color w:val="000000" w:themeColor="text1"/>
                <w:sz w:val="24"/>
                <w:lang w:val="en-US" w:eastAsia="zh-CN"/>
                <w14:textFill>
                  <w14:solidFill>
                    <w14:schemeClr w14:val="tx1"/>
                  </w14:solidFill>
                </w14:textFill>
              </w:rPr>
              <w:t>81.809</w:t>
            </w:r>
            <w:r>
              <w:rPr>
                <w:color w:val="000000" w:themeColor="text1"/>
                <w:sz w:val="24"/>
                <w14:textFill>
                  <w14:solidFill>
                    <w14:schemeClr w14:val="tx1"/>
                  </w14:solidFill>
                </w14:textFill>
              </w:rPr>
              <w:t>t/a（气态天然气密度为0.7kg/m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，约</w:t>
            </w:r>
            <w:r>
              <w:rPr>
                <w:rFonts w:hint="eastAsia" w:cs="Times New Roman"/>
                <w:color w:val="000000" w:themeColor="text1"/>
                <w:sz w:val="24"/>
                <w:szCs w:val="24"/>
                <w:highlight w:val="none"/>
                <w:lang w:val="en-US" w:eastAsia="zh-CN"/>
                <w14:textFill>
                  <w14:solidFill>
                    <w14:schemeClr w14:val="tx1"/>
                  </w14:solidFill>
                </w14:textFill>
              </w:rPr>
              <w:t>116870.4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p>
          <w:p w14:paraId="57B113A6">
            <w:pPr>
              <w:widowControl/>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lang w:bidi="ar"/>
                <w14:textFill>
                  <w14:solidFill>
                    <w14:schemeClr w14:val="tx1"/>
                  </w14:solidFill>
                </w14:textFill>
              </w:rPr>
              <w:t>根</w:t>
            </w:r>
            <w:r>
              <w:rPr>
                <w:color w:val="000000" w:themeColor="text1"/>
                <w:sz w:val="24"/>
                <w:lang w:bidi="ar"/>
                <w14:textFill>
                  <w14:solidFill>
                    <w14:schemeClr w14:val="tx1"/>
                  </w14:solidFill>
                </w14:textFill>
              </w:rPr>
              <w:t>据《排污许可证申请与核发技术规范 锅炉》HJ953-2018表F.3燃气工业锅炉废气产排污系数可知，二氧化硫产生系数为0.02Skg/万立方米-燃料（S为天然气含硫量），项目所用天然气符合国家标准《天然气》（GB176820-2018）中的1类天然气，含硫量小于20毫克/立方米，本项目按照最不利性影响计算，取20mg/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经计算二氧化硫的产污系数为0.4千克/万立方米-燃料。根据《工业源产排污核算方法和系数手册》中D4430锅炉产排污量核算系数手册—燃气工业锅炉废气产排污系数手册中采用低氮燃烧技术后氮氧化物产污系数为3.03kg万立方米-燃料。</w:t>
            </w:r>
            <w:r>
              <w:rPr>
                <w:color w:val="000000" w:themeColor="text1"/>
                <w:sz w:val="24"/>
                <w14:textFill>
                  <w14:solidFill>
                    <w14:schemeClr w14:val="tx1"/>
                  </w14:solidFill>
                </w14:textFill>
              </w:rPr>
              <w:t>根据《社会区域类环境影响评价》（环评工程师培训教材），天然气燃烧产生的烟尘产污系数为0.5kg/万m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-原料。</w:t>
            </w:r>
          </w:p>
          <w:p w14:paraId="1F83E252">
            <w:pPr>
              <w:widowControl/>
              <w:spacing w:line="360" w:lineRule="auto"/>
              <w:ind w:firstLine="480" w:firstLineChars="200"/>
              <w:jc w:val="both"/>
              <w:rPr>
                <w:color w:val="000000" w:themeColor="text1"/>
                <w:sz w:val="24"/>
                <w:lang w:bidi="ar"/>
                <w14:textFill>
                  <w14:solidFill>
                    <w14:schemeClr w14:val="tx1"/>
                  </w14:solidFill>
                </w14:textFill>
              </w:rPr>
            </w:pPr>
            <w:r>
              <w:rPr>
                <w:bCs/>
                <w:color w:val="000000" w:themeColor="text1"/>
                <w:sz w:val="24"/>
                <w14:textFill>
                  <w14:solidFill>
                    <w14:schemeClr w14:val="tx1"/>
                  </w14:solidFill>
                </w14:textFill>
              </w:rPr>
              <w:t>环评建议，项目</w:t>
            </w:r>
            <w:r>
              <w:rPr>
                <w:rFonts w:hint="eastAsia"/>
                <w:color w:val="000000"/>
                <w:sz w:val="24"/>
                <w:highlight w:val="none"/>
                <w:lang w:val="en-US" w:eastAsia="zh-CN"/>
              </w:rPr>
              <w:t>8</w:t>
            </w:r>
            <w:r>
              <w:rPr>
                <w:color w:val="000000"/>
                <w:sz w:val="24"/>
                <w:highlight w:val="none"/>
              </w:rPr>
              <w:t>台</w:t>
            </w:r>
            <w:r>
              <w:rPr>
                <w:rFonts w:hint="eastAsia"/>
                <w:color w:val="000000"/>
                <w:sz w:val="24"/>
                <w:highlight w:val="none"/>
                <w:lang w:val="en-US" w:eastAsia="zh-CN"/>
              </w:rPr>
              <w:t>0.1</w:t>
            </w:r>
            <w:r>
              <w:rPr>
                <w:rFonts w:hint="eastAsia"/>
                <w:color w:val="000000"/>
                <w:sz w:val="24"/>
                <w:highlight w:val="none"/>
              </w:rPr>
              <w:t>t</w:t>
            </w:r>
            <w:r>
              <w:rPr>
                <w:color w:val="000000"/>
                <w:sz w:val="24"/>
                <w:highlight w:val="none"/>
              </w:rPr>
              <w:t>/h</w:t>
            </w:r>
            <w:r>
              <w:rPr>
                <w:rFonts w:hint="eastAsia"/>
                <w:color w:val="000000"/>
                <w:sz w:val="24"/>
                <w:highlight w:val="none"/>
                <w:lang w:eastAsia="zh-CN"/>
              </w:rPr>
              <w:t>、</w:t>
            </w:r>
            <w:r>
              <w:rPr>
                <w:rFonts w:hint="eastAsia"/>
                <w:color w:val="000000"/>
                <w:sz w:val="24"/>
                <w:highlight w:val="none"/>
                <w:lang w:val="en-US" w:eastAsia="zh-CN"/>
              </w:rPr>
              <w:t>6台0.15t/h以及1台0.2t/h蒸汽发生器</w:t>
            </w:r>
            <w:r>
              <w:rPr>
                <w:bCs/>
                <w:color w:val="000000" w:themeColor="text1"/>
                <w:sz w:val="24"/>
                <w14:textFill>
                  <w14:solidFill>
                    <w14:schemeClr w14:val="tx1"/>
                  </w14:solidFill>
                </w14:textFill>
              </w:rPr>
              <w:t>天然气燃烧废气</w:t>
            </w:r>
            <w:r>
              <w:rPr>
                <w:rFonts w:hint="eastAsia"/>
                <w:bCs/>
                <w:color w:val="000000" w:themeColor="text1"/>
                <w:sz w:val="24"/>
                <w:lang w:val="en-US" w:eastAsia="zh-CN"/>
                <w14:textFill>
                  <w14:solidFill>
                    <w14:schemeClr w14:val="tx1"/>
                  </w14:solidFill>
                </w14:textFill>
              </w:rPr>
              <w:t>分别</w:t>
            </w:r>
            <w:r>
              <w:rPr>
                <w:bCs/>
                <w:color w:val="000000" w:themeColor="text1"/>
                <w:sz w:val="24"/>
                <w14:textFill>
                  <w14:solidFill>
                    <w14:schemeClr w14:val="tx1"/>
                  </w14:solidFill>
                </w14:textFill>
              </w:rPr>
              <w:t>经</w:t>
            </w:r>
            <w:commentRangeStart w:id="84"/>
            <w:r>
              <w:rPr>
                <w:bCs/>
                <w:color w:val="000000" w:themeColor="text1"/>
                <w:sz w:val="24"/>
                <w14:textFill>
                  <w14:solidFill>
                    <w14:schemeClr w14:val="tx1"/>
                  </w14:solidFill>
                </w14:textFill>
              </w:rPr>
              <w:t>1套低氮燃烧</w:t>
            </w:r>
            <w:commentRangeEnd w:id="84"/>
            <w:r>
              <w:commentReference w:id="84"/>
            </w:r>
            <w:r>
              <w:rPr>
                <w:bCs/>
                <w:color w:val="000000" w:themeColor="text1"/>
                <w:sz w:val="24"/>
                <w14:textFill>
                  <w14:solidFill>
                    <w14:schemeClr w14:val="tx1"/>
                  </w14:solidFill>
                </w14:textFill>
              </w:rPr>
              <w:t>+烟气循环系统</w:t>
            </w:r>
            <w:r>
              <w:rPr>
                <w:rFonts w:hint="eastAsia"/>
                <w:color w:val="000000" w:themeColor="text1"/>
                <w:kern w:val="0"/>
                <w:sz w:val="24"/>
                <w14:textFill>
                  <w14:solidFill>
                    <w14:schemeClr w14:val="tx1"/>
                  </w14:solidFill>
                </w14:textFill>
              </w:rPr>
              <w:t>（TA00</w:t>
            </w:r>
            <w:r>
              <w:rPr>
                <w:rFonts w:hint="eastAsia"/>
                <w:color w:val="000000" w:themeColor="text1"/>
                <w:kern w:val="0"/>
                <w:sz w:val="24"/>
                <w:lang w:val="en-US" w:eastAsia="zh-CN"/>
                <w14:textFill>
                  <w14:solidFill>
                    <w14:schemeClr w14:val="tx1"/>
                  </w14:solidFill>
                </w14:textFill>
              </w:rPr>
              <w:t>5-TA019</w:t>
            </w:r>
            <w:r>
              <w:rPr>
                <w:rFonts w:hint="eastAsia"/>
                <w:color w:val="000000" w:themeColor="text1"/>
                <w:kern w:val="0"/>
                <w:sz w:val="24"/>
                <w14:textFill>
                  <w14:solidFill>
                    <w14:schemeClr w14:val="tx1"/>
                  </w14:solidFill>
                </w14:textFill>
              </w:rPr>
              <w:t>）</w:t>
            </w:r>
            <w:r>
              <w:rPr>
                <w:bCs/>
                <w:color w:val="000000" w:themeColor="text1"/>
                <w:sz w:val="24"/>
                <w14:textFill>
                  <w14:solidFill>
                    <w14:schemeClr w14:val="tx1"/>
                  </w14:solidFill>
                </w14:textFill>
              </w:rPr>
              <w:t>处理后</w:t>
            </w:r>
            <w:r>
              <w:rPr>
                <w:rFonts w:hint="eastAsia"/>
                <w:bCs/>
                <w:color w:val="000000" w:themeColor="text1"/>
                <w:sz w:val="24"/>
                <w:lang w:val="en-US" w:eastAsia="zh-CN"/>
                <w14:textFill>
                  <w14:solidFill>
                    <w14:schemeClr w14:val="tx1"/>
                  </w14:solidFill>
                </w14:textFill>
              </w:rPr>
              <w:t>通过</w:t>
            </w:r>
            <w:r>
              <w:rPr>
                <w:bCs/>
                <w:color w:val="000000" w:themeColor="text1"/>
                <w:sz w:val="24"/>
                <w14:textFill>
                  <w14:solidFill>
                    <w14:schemeClr w14:val="tx1"/>
                  </w14:solidFill>
                </w14:textFill>
              </w:rPr>
              <w:t>1根</w:t>
            </w:r>
            <w:r>
              <w:rPr>
                <w:rFonts w:hint="eastAsia"/>
                <w:bCs/>
                <w:color w:val="000000" w:themeColor="text1"/>
                <w:sz w:val="24"/>
                <w14:textFill>
                  <w14:solidFill>
                    <w14:schemeClr w14:val="tx1"/>
                  </w14:solidFill>
                </w14:textFill>
              </w:rPr>
              <w:t>15</w:t>
            </w:r>
            <w:r>
              <w:rPr>
                <w:bCs/>
                <w:color w:val="000000" w:themeColor="text1"/>
                <w:sz w:val="24"/>
                <w14:textFill>
                  <w14:solidFill>
                    <w14:schemeClr w14:val="tx1"/>
                  </w14:solidFill>
                </w14:textFill>
              </w:rPr>
              <w:t>m高排气筒</w:t>
            </w:r>
            <w:r>
              <w:rPr>
                <w:rFonts w:hint="eastAsia"/>
                <w:color w:val="000000" w:themeColor="text1"/>
                <w:kern w:val="0"/>
                <w:sz w:val="24"/>
                <w14:textFill>
                  <w14:solidFill>
                    <w14:schemeClr w14:val="tx1"/>
                  </w14:solidFill>
                </w14:textFill>
              </w:rPr>
              <w:t>（DA00</w:t>
            </w:r>
            <w:r>
              <w:rPr>
                <w:rFonts w:hint="eastAsia"/>
                <w:color w:val="000000" w:themeColor="text1"/>
                <w:kern w:val="0"/>
                <w:sz w:val="24"/>
                <w:lang w:val="en-US" w:eastAsia="zh-CN"/>
                <w14:textFill>
                  <w14:solidFill>
                    <w14:schemeClr w14:val="tx1"/>
                  </w14:solidFill>
                </w14:textFill>
              </w:rPr>
              <w:t>4</w:t>
            </w:r>
            <w:r>
              <w:rPr>
                <w:rFonts w:hint="eastAsia"/>
                <w:color w:val="000000" w:themeColor="text1"/>
                <w:kern w:val="0"/>
                <w:sz w:val="24"/>
                <w14:textFill>
                  <w14:solidFill>
                    <w14:schemeClr w14:val="tx1"/>
                  </w14:solidFill>
                </w14:textFill>
              </w:rPr>
              <w:t>）</w:t>
            </w:r>
            <w:r>
              <w:rPr>
                <w:bCs/>
                <w:color w:val="000000" w:themeColor="text1"/>
                <w:sz w:val="24"/>
                <w14:textFill>
                  <w14:solidFill>
                    <w14:schemeClr w14:val="tx1"/>
                  </w14:solidFill>
                </w14:textFill>
              </w:rPr>
              <w:t>排放。</w:t>
            </w:r>
            <w:r>
              <w:rPr>
                <w:rFonts w:hint="eastAsia"/>
                <w:color w:val="000000" w:themeColor="text1"/>
                <w:sz w:val="24"/>
                <w14:textFill>
                  <w14:solidFill>
                    <w14:schemeClr w14:val="tx1"/>
                  </w14:solidFill>
                </w14:textFill>
              </w:rPr>
              <w:t>项目</w:t>
            </w:r>
            <w:r>
              <w:rPr>
                <w:rFonts w:hint="eastAsia"/>
                <w:color w:val="000000"/>
                <w:sz w:val="24"/>
                <w:highlight w:val="none"/>
                <w:lang w:val="en-US" w:eastAsia="zh-CN"/>
              </w:rPr>
              <w:t>8</w:t>
            </w:r>
            <w:r>
              <w:rPr>
                <w:color w:val="000000"/>
                <w:sz w:val="24"/>
                <w:highlight w:val="none"/>
              </w:rPr>
              <w:t>台</w:t>
            </w:r>
            <w:r>
              <w:rPr>
                <w:rFonts w:hint="eastAsia"/>
                <w:color w:val="000000"/>
                <w:sz w:val="24"/>
                <w:highlight w:val="none"/>
                <w:lang w:val="en-US" w:eastAsia="zh-CN"/>
              </w:rPr>
              <w:t>0.1</w:t>
            </w:r>
            <w:r>
              <w:rPr>
                <w:rFonts w:hint="eastAsia"/>
                <w:color w:val="000000"/>
                <w:sz w:val="24"/>
                <w:highlight w:val="none"/>
              </w:rPr>
              <w:t>t</w:t>
            </w:r>
            <w:r>
              <w:rPr>
                <w:color w:val="000000"/>
                <w:sz w:val="24"/>
                <w:highlight w:val="none"/>
              </w:rPr>
              <w:t>/h</w:t>
            </w:r>
            <w:r>
              <w:rPr>
                <w:rFonts w:hint="eastAsia"/>
                <w:color w:val="000000"/>
                <w:sz w:val="24"/>
                <w:highlight w:val="none"/>
                <w:lang w:eastAsia="zh-CN"/>
              </w:rPr>
              <w:t>、</w:t>
            </w:r>
            <w:r>
              <w:rPr>
                <w:rFonts w:hint="eastAsia"/>
                <w:color w:val="000000"/>
                <w:sz w:val="24"/>
                <w:highlight w:val="none"/>
                <w:lang w:val="en-US" w:eastAsia="zh-CN"/>
              </w:rPr>
              <w:t>6台0.15t/h以及1台0.2t/h蒸汽发生器</w:t>
            </w:r>
            <w:r>
              <w:rPr>
                <w:color w:val="000000" w:themeColor="text1"/>
                <w:sz w:val="24"/>
                <w14:textFill>
                  <w14:solidFill>
                    <w14:schemeClr w14:val="tx1"/>
                  </w14:solidFill>
                </w14:textFill>
              </w:rPr>
              <w:t>天然气用量为</w:t>
            </w:r>
            <w:r>
              <w:rPr>
                <w:rFonts w:hint="eastAsia" w:cs="Times New Roman"/>
                <w:color w:val="000000" w:themeColor="text1"/>
                <w:sz w:val="24"/>
                <w:szCs w:val="24"/>
                <w:highlight w:val="none"/>
                <w:lang w:val="en-US" w:eastAsia="zh-CN"/>
                <w14:textFill>
                  <w14:solidFill>
                    <w14:schemeClr w14:val="tx1"/>
                  </w14:solidFill>
                </w14:textFill>
              </w:rPr>
              <w:t>116870.4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color w:val="000000" w:themeColor="text1"/>
                <w:sz w:val="24"/>
                <w:lang w:bidi="ar"/>
                <w14:textFill>
                  <w14:solidFill>
                    <w14:schemeClr w14:val="tx1"/>
                  </w14:solidFill>
                </w14:textFill>
              </w:rPr>
              <w:t>经计算</w:t>
            </w:r>
            <w:r>
              <w:rPr>
                <w:rFonts w:hint="eastAsia"/>
                <w:color w:val="000000" w:themeColor="text1"/>
                <w:sz w:val="24"/>
                <w:lang w:bidi="ar"/>
                <w14:textFill>
                  <w14:solidFill>
                    <w14:schemeClr w14:val="tx1"/>
                  </w14:solidFill>
                </w14:textFill>
              </w:rPr>
              <w:t>，</w:t>
            </w:r>
            <w:r>
              <w:rPr>
                <w:color w:val="000000" w:themeColor="text1"/>
                <w:sz w:val="24"/>
                <w:lang w:bidi="ar"/>
                <w14:textFill>
                  <w14:solidFill>
                    <w14:schemeClr w14:val="tx1"/>
                  </w14:solidFill>
                </w14:textFill>
              </w:rPr>
              <w:t>烟尘</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量为</w:t>
            </w:r>
            <w:r>
              <w:rPr>
                <w:color w:val="000000" w:themeColor="text1"/>
                <w:sz w:val="24"/>
                <w14:textFill>
                  <w14:solidFill>
                    <w14:schemeClr w14:val="tx1"/>
                  </w14:solidFill>
                </w14:textFill>
              </w:rPr>
              <w:t>0.0</w:t>
            </w:r>
            <w:r>
              <w:rPr>
                <w:rFonts w:hint="eastAsia"/>
                <w:color w:val="000000" w:themeColor="text1"/>
                <w:sz w:val="24"/>
                <w:lang w:val="en-US" w:eastAsia="zh-CN"/>
                <w14:textFill>
                  <w14:solidFill>
                    <w14:schemeClr w14:val="tx1"/>
                  </w14:solidFill>
                </w14:textFill>
              </w:rPr>
              <w:t>06</w:t>
            </w:r>
            <w:r>
              <w:rPr>
                <w:color w:val="000000" w:themeColor="text1"/>
                <w:sz w:val="24"/>
                <w14:textFill>
                  <w14:solidFill>
                    <w14:schemeClr w14:val="tx1"/>
                  </w14:solidFill>
                </w14:textFill>
              </w:rPr>
              <w:t>t/a（0.0</w:t>
            </w:r>
            <w:r>
              <w:rPr>
                <w:rFonts w:hint="eastAsia"/>
                <w:color w:val="000000" w:themeColor="text1"/>
                <w:sz w:val="24"/>
                <w:lang w:val="en-US" w:eastAsia="zh-CN"/>
                <w14:textFill>
                  <w14:solidFill>
                    <w14:schemeClr w14:val="tx1"/>
                  </w14:solidFill>
                </w14:textFill>
              </w:rPr>
              <w:t>07</w:t>
            </w:r>
            <w:r>
              <w:rPr>
                <w:color w:val="000000" w:themeColor="text1"/>
                <w:sz w:val="24"/>
                <w14:textFill>
                  <w14:solidFill>
                    <w14:schemeClr w14:val="tx1"/>
                  </w14:solidFill>
                </w14:textFill>
              </w:rPr>
              <w:t>kg/h），</w:t>
            </w:r>
            <w:r>
              <w:rPr>
                <w:color w:val="000000" w:themeColor="text1"/>
                <w:sz w:val="24"/>
                <w:lang w:bidi="ar"/>
                <w14:textFill>
                  <w14:solidFill>
                    <w14:schemeClr w14:val="tx1"/>
                  </w14:solidFill>
                </w14:textFill>
              </w:rPr>
              <w:t>二氧化硫</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量为0.0</w:t>
            </w:r>
            <w:r>
              <w:rPr>
                <w:rFonts w:hint="eastAsia"/>
                <w:color w:val="000000" w:themeColor="text1"/>
                <w:sz w:val="24"/>
                <w:lang w:val="en-US" w:eastAsia="zh-CN" w:bidi="ar"/>
                <w14:textFill>
                  <w14:solidFill>
                    <w14:schemeClr w14:val="tx1"/>
                  </w14:solidFill>
                </w14:textFill>
              </w:rPr>
              <w:t>05</w:t>
            </w:r>
            <w:r>
              <w:rPr>
                <w:color w:val="000000" w:themeColor="text1"/>
                <w:sz w:val="24"/>
                <w:lang w:bidi="ar"/>
                <w14:textFill>
                  <w14:solidFill>
                    <w14:schemeClr w14:val="tx1"/>
                  </w14:solidFill>
                </w14:textFill>
              </w:rPr>
              <w:t>t/a（0.0</w:t>
            </w:r>
            <w:r>
              <w:rPr>
                <w:rFonts w:hint="eastAsia"/>
                <w:color w:val="000000" w:themeColor="text1"/>
                <w:sz w:val="24"/>
                <w:lang w:val="en-US" w:eastAsia="zh-CN" w:bidi="ar"/>
                <w14:textFill>
                  <w14:solidFill>
                    <w14:schemeClr w14:val="tx1"/>
                  </w14:solidFill>
                </w14:textFill>
              </w:rPr>
              <w:t>06</w:t>
            </w:r>
            <w:r>
              <w:rPr>
                <w:color w:val="000000" w:themeColor="text1"/>
                <w:sz w:val="24"/>
                <w:lang w:bidi="ar"/>
                <w14:textFill>
                  <w14:solidFill>
                    <w14:schemeClr w14:val="tx1"/>
                  </w14:solidFill>
                </w14:textFill>
              </w:rPr>
              <w:t>kg/h），氮氧化物</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量为</w:t>
            </w:r>
            <w:r>
              <w:rPr>
                <w:rFonts w:hint="eastAsia"/>
                <w:color w:val="000000" w:themeColor="text1"/>
                <w:sz w:val="24"/>
                <w:lang w:val="en-US" w:eastAsia="zh-CN" w:bidi="ar"/>
                <w14:textFill>
                  <w14:solidFill>
                    <w14:schemeClr w14:val="tx1"/>
                  </w14:solidFill>
                </w14:textFill>
              </w:rPr>
              <w:t>0.035</w:t>
            </w:r>
            <w:r>
              <w:rPr>
                <w:color w:val="000000" w:themeColor="text1"/>
                <w:sz w:val="24"/>
                <w:lang w:bidi="ar"/>
                <w14:textFill>
                  <w14:solidFill>
                    <w14:schemeClr w14:val="tx1"/>
                  </w14:solidFill>
                </w14:textFill>
              </w:rPr>
              <w:t>t/a</w:t>
            </w:r>
            <w:r>
              <w:rPr>
                <w:color w:val="000000" w:themeColor="text1"/>
                <w:sz w:val="24"/>
                <w14:textFill>
                  <w14:solidFill>
                    <w14:schemeClr w14:val="tx1"/>
                  </w14:solidFill>
                </w14:textFill>
              </w:rPr>
              <w:t>（0.</w:t>
            </w:r>
            <w:r>
              <w:rPr>
                <w:rFonts w:hint="eastAsia"/>
                <w:color w:val="000000" w:themeColor="text1"/>
                <w:sz w:val="24"/>
                <w:lang w:val="en-US" w:eastAsia="zh-CN"/>
                <w14:textFill>
                  <w14:solidFill>
                    <w14:schemeClr w14:val="tx1"/>
                  </w14:solidFill>
                </w14:textFill>
              </w:rPr>
              <w:t>044</w:t>
            </w:r>
            <w:r>
              <w:rPr>
                <w:color w:val="000000" w:themeColor="text1"/>
                <w:sz w:val="24"/>
                <w14:textFill>
                  <w14:solidFill>
                    <w14:schemeClr w14:val="tx1"/>
                  </w14:solidFill>
                </w14:textFill>
              </w:rPr>
              <w:t>kg/h）</w:t>
            </w:r>
            <w:r>
              <w:rPr>
                <w:color w:val="000000" w:themeColor="text1"/>
                <w:sz w:val="24"/>
                <w:lang w:bidi="ar"/>
                <w14:textFill>
                  <w14:solidFill>
                    <w14:schemeClr w14:val="tx1"/>
                  </w14:solidFill>
                </w14:textFill>
              </w:rPr>
              <w:t>。根据《工业源产排污核算方法和系数手册》（D4430锅炉产排污量核算系数手册—燃气工业锅炉废气产排污系数可知，每燃烧1万立方米天然气产生的烟气量为107753Nm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，项目用天然气</w:t>
            </w:r>
            <w:r>
              <w:rPr>
                <w:rFonts w:hint="eastAsia"/>
                <w:color w:val="000000" w:themeColor="text1"/>
                <w:sz w:val="24"/>
                <w:lang w:val="en-US" w:eastAsia="zh-CN" w:bidi="ar"/>
                <w14:textFill>
                  <w14:solidFill>
                    <w14:schemeClr w14:val="tx1"/>
                  </w14:solidFill>
                </w14:textFill>
              </w:rPr>
              <w:t>116870.4</w:t>
            </w:r>
            <w:r>
              <w:rPr>
                <w:color w:val="000000" w:themeColor="text1"/>
                <w:sz w:val="24"/>
                <w:lang w:bidi="ar"/>
                <w14:textFill>
                  <w14:solidFill>
                    <w14:schemeClr w14:val="tx1"/>
                  </w14:solidFill>
                </w14:textFill>
              </w:rPr>
              <w:t>立方米，则天然气燃烧废气量为</w:t>
            </w:r>
            <w:r>
              <w:rPr>
                <w:rFonts w:hint="eastAsia"/>
                <w:color w:val="000000" w:themeColor="text1"/>
                <w:sz w:val="24"/>
                <w:lang w:val="en-US" w:eastAsia="zh-CN" w:bidi="ar"/>
                <w14:textFill>
                  <w14:solidFill>
                    <w14:schemeClr w14:val="tx1"/>
                  </w14:solidFill>
                </w14:textFill>
              </w:rPr>
              <w:t>125.931</w:t>
            </w:r>
            <w:r>
              <w:rPr>
                <w:color w:val="000000" w:themeColor="text1"/>
                <w:sz w:val="24"/>
                <w14:textFill>
                  <w14:solidFill>
                    <w14:schemeClr w14:val="tx1"/>
                  </w14:solidFill>
                </w14:textFill>
              </w:rPr>
              <w:t>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lang w:val="en-US" w:eastAsia="zh-CN"/>
                <w14:textFill>
                  <w14:solidFill>
                    <w14:schemeClr w14:val="tx1"/>
                  </w14:solidFill>
                </w14:textFill>
              </w:rPr>
              <w:t>1574.142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color w:val="000000" w:themeColor="text1"/>
                <w:sz w:val="24"/>
                <w:lang w:bidi="ar"/>
                <w14:textFill>
                  <w14:solidFill>
                    <w14:schemeClr w14:val="tx1"/>
                  </w14:solidFill>
                </w14:textFill>
              </w:rPr>
              <w:t>。经计算天然气燃烧废气：颗粒物</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浓度为</w:t>
            </w:r>
            <w:r>
              <w:rPr>
                <w:rFonts w:hint="eastAsia"/>
                <w:color w:val="000000" w:themeColor="text1"/>
                <w:sz w:val="24"/>
                <w:lang w:val="en-US" w:eastAsia="zh-CN" w:bidi="ar"/>
                <w14:textFill>
                  <w14:solidFill>
                    <w14:schemeClr w14:val="tx1"/>
                  </w14:solidFill>
                </w14:textFill>
              </w:rPr>
              <w:t>4.640</w:t>
            </w:r>
            <w:r>
              <w:rPr>
                <w:color w:val="000000" w:themeColor="text1"/>
                <w:sz w:val="24"/>
                <w:lang w:bidi="ar"/>
                <w14:textFill>
                  <w14:solidFill>
                    <w14:schemeClr w14:val="tx1"/>
                  </w14:solidFill>
                </w14:textFill>
              </w:rPr>
              <w:t>mg/m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，二氧化硫</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浓度为3.</w:t>
            </w:r>
            <w:r>
              <w:rPr>
                <w:rFonts w:hint="eastAsia"/>
                <w:color w:val="000000" w:themeColor="text1"/>
                <w:sz w:val="24"/>
                <w:lang w:val="en-US" w:eastAsia="zh-CN" w:bidi="ar"/>
                <w14:textFill>
                  <w14:solidFill>
                    <w14:schemeClr w14:val="tx1"/>
                  </w14:solidFill>
                </w14:textFill>
              </w:rPr>
              <w:t>712</w:t>
            </w:r>
            <w:r>
              <w:rPr>
                <w:color w:val="000000" w:themeColor="text1"/>
                <w:sz w:val="24"/>
                <w:lang w:bidi="ar"/>
                <w14:textFill>
                  <w14:solidFill>
                    <w14:schemeClr w14:val="tx1"/>
                  </w14:solidFill>
                </w14:textFill>
              </w:rPr>
              <w:t>mg/m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，氮氧化物</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浓度为</w:t>
            </w:r>
            <w:r>
              <w:rPr>
                <w:rFonts w:hint="eastAsia"/>
                <w:color w:val="000000" w:themeColor="text1"/>
                <w:sz w:val="24"/>
                <w:lang w:val="en-US" w:eastAsia="zh-CN" w:bidi="ar"/>
                <w14:textFill>
                  <w14:solidFill>
                    <w14:schemeClr w14:val="tx1"/>
                  </w14:solidFill>
                </w14:textFill>
              </w:rPr>
              <w:t>28.120</w:t>
            </w:r>
            <w:r>
              <w:rPr>
                <w:color w:val="000000" w:themeColor="text1"/>
                <w:sz w:val="24"/>
                <w:lang w:bidi="ar"/>
                <w14:textFill>
                  <w14:solidFill>
                    <w14:schemeClr w14:val="tx1"/>
                  </w14:solidFill>
                </w14:textFill>
              </w:rPr>
              <w:t>mg/m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w:t>
            </w:r>
          </w:p>
          <w:p w14:paraId="63FE4BE0">
            <w:pPr>
              <w:pStyle w:val="4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000000" w:themeColor="text1"/>
                <w:kern w:val="52"/>
                <w:sz w:val="24"/>
                <w:highlight w:val="none"/>
                <w14:textFill>
                  <w14:solidFill>
                    <w14:schemeClr w14:val="tx1"/>
                  </w14:solidFill>
                </w14:textFill>
              </w:rPr>
            </w:pPr>
            <w:r>
              <w:rPr>
                <w:rFonts w:hint="default" w:ascii="Times New Roman" w:hAnsi="Times New Roman" w:cs="Times New Roman"/>
                <w:color w:val="000000" w:themeColor="text1"/>
                <w:sz w:val="24"/>
                <w:lang w:eastAsia="zh-CN" w:bidi="ar"/>
                <w14:textFill>
                  <w14:solidFill>
                    <w14:schemeClr w14:val="tx1"/>
                  </w14:solidFill>
                </w14:textFill>
              </w:rPr>
              <w:t>（</w:t>
            </w:r>
            <w:r>
              <w:rPr>
                <w:rFonts w:hint="default" w:ascii="Times New Roman" w:hAnsi="Times New Roman" w:cs="Times New Roman"/>
                <w:color w:val="000000" w:themeColor="text1"/>
                <w:sz w:val="24"/>
                <w:lang w:val="en-US" w:eastAsia="zh-CN" w:bidi="ar"/>
                <w14:textFill>
                  <w14:solidFill>
                    <w14:schemeClr w14:val="tx1"/>
                  </w14:solidFill>
                </w14:textFill>
              </w:rPr>
              <w:t>4</w:t>
            </w:r>
            <w:r>
              <w:rPr>
                <w:rFonts w:hint="default" w:ascii="Times New Roman" w:hAnsi="Times New Roman" w:cs="Times New Roman"/>
                <w:color w:val="000000" w:themeColor="text1"/>
                <w:sz w:val="24"/>
                <w:lang w:eastAsia="zh-CN" w:bidi="ar"/>
                <w14:textFill>
                  <w14:solidFill>
                    <w14:schemeClr w14:val="tx1"/>
                  </w14:solidFill>
                </w14:textFill>
              </w:rPr>
              <w:t>）</w:t>
            </w:r>
            <w:r>
              <w:rPr>
                <w:rFonts w:hint="default" w:ascii="Times New Roman" w:hAnsi="Times New Roman" w:cs="Times New Roman"/>
                <w:color w:val="000000" w:themeColor="text1"/>
                <w:kern w:val="52"/>
                <w:sz w:val="24"/>
                <w:highlight w:val="none"/>
                <w14:textFill>
                  <w14:solidFill>
                    <w14:schemeClr w14:val="tx1"/>
                  </w14:solidFill>
                </w14:textFill>
              </w:rPr>
              <w:t>污水处理站产生的恶臭</w:t>
            </w:r>
          </w:p>
          <w:p w14:paraId="5FF555D1">
            <w:pPr>
              <w:adjustRightInd w:val="0"/>
              <w:snapToGrid w:val="0"/>
              <w:spacing w:line="360" w:lineRule="auto"/>
              <w:ind w:firstLine="480" w:firstLineChars="200"/>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本项目厂区污水处理站处理工艺为</w:t>
            </w:r>
            <w:r>
              <w:rPr>
                <w:rFonts w:hint="eastAsia" w:ascii="Times New Roman" w:hAnsi="Times New Roman" w:cs="Times New Roman"/>
                <w:color w:val="000000" w:themeColor="text1"/>
                <w:kern w:val="0"/>
                <w:sz w:val="24"/>
                <w:highlight w:val="none"/>
                <w:lang w:eastAsia="zh-CN" w:bidi="ar"/>
                <w14:textFill>
                  <w14:solidFill>
                    <w14:schemeClr w14:val="tx1"/>
                  </w14:solidFill>
                </w14:textFill>
              </w:rPr>
              <w:t>“</w:t>
            </w:r>
            <w:r>
              <w:rPr>
                <w:rFonts w:hint="default" w:ascii="Times New Roman" w:hAnsi="Times New Roman" w:eastAsia="Times" w:cs="Times New Roman"/>
                <w:color w:val="000000" w:themeColor="text1"/>
                <w:kern w:val="0"/>
                <w:sz w:val="24"/>
                <w:highlight w:val="none"/>
                <w:lang w:bidi="ar"/>
                <w14:textFill>
                  <w14:solidFill>
                    <w14:schemeClr w14:val="tx1"/>
                  </w14:solidFill>
                </w14:textFill>
              </w:rPr>
              <w:t>综合废水-</w:t>
            </w:r>
            <w:r>
              <w:rPr>
                <w:rFonts w:hint="default" w:ascii="Times New Roman" w:hAnsi="Times New Roman" w:eastAsia="Times" w:cs="Times New Roman"/>
                <w:color w:val="000000" w:themeColor="text1"/>
                <w:kern w:val="0"/>
                <w:sz w:val="24"/>
                <w:highlight w:val="none"/>
                <w:lang w:val="en-US" w:eastAsia="zh-CN" w:bidi="ar"/>
                <w14:textFill>
                  <w14:solidFill>
                    <w14:schemeClr w14:val="tx1"/>
                  </w14:solidFill>
                </w14:textFill>
              </w:rPr>
              <w:t>格栅+隔油池+A/O+沉淀</w:t>
            </w:r>
            <w:r>
              <w:rPr>
                <w:rFonts w:hint="default" w:ascii="Times New Roman" w:hAnsi="Times New Roman" w:eastAsia="Times" w:cs="Times New Roman"/>
                <w:color w:val="000000" w:themeColor="text1"/>
                <w:kern w:val="0"/>
                <w:sz w:val="24"/>
                <w:highlight w:val="none"/>
                <w:lang w:bidi="ar"/>
                <w14:textFill>
                  <w14:solidFill>
                    <w14:schemeClr w14:val="tx1"/>
                  </w14:solidFill>
                </w14:textFill>
              </w:rPr>
              <w:t>池-出水</w:t>
            </w:r>
            <w:r>
              <w:rPr>
                <w:rFonts w:hint="eastAsia" w:ascii="Times New Roman" w:hAnsi="Times New Roman" w:cs="Times New Roman"/>
                <w:color w:val="000000" w:themeColor="text1"/>
                <w:kern w:val="0"/>
                <w:sz w:val="24"/>
                <w:highlight w:val="none"/>
                <w:lang w:eastAsia="zh-CN" w:bidi="ar"/>
                <w14:textFill>
                  <w14:solidFill>
                    <w14:schemeClr w14:val="tx1"/>
                  </w14:solidFill>
                </w14:textFill>
              </w:rPr>
              <w:t>”</w:t>
            </w:r>
            <w:r>
              <w:rPr>
                <w:rFonts w:hint="default" w:ascii="Times New Roman" w:hAnsi="Times New Roman" w:cs="Times New Roman"/>
                <w:color w:val="000000" w:themeColor="text1"/>
                <w:kern w:val="0"/>
                <w:sz w:val="24"/>
                <w:highlight w:val="none"/>
                <w:lang w:bidi="ar"/>
                <w14:textFill>
                  <w14:solidFill>
                    <w14:schemeClr w14:val="tx1"/>
                  </w14:solidFill>
                </w14:textFill>
              </w:rPr>
              <w:t>，密封性较好，生物处理过程中产生恶臭，主要为H</w:t>
            </w:r>
            <w:r>
              <w:rPr>
                <w:rFonts w:hint="default" w:ascii="Times New Roman" w:hAnsi="Times New Roman" w:cs="Times New Roman"/>
                <w:color w:val="000000" w:themeColor="text1"/>
                <w:kern w:val="0"/>
                <w:sz w:val="14"/>
                <w:szCs w:val="14"/>
                <w:highlight w:val="none"/>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S、NH</w:t>
            </w:r>
            <w:r>
              <w:rPr>
                <w:rFonts w:hint="default" w:ascii="Times New Roman" w:hAnsi="Times New Roman" w:cs="Times New Roman"/>
                <w:color w:val="000000" w:themeColor="text1"/>
                <w:kern w:val="0"/>
                <w:sz w:val="14"/>
                <w:szCs w:val="14"/>
                <w:highlight w:val="none"/>
                <w:lang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以及臭气浓度。</w:t>
            </w:r>
          </w:p>
          <w:p w14:paraId="1316745A">
            <w:pPr>
              <w:tabs>
                <w:tab w:val="left" w:pos="1081"/>
              </w:tabs>
              <w:adjustRightInd w:val="0"/>
              <w:snapToGrid w:val="0"/>
              <w:spacing w:line="360" w:lineRule="auto"/>
              <w:ind w:firstLine="480" w:firstLineChars="200"/>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为了确定恶臭废气中NH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和H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S的产生情况，本次评价恶臭废气源强采用美国EPA对城市污水处理厂恶臭污染物产生情况的研究，每处理1gBOD</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5</w:t>
            </w:r>
            <w:r>
              <w:rPr>
                <w:rFonts w:hint="default" w:ascii="Times New Roman" w:hAnsi="Times New Roman" w:cs="Times New Roman"/>
                <w:color w:val="000000" w:themeColor="text1"/>
                <w:kern w:val="0"/>
                <w:sz w:val="24"/>
                <w:highlight w:val="none"/>
                <w:lang w:bidi="ar"/>
                <w14:textFill>
                  <w14:solidFill>
                    <w14:schemeClr w14:val="tx1"/>
                  </w14:solidFill>
                </w14:textFill>
              </w:rPr>
              <w:t>可产生0.0031gNH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和0.00012gH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S；根据水环境影响分析可知，</w:t>
            </w:r>
            <w:r>
              <w:rPr>
                <w:rFonts w:hint="default" w:ascii="Times New Roman" w:hAnsi="Times New Roman" w:cs="Times New Roman"/>
                <w:color w:val="000000" w:themeColor="text1"/>
                <w:sz w:val="24"/>
                <w:highlight w:val="none"/>
                <w14:textFill>
                  <w14:solidFill>
                    <w14:schemeClr w14:val="tx1"/>
                  </w14:solidFill>
                </w14:textFill>
              </w:rPr>
              <w:t>本项目污水</w:t>
            </w:r>
            <w:commentRangeStart w:id="85"/>
            <w:r>
              <w:rPr>
                <w:rFonts w:hint="default" w:ascii="Times New Roman" w:hAnsi="Times New Roman" w:cs="Times New Roman"/>
                <w:color w:val="000000" w:themeColor="text1"/>
                <w:sz w:val="24"/>
                <w:highlight w:val="none"/>
                <w14:textFill>
                  <w14:solidFill>
                    <w14:schemeClr w14:val="tx1"/>
                  </w14:solidFill>
                </w14:textFill>
              </w:rPr>
              <w:t>处理站处理规模为</w:t>
            </w:r>
            <w:r>
              <w:rPr>
                <w:rFonts w:hint="eastAsia" w:ascii="Times New Roman" w:hAnsi="Times New Roman" w:cs="Times New Roman"/>
                <w:color w:val="000000" w:themeColor="text1"/>
                <w:sz w:val="24"/>
                <w:highlight w:val="none"/>
                <w:lang w:val="en-US" w:eastAsia="zh-CN"/>
                <w14:textFill>
                  <w14:solidFill>
                    <w14:schemeClr w14:val="tx1"/>
                  </w14:solidFill>
                </w14:textFill>
              </w:rPr>
              <w:t>5</w:t>
            </w:r>
            <w:r>
              <w:rPr>
                <w:rFonts w:hint="default" w:ascii="Times New Roman" w:hAnsi="Times New Roman" w:cs="Times New Roman"/>
                <w:color w:val="000000" w:themeColor="text1"/>
                <w:sz w:val="24"/>
                <w:highlight w:val="none"/>
                <w14:textFill>
                  <w14:solidFill>
                    <w14:schemeClr w14:val="tx1"/>
                  </w14:solidFill>
                </w14:textFill>
              </w:rPr>
              <w:t>0m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/d，</w:t>
            </w:r>
            <w:commentRangeEnd w:id="85"/>
            <w:r>
              <w:commentReference w:id="85"/>
            </w:r>
            <w:r>
              <w:rPr>
                <w:rFonts w:hint="default" w:ascii="Times New Roman" w:hAnsi="Times New Roman" w:cs="Times New Roman"/>
                <w:color w:val="000000" w:themeColor="text1"/>
                <w:kern w:val="0"/>
                <w:sz w:val="24"/>
                <w:highlight w:val="none"/>
                <w:lang w:bidi="ar"/>
                <w14:textFill>
                  <w14:solidFill>
                    <w14:schemeClr w14:val="tx1"/>
                  </w14:solidFill>
                </w14:textFill>
              </w:rPr>
              <w:t>本项目污水处理站BOD</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5</w:t>
            </w:r>
            <w:r>
              <w:rPr>
                <w:rFonts w:hint="default" w:ascii="Times New Roman" w:hAnsi="Times New Roman" w:cs="Times New Roman"/>
                <w:color w:val="000000" w:themeColor="text1"/>
                <w:kern w:val="0"/>
                <w:sz w:val="24"/>
                <w:highlight w:val="none"/>
                <w:lang w:bidi="ar"/>
                <w14:textFill>
                  <w14:solidFill>
                    <w14:schemeClr w14:val="tx1"/>
                  </w14:solidFill>
                </w14:textFill>
              </w:rPr>
              <w:t>处理量约</w:t>
            </w:r>
            <w:r>
              <w:rPr>
                <w:rFonts w:hint="eastAsia" w:ascii="Times New Roman" w:hAnsi="Times New Roman" w:cs="Times New Roman"/>
                <w:color w:val="000000" w:themeColor="text1"/>
                <w:kern w:val="0"/>
                <w:sz w:val="24"/>
                <w:highlight w:val="none"/>
                <w:lang w:val="en-US" w:eastAsia="zh-CN" w:bidi="ar"/>
                <w14:textFill>
                  <w14:solidFill>
                    <w14:schemeClr w14:val="tx1"/>
                  </w14:solidFill>
                </w14:textFill>
              </w:rPr>
              <w:t>2.885</w:t>
            </w:r>
            <w:r>
              <w:rPr>
                <w:rFonts w:hint="default" w:ascii="Times New Roman" w:hAnsi="Times New Roman" w:cs="Times New Roman"/>
                <w:color w:val="000000" w:themeColor="text1"/>
                <w:kern w:val="0"/>
                <w:sz w:val="24"/>
                <w:highlight w:val="none"/>
                <w:lang w:bidi="ar"/>
                <w14:textFill>
                  <w14:solidFill>
                    <w14:schemeClr w14:val="tx1"/>
                  </w14:solidFill>
                </w14:textFill>
              </w:rPr>
              <w:t>t/a，则NH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产生量为0.0</w:t>
            </w:r>
            <w:r>
              <w:rPr>
                <w:rFonts w:hint="eastAsia" w:ascii="Times New Roman" w:hAnsi="Times New Roman" w:cs="Times New Roman"/>
                <w:color w:val="000000" w:themeColor="text1"/>
                <w:kern w:val="0"/>
                <w:sz w:val="24"/>
                <w:highlight w:val="none"/>
                <w:lang w:val="en-US" w:eastAsia="zh-CN" w:bidi="ar"/>
                <w14:textFill>
                  <w14:solidFill>
                    <w14:schemeClr w14:val="tx1"/>
                  </w14:solidFill>
                </w14:textFill>
              </w:rPr>
              <w:t>09</w:t>
            </w:r>
            <w:r>
              <w:rPr>
                <w:rFonts w:hint="default" w:ascii="Times New Roman" w:hAnsi="Times New Roman" w:cs="Times New Roman"/>
                <w:color w:val="000000" w:themeColor="text1"/>
                <w:kern w:val="0"/>
                <w:sz w:val="24"/>
                <w:highlight w:val="none"/>
                <w:lang w:bidi="ar"/>
                <w14:textFill>
                  <w14:solidFill>
                    <w14:schemeClr w14:val="tx1"/>
                  </w14:solidFill>
                </w14:textFill>
              </w:rPr>
              <w:t>t/a，</w:t>
            </w:r>
            <w:r>
              <w:rPr>
                <w:rFonts w:hint="default" w:ascii="Times New Roman" w:hAnsi="Times New Roman" w:cs="Times New Roman"/>
                <w:color w:val="000000" w:themeColor="text1"/>
                <w:sz w:val="24"/>
                <w:highlight w:val="none"/>
                <w14:textFill>
                  <w14:solidFill>
                    <w14:schemeClr w14:val="tx1"/>
                  </w14:solidFill>
                </w14:textFill>
              </w:rPr>
              <w:t>产生速率为0.00</w:t>
            </w:r>
            <w:r>
              <w:rPr>
                <w:rFonts w:hint="default" w:ascii="Times New Roman" w:hAnsi="Times New Roman"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kg/h；</w:t>
            </w:r>
            <w:r>
              <w:rPr>
                <w:rFonts w:hint="default" w:ascii="Times New Roman" w:hAnsi="Times New Roman" w:cs="Times New Roman"/>
                <w:color w:val="000000" w:themeColor="text1"/>
                <w:kern w:val="0"/>
                <w:sz w:val="24"/>
                <w:highlight w:val="none"/>
                <w:lang w:bidi="ar"/>
                <w14:textFill>
                  <w14:solidFill>
                    <w14:schemeClr w14:val="tx1"/>
                  </w14:solidFill>
                </w14:textFill>
              </w:rPr>
              <w:t>H</w:t>
            </w:r>
            <w:r>
              <w:rPr>
                <w:rFonts w:hint="default" w:ascii="Times New Roman" w:hAnsi="Times New Roman" w:cs="Times New Roman"/>
                <w:color w:val="000000" w:themeColor="text1"/>
                <w:kern w:val="0"/>
                <w:sz w:val="15"/>
                <w:szCs w:val="15"/>
                <w:highlight w:val="none"/>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S产生量为0.000</w:t>
            </w:r>
            <w:r>
              <w:rPr>
                <w:rFonts w:hint="eastAsia" w:ascii="Times New Roman" w:hAnsi="Times New Roman" w:cs="Times New Roman"/>
                <w:color w:val="000000" w:themeColor="text1"/>
                <w:kern w:val="0"/>
                <w:sz w:val="24"/>
                <w:highlight w:val="none"/>
                <w:lang w:val="en-US" w:eastAsia="zh-CN"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t/a，</w:t>
            </w:r>
            <w:r>
              <w:rPr>
                <w:rFonts w:hint="default" w:ascii="Times New Roman" w:hAnsi="Times New Roman" w:cs="Times New Roman"/>
                <w:color w:val="000000" w:themeColor="text1"/>
                <w:sz w:val="24"/>
                <w:highlight w:val="none"/>
                <w14:textFill>
                  <w14:solidFill>
                    <w14:schemeClr w14:val="tx1"/>
                  </w14:solidFill>
                </w14:textFill>
              </w:rPr>
              <w:t>产生速率为0.000</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kg/h</w:t>
            </w:r>
            <w:r>
              <w:rPr>
                <w:rFonts w:hint="default" w:ascii="Times New Roman" w:hAnsi="Times New Roman" w:cs="Times New Roman"/>
                <w:color w:val="000000" w:themeColor="text1"/>
                <w:kern w:val="0"/>
                <w:sz w:val="24"/>
                <w:highlight w:val="none"/>
                <w:lang w:bidi="ar"/>
                <w14:textFill>
                  <w14:solidFill>
                    <w14:schemeClr w14:val="tx1"/>
                  </w14:solidFill>
                </w14:textFill>
              </w:rPr>
              <w:t>。</w:t>
            </w:r>
          </w:p>
          <w:p w14:paraId="2AEBC9D9">
            <w:pPr>
              <w:adjustRightInd w:val="0"/>
              <w:snapToGrid w:val="0"/>
              <w:spacing w:line="360" w:lineRule="auto"/>
              <w:ind w:firstLine="480" w:firstLineChars="200"/>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为减少污水站恶臭对周边影响，应将污水处理站加盖密闭，加强污水处理站的运行操作管理，使污水处理站处理良好的运作状态，且严格控制污泥在厂区的存放时间，及时清运，并加大厂区绿化面积、定期喷洒除臭剂等，来降低污水处理站产生的恶臭影响。</w:t>
            </w:r>
          </w:p>
          <w:p w14:paraId="54341B94">
            <w:pPr>
              <w:tabs>
                <w:tab w:val="left" w:pos="1081"/>
              </w:tabs>
              <w:adjustRightInd w:val="0"/>
              <w:snapToGrid w:val="0"/>
              <w:spacing w:line="360" w:lineRule="auto"/>
              <w:ind w:firstLine="480" w:firstLineChars="200"/>
              <w:jc w:val="left"/>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项目营运期废气产排情况见下表。</w:t>
            </w:r>
          </w:p>
          <w:p w14:paraId="15CB71CB">
            <w:pPr>
              <w:tabs>
                <w:tab w:val="left" w:pos="1081"/>
              </w:tabs>
              <w:adjustRightInd w:val="0"/>
              <w:snapToGrid w:val="0"/>
              <w:spacing w:line="360" w:lineRule="auto"/>
              <w:jc w:val="center"/>
              <w:rPr>
                <w:b/>
                <w:color w:val="000000" w:themeColor="text1"/>
                <w:sz w:val="24"/>
                <w:u w:val="none"/>
                <w14:textFill>
                  <w14:solidFill>
                    <w14:schemeClr w14:val="tx1"/>
                  </w14:solidFill>
                </w14:textFill>
              </w:rPr>
            </w:pPr>
            <w:r>
              <w:rPr>
                <w:b/>
                <w:color w:val="000000" w:themeColor="text1"/>
                <w:sz w:val="24"/>
                <w:u w:val="none"/>
                <w14:textFill>
                  <w14:solidFill>
                    <w14:schemeClr w14:val="tx1"/>
                  </w14:solidFill>
                </w14:textFill>
              </w:rPr>
              <w:t>表4-</w:t>
            </w:r>
            <w:r>
              <w:rPr>
                <w:rFonts w:hint="eastAsia"/>
                <w:b/>
                <w:color w:val="000000" w:themeColor="text1"/>
                <w:sz w:val="24"/>
                <w:u w:val="none"/>
                <w:lang w:val="en-US" w:eastAsia="zh-CN"/>
                <w14:textFill>
                  <w14:solidFill>
                    <w14:schemeClr w14:val="tx1"/>
                  </w14:solidFill>
                </w14:textFill>
              </w:rPr>
              <w:t xml:space="preserve">2  </w:t>
            </w:r>
            <w:r>
              <w:rPr>
                <w:b/>
                <w:color w:val="000000" w:themeColor="text1"/>
                <w:sz w:val="24"/>
                <w:u w:val="none"/>
                <w14:textFill>
                  <w14:solidFill>
                    <w14:schemeClr w14:val="tx1"/>
                  </w14:solidFill>
                </w14:textFill>
              </w:rPr>
              <w:t>项目营运期废气产排情况及治理措施一览表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426"/>
              <w:gridCol w:w="763"/>
              <w:gridCol w:w="850"/>
              <w:gridCol w:w="850"/>
              <w:gridCol w:w="734"/>
              <w:gridCol w:w="800"/>
              <w:gridCol w:w="2083"/>
              <w:gridCol w:w="783"/>
              <w:gridCol w:w="702"/>
              <w:gridCol w:w="796"/>
            </w:tblGrid>
            <w:tr w14:paraId="4AEB5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restart"/>
                  <w:noWrap w:val="0"/>
                  <w:vAlign w:val="center"/>
                </w:tcPr>
                <w:p w14:paraId="6F4E3AA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排放形式</w:t>
                  </w:r>
                </w:p>
              </w:tc>
              <w:tc>
                <w:tcPr>
                  <w:tcW w:w="645" w:type="pct"/>
                  <w:gridSpan w:val="2"/>
                  <w:vMerge w:val="restart"/>
                  <w:noWrap w:val="0"/>
                  <w:vAlign w:val="center"/>
                </w:tcPr>
                <w:p w14:paraId="0AB0A0E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产排污环节</w:t>
                  </w:r>
                </w:p>
              </w:tc>
              <w:tc>
                <w:tcPr>
                  <w:tcW w:w="461" w:type="pct"/>
                  <w:vMerge w:val="restart"/>
                  <w:noWrap w:val="0"/>
                  <w:vAlign w:val="center"/>
                </w:tcPr>
                <w:p w14:paraId="456CFF7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污染因子</w:t>
                  </w:r>
                </w:p>
              </w:tc>
              <w:tc>
                <w:tcPr>
                  <w:tcW w:w="1293" w:type="pct"/>
                  <w:gridSpan w:val="3"/>
                  <w:noWrap w:val="0"/>
                  <w:vAlign w:val="center"/>
                </w:tcPr>
                <w:p w14:paraId="330B114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产生情况</w:t>
                  </w:r>
                </w:p>
              </w:tc>
              <w:tc>
                <w:tcPr>
                  <w:tcW w:w="1130" w:type="pct"/>
                  <w:noWrap w:val="0"/>
                  <w:vAlign w:val="center"/>
                </w:tcPr>
                <w:p w14:paraId="39D0F19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治理情况</w:t>
                  </w:r>
                </w:p>
              </w:tc>
              <w:tc>
                <w:tcPr>
                  <w:tcW w:w="1238" w:type="pct"/>
                  <w:gridSpan w:val="3"/>
                  <w:noWrap w:val="0"/>
                  <w:vAlign w:val="center"/>
                </w:tcPr>
                <w:p w14:paraId="41AEBB8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排放情况</w:t>
                  </w:r>
                </w:p>
              </w:tc>
            </w:tr>
            <w:tr w14:paraId="63D24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1DF8E37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645" w:type="pct"/>
                  <w:gridSpan w:val="2"/>
                  <w:vMerge w:val="continue"/>
                  <w:noWrap w:val="0"/>
                  <w:vAlign w:val="center"/>
                </w:tcPr>
                <w:p w14:paraId="729A39F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61" w:type="pct"/>
                  <w:vMerge w:val="continue"/>
                  <w:noWrap w:val="0"/>
                  <w:vAlign w:val="center"/>
                </w:tcPr>
                <w:p w14:paraId="28D2D55C">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61" w:type="pct"/>
                  <w:noWrap w:val="0"/>
                  <w:vAlign w:val="center"/>
                </w:tcPr>
                <w:p w14:paraId="4485D6A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产生量t/a</w:t>
                  </w:r>
                </w:p>
              </w:tc>
              <w:tc>
                <w:tcPr>
                  <w:tcW w:w="398" w:type="pct"/>
                  <w:noWrap w:val="0"/>
                  <w:vAlign w:val="center"/>
                </w:tcPr>
                <w:p w14:paraId="6266829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产生速率kg/h</w:t>
                  </w:r>
                </w:p>
              </w:tc>
              <w:tc>
                <w:tcPr>
                  <w:tcW w:w="434" w:type="pct"/>
                  <w:noWrap w:val="0"/>
                  <w:vAlign w:val="center"/>
                </w:tcPr>
                <w:p w14:paraId="3CC8E283">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产生</w:t>
                  </w:r>
                  <w:r>
                    <w:rPr>
                      <w:rFonts w:hint="default" w:ascii="Times New Roman" w:hAnsi="Times New Roman" w:eastAsia="宋体" w:cs="Times New Roman"/>
                      <w:color w:val="000000" w:themeColor="text1"/>
                      <w:sz w:val="21"/>
                      <w:szCs w:val="21"/>
                      <w:u w:val="none"/>
                      <w14:textFill>
                        <w14:solidFill>
                          <w14:schemeClr w14:val="tx1"/>
                        </w14:solidFill>
                      </w14:textFill>
                    </w:rPr>
                    <w:t>浓度mg/m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p>
              </w:tc>
              <w:tc>
                <w:tcPr>
                  <w:tcW w:w="1130" w:type="pct"/>
                  <w:noWrap w:val="0"/>
                  <w:vAlign w:val="center"/>
                </w:tcPr>
                <w:p w14:paraId="5E2E5432">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治理设施</w:t>
                  </w:r>
                </w:p>
              </w:tc>
              <w:tc>
                <w:tcPr>
                  <w:tcW w:w="424" w:type="pct"/>
                  <w:noWrap w:val="0"/>
                  <w:vAlign w:val="center"/>
                </w:tcPr>
                <w:p w14:paraId="4BFB1B4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排放量t/a</w:t>
                  </w:r>
                </w:p>
              </w:tc>
              <w:tc>
                <w:tcPr>
                  <w:tcW w:w="381" w:type="pct"/>
                  <w:noWrap w:val="0"/>
                  <w:vAlign w:val="center"/>
                </w:tcPr>
                <w:p w14:paraId="0CEB44D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排放速率kg/h</w:t>
                  </w:r>
                </w:p>
              </w:tc>
              <w:tc>
                <w:tcPr>
                  <w:tcW w:w="432" w:type="pct"/>
                  <w:noWrap w:val="0"/>
                  <w:vAlign w:val="center"/>
                </w:tcPr>
                <w:p w14:paraId="586DEC0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GB" w:eastAsia="zh-TW"/>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排放</w:t>
                  </w:r>
                  <w:r>
                    <w:rPr>
                      <w:rFonts w:hint="default" w:ascii="Times New Roman" w:hAnsi="Times New Roman" w:eastAsia="宋体" w:cs="Times New Roman"/>
                      <w:color w:val="000000" w:themeColor="text1"/>
                      <w:sz w:val="21"/>
                      <w:szCs w:val="21"/>
                      <w:u w:val="none"/>
                      <w14:textFill>
                        <w14:solidFill>
                          <w14:schemeClr w14:val="tx1"/>
                        </w14:solidFill>
                      </w14:textFill>
                    </w:rPr>
                    <w:t>浓度</w:t>
                  </w:r>
                </w:p>
                <w:p w14:paraId="21631D7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mg/m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p>
              </w:tc>
            </w:tr>
            <w:tr w14:paraId="19000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restart"/>
                  <w:noWrap w:val="0"/>
                  <w:vAlign w:val="center"/>
                </w:tcPr>
                <w:p w14:paraId="3D1C1A9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废气</w:t>
                  </w:r>
                </w:p>
              </w:tc>
              <w:tc>
                <w:tcPr>
                  <w:tcW w:w="231" w:type="pct"/>
                  <w:vMerge w:val="restart"/>
                  <w:noWrap w:val="0"/>
                  <w:vAlign w:val="center"/>
                </w:tcPr>
                <w:p w14:paraId="150A482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r>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t>有组织</w:t>
                  </w:r>
                </w:p>
              </w:tc>
              <w:tc>
                <w:tcPr>
                  <w:tcW w:w="414" w:type="pct"/>
                  <w:vMerge w:val="restart"/>
                  <w:shd w:val="clear" w:color="auto" w:fill="auto"/>
                  <w:noWrap w:val="0"/>
                  <w:vAlign w:val="center"/>
                </w:tcPr>
                <w:p w14:paraId="4E66AFE1">
                  <w:pPr>
                    <w:jc w:val="center"/>
                    <w:outlineLvl w:val="0"/>
                    <w:rPr>
                      <w:rFonts w:hint="default"/>
                      <w:color w:val="000000" w:themeColor="text1"/>
                      <w:sz w:val="21"/>
                      <w:szCs w:val="21"/>
                      <w:u w:val="none"/>
                      <w:lang w:val="en-US" w:eastAsia="zh-CN"/>
                      <w14:textFill>
                        <w14:solidFill>
                          <w14:schemeClr w14:val="tx1"/>
                        </w14:solidFill>
                      </w14:textFill>
                    </w:rPr>
                  </w:pPr>
                  <w:r>
                    <w:rPr>
                      <w:rFonts w:hint="default"/>
                      <w:color w:val="000000" w:themeColor="text1"/>
                      <w:sz w:val="21"/>
                      <w:szCs w:val="21"/>
                      <w:u w:val="none"/>
                      <w:lang w:val="en-US" w:eastAsia="zh-CN"/>
                      <w14:textFill>
                        <w14:solidFill>
                          <w14:schemeClr w14:val="tx1"/>
                        </w14:solidFill>
                      </w14:textFill>
                    </w:rPr>
                    <w:t>熟化废气</w:t>
                  </w:r>
                </w:p>
              </w:tc>
              <w:tc>
                <w:tcPr>
                  <w:tcW w:w="461" w:type="pct"/>
                  <w:shd w:val="clear" w:color="auto" w:fill="auto"/>
                  <w:noWrap w:val="0"/>
                  <w:vAlign w:val="center"/>
                </w:tcPr>
                <w:p w14:paraId="0A5D1E9B">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461" w:type="pct"/>
                  <w:noWrap w:val="0"/>
                  <w:vAlign w:val="center"/>
                </w:tcPr>
                <w:p w14:paraId="5E3079F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0.046</w:t>
                  </w:r>
                </w:p>
              </w:tc>
              <w:tc>
                <w:tcPr>
                  <w:tcW w:w="398" w:type="pct"/>
                  <w:noWrap w:val="0"/>
                  <w:vAlign w:val="center"/>
                </w:tcPr>
                <w:p w14:paraId="07CCDD96">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0.077</w:t>
                  </w:r>
                </w:p>
              </w:tc>
              <w:tc>
                <w:tcPr>
                  <w:tcW w:w="434" w:type="pct"/>
                  <w:noWrap w:val="0"/>
                  <w:vAlign w:val="center"/>
                </w:tcPr>
                <w:p w14:paraId="66D915C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15.333</w:t>
                  </w:r>
                </w:p>
              </w:tc>
              <w:tc>
                <w:tcPr>
                  <w:tcW w:w="1130" w:type="pct"/>
                  <w:vMerge w:val="restart"/>
                  <w:noWrap w:val="0"/>
                  <w:vAlign w:val="center"/>
                </w:tcPr>
                <w:p w14:paraId="4A252A7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经集气罩</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收集后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通过静电油烟净化器</w:t>
                  </w:r>
                  <w:r>
                    <w:rPr>
                      <w:rFonts w:hint="eastAsia" w:cs="Times New Roman"/>
                      <w:color w:val="000000" w:themeColor="text1"/>
                      <w:sz w:val="21"/>
                      <w:szCs w:val="21"/>
                      <w:u w:val="none"/>
                      <w:lang w:val="en-US" w:eastAsia="zh-CN"/>
                      <w14:textFill>
                        <w14:solidFill>
                          <w14:schemeClr w14:val="tx1"/>
                        </w14:solidFill>
                      </w14:textFill>
                    </w:rPr>
                    <w:t>（TA001-TA002）</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处理后经1根15m排气筒（DA001）排放</w:t>
                  </w:r>
                </w:p>
              </w:tc>
              <w:tc>
                <w:tcPr>
                  <w:tcW w:w="424" w:type="pct"/>
                  <w:shd w:val="clear" w:color="auto" w:fill="auto"/>
                  <w:noWrap w:val="0"/>
                  <w:vAlign w:val="center"/>
                </w:tcPr>
                <w:p w14:paraId="212DB642">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0.002</w:t>
                  </w:r>
                </w:p>
              </w:tc>
              <w:tc>
                <w:tcPr>
                  <w:tcW w:w="381" w:type="pct"/>
                  <w:shd w:val="clear" w:color="auto" w:fill="auto"/>
                  <w:noWrap w:val="0"/>
                  <w:vAlign w:val="center"/>
                </w:tcPr>
                <w:p w14:paraId="01B1A59D">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0.004</w:t>
                  </w:r>
                </w:p>
              </w:tc>
              <w:tc>
                <w:tcPr>
                  <w:tcW w:w="432" w:type="pct"/>
                  <w:noWrap w:val="0"/>
                  <w:vAlign w:val="center"/>
                </w:tcPr>
                <w:p w14:paraId="7626DE2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0.767</w:t>
                  </w:r>
                </w:p>
              </w:tc>
            </w:tr>
            <w:tr w14:paraId="52B96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06DE41E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21A68B6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14" w:type="pct"/>
                  <w:vMerge w:val="continue"/>
                  <w:shd w:val="clear" w:color="auto" w:fill="auto"/>
                  <w:noWrap w:val="0"/>
                  <w:vAlign w:val="center"/>
                </w:tcPr>
                <w:p w14:paraId="4A00BFAC">
                  <w:pPr>
                    <w:jc w:val="center"/>
                    <w:outlineLvl w:val="0"/>
                    <w:rPr>
                      <w:rFonts w:hint="default"/>
                      <w:color w:val="000000" w:themeColor="text1"/>
                      <w:sz w:val="21"/>
                      <w:szCs w:val="21"/>
                      <w:u w:val="none"/>
                      <w:lang w:val="en-US" w:eastAsia="zh-CN"/>
                      <w14:textFill>
                        <w14:solidFill>
                          <w14:schemeClr w14:val="tx1"/>
                        </w14:solidFill>
                      </w14:textFill>
                    </w:rPr>
                  </w:pPr>
                </w:p>
              </w:tc>
              <w:tc>
                <w:tcPr>
                  <w:tcW w:w="461" w:type="pct"/>
                  <w:shd w:val="clear" w:color="auto" w:fill="auto"/>
                  <w:noWrap w:val="0"/>
                  <w:vAlign w:val="center"/>
                </w:tcPr>
                <w:p w14:paraId="39349FF7">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461" w:type="pct"/>
                  <w:noWrap w:val="0"/>
                  <w:vAlign w:val="center"/>
                </w:tcPr>
                <w:p w14:paraId="46B21B1C">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0.020</w:t>
                  </w:r>
                </w:p>
              </w:tc>
              <w:tc>
                <w:tcPr>
                  <w:tcW w:w="398" w:type="pct"/>
                  <w:noWrap w:val="0"/>
                  <w:vAlign w:val="center"/>
                </w:tcPr>
                <w:p w14:paraId="1275D314">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434" w:type="pct"/>
                  <w:noWrap w:val="0"/>
                  <w:vAlign w:val="center"/>
                </w:tcPr>
                <w:p w14:paraId="7E834677">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c>
                <w:tcPr>
                  <w:tcW w:w="1130" w:type="pct"/>
                  <w:vMerge w:val="continue"/>
                  <w:noWrap w:val="0"/>
                  <w:vAlign w:val="center"/>
                </w:tcPr>
                <w:p w14:paraId="2E73E0BD">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424" w:type="pct"/>
                  <w:shd w:val="clear" w:color="auto" w:fill="auto"/>
                  <w:noWrap w:val="0"/>
                  <w:vAlign w:val="center"/>
                </w:tcPr>
                <w:p w14:paraId="45EF809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sz w:val="21"/>
                      <w:szCs w:val="21"/>
                      <w:lang w:eastAsia="zh-TW"/>
                    </w:rPr>
                  </w:pPr>
                  <w:r>
                    <w:rPr>
                      <w:rFonts w:hint="eastAsia" w:ascii="Times New Roman" w:hAnsi="Times New Roman" w:cs="Times New Roman"/>
                      <w:sz w:val="21"/>
                      <w:szCs w:val="21"/>
                      <w:lang w:val="en-US" w:eastAsia="zh-CN"/>
                    </w:rPr>
                    <w:t>0.020</w:t>
                  </w:r>
                </w:p>
              </w:tc>
              <w:tc>
                <w:tcPr>
                  <w:tcW w:w="381" w:type="pct"/>
                  <w:shd w:val="clear" w:color="auto" w:fill="auto"/>
                  <w:noWrap w:val="0"/>
                  <w:vAlign w:val="center"/>
                </w:tcPr>
                <w:p w14:paraId="6CA817A4">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432" w:type="pct"/>
                  <w:noWrap w:val="0"/>
                  <w:vAlign w:val="center"/>
                </w:tcPr>
                <w:p w14:paraId="737AAB56">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r>
            <w:tr w14:paraId="48955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37D8A45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0FD831D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14" w:type="pct"/>
                  <w:vMerge w:val="restart"/>
                  <w:shd w:val="clear" w:color="auto" w:fill="auto"/>
                  <w:noWrap w:val="0"/>
                  <w:vAlign w:val="center"/>
                </w:tcPr>
                <w:p w14:paraId="12B7EADD">
                  <w:pPr>
                    <w:jc w:val="center"/>
                    <w:outlineLvl w:val="0"/>
                    <w:rPr>
                      <w:rFonts w:hint="default"/>
                      <w:color w:val="000000" w:themeColor="text1"/>
                      <w:sz w:val="21"/>
                      <w:szCs w:val="21"/>
                      <w:u w:val="none"/>
                      <w:lang w:val="en-US" w:eastAsia="zh-CN"/>
                      <w14:textFill>
                        <w14:solidFill>
                          <w14:schemeClr w14:val="tx1"/>
                        </w14:solidFill>
                      </w14:textFill>
                    </w:rPr>
                  </w:pPr>
                  <w:r>
                    <w:rPr>
                      <w:rFonts w:hint="default"/>
                      <w:color w:val="000000" w:themeColor="text1"/>
                      <w:sz w:val="21"/>
                      <w:szCs w:val="21"/>
                      <w:u w:val="none"/>
                      <w:lang w:val="en-US" w:eastAsia="zh-CN"/>
                      <w14:textFill>
                        <w14:solidFill>
                          <w14:schemeClr w14:val="tx1"/>
                        </w14:solidFill>
                      </w14:textFill>
                    </w:rPr>
                    <w:t>熟化废气</w:t>
                  </w:r>
                </w:p>
              </w:tc>
              <w:tc>
                <w:tcPr>
                  <w:tcW w:w="461" w:type="pct"/>
                  <w:shd w:val="clear" w:color="auto" w:fill="auto"/>
                  <w:noWrap w:val="0"/>
                  <w:vAlign w:val="center"/>
                </w:tcPr>
                <w:p w14:paraId="2793963D">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461" w:type="pct"/>
                  <w:noWrap w:val="0"/>
                  <w:vAlign w:val="center"/>
                </w:tcPr>
                <w:p w14:paraId="155B74D0">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0.046</w:t>
                  </w:r>
                </w:p>
              </w:tc>
              <w:tc>
                <w:tcPr>
                  <w:tcW w:w="398" w:type="pct"/>
                  <w:noWrap w:val="0"/>
                  <w:vAlign w:val="center"/>
                </w:tcPr>
                <w:p w14:paraId="78886091">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0.077</w:t>
                  </w:r>
                </w:p>
              </w:tc>
              <w:tc>
                <w:tcPr>
                  <w:tcW w:w="434" w:type="pct"/>
                  <w:noWrap w:val="0"/>
                  <w:vAlign w:val="center"/>
                </w:tcPr>
                <w:p w14:paraId="57ACC3E5">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15.333</w:t>
                  </w:r>
                </w:p>
              </w:tc>
              <w:tc>
                <w:tcPr>
                  <w:tcW w:w="1130" w:type="pct"/>
                  <w:vMerge w:val="restart"/>
                  <w:noWrap w:val="0"/>
                  <w:vAlign w:val="center"/>
                </w:tcPr>
                <w:p w14:paraId="3507567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经集气罩</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收集后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通过静电油烟净化器</w:t>
                  </w:r>
                  <w:r>
                    <w:rPr>
                      <w:rFonts w:hint="eastAsia" w:cs="Times New Roman"/>
                      <w:color w:val="000000" w:themeColor="text1"/>
                      <w:sz w:val="21"/>
                      <w:szCs w:val="21"/>
                      <w:u w:val="none"/>
                      <w:lang w:val="en-US" w:eastAsia="zh-CN"/>
                      <w14:textFill>
                        <w14:solidFill>
                          <w14:schemeClr w14:val="tx1"/>
                        </w14:solidFill>
                      </w14:textFill>
                    </w:rPr>
                    <w:t>（TA003）</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处理后经1根15m排气筒（DA00</w:t>
                  </w:r>
                  <w:r>
                    <w:rPr>
                      <w:rFonts w:hint="eastAsia" w:cs="Times New Roman"/>
                      <w:color w:val="000000" w:themeColor="text1"/>
                      <w:sz w:val="21"/>
                      <w:szCs w:val="21"/>
                      <w:u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）排放</w:t>
                  </w:r>
                </w:p>
              </w:tc>
              <w:tc>
                <w:tcPr>
                  <w:tcW w:w="424" w:type="pct"/>
                  <w:shd w:val="clear" w:color="auto" w:fill="auto"/>
                  <w:noWrap w:val="0"/>
                  <w:vAlign w:val="center"/>
                </w:tcPr>
                <w:p w14:paraId="6C696028">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0.002</w:t>
                  </w:r>
                </w:p>
              </w:tc>
              <w:tc>
                <w:tcPr>
                  <w:tcW w:w="381" w:type="pct"/>
                  <w:shd w:val="clear" w:color="auto" w:fill="auto"/>
                  <w:noWrap w:val="0"/>
                  <w:vAlign w:val="center"/>
                </w:tcPr>
                <w:p w14:paraId="7F5EA9EB">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0.004</w:t>
                  </w:r>
                </w:p>
              </w:tc>
              <w:tc>
                <w:tcPr>
                  <w:tcW w:w="432" w:type="pct"/>
                  <w:noWrap w:val="0"/>
                  <w:vAlign w:val="center"/>
                </w:tcPr>
                <w:p w14:paraId="63F5EAFB">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0.767</w:t>
                  </w:r>
                </w:p>
              </w:tc>
            </w:tr>
            <w:tr w14:paraId="16D64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58E0350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5D2DB42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14" w:type="pct"/>
                  <w:vMerge w:val="continue"/>
                  <w:shd w:val="clear" w:color="auto" w:fill="auto"/>
                  <w:noWrap w:val="0"/>
                  <w:vAlign w:val="center"/>
                </w:tcPr>
                <w:p w14:paraId="5A011730">
                  <w:pPr>
                    <w:jc w:val="center"/>
                    <w:outlineLvl w:val="0"/>
                    <w:rPr>
                      <w:rFonts w:hint="default"/>
                      <w:color w:val="000000" w:themeColor="text1"/>
                      <w:sz w:val="21"/>
                      <w:szCs w:val="21"/>
                      <w:u w:val="none"/>
                      <w:lang w:val="en-US" w:eastAsia="zh-CN"/>
                      <w14:textFill>
                        <w14:solidFill>
                          <w14:schemeClr w14:val="tx1"/>
                        </w14:solidFill>
                      </w14:textFill>
                    </w:rPr>
                  </w:pPr>
                </w:p>
              </w:tc>
              <w:tc>
                <w:tcPr>
                  <w:tcW w:w="461" w:type="pct"/>
                  <w:shd w:val="clear" w:color="auto" w:fill="auto"/>
                  <w:noWrap w:val="0"/>
                  <w:vAlign w:val="center"/>
                </w:tcPr>
                <w:p w14:paraId="628A0206">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461" w:type="pct"/>
                  <w:noWrap w:val="0"/>
                  <w:vAlign w:val="center"/>
                </w:tcPr>
                <w:p w14:paraId="64686B80">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0.020</w:t>
                  </w:r>
                </w:p>
              </w:tc>
              <w:tc>
                <w:tcPr>
                  <w:tcW w:w="398" w:type="pct"/>
                  <w:noWrap w:val="0"/>
                  <w:vAlign w:val="center"/>
                </w:tcPr>
                <w:p w14:paraId="56B6C329">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434" w:type="pct"/>
                  <w:noWrap w:val="0"/>
                  <w:vAlign w:val="center"/>
                </w:tcPr>
                <w:p w14:paraId="4FE145EF">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c>
                <w:tcPr>
                  <w:tcW w:w="1130" w:type="pct"/>
                  <w:vMerge w:val="continue"/>
                  <w:noWrap w:val="0"/>
                  <w:vAlign w:val="center"/>
                </w:tcPr>
                <w:p w14:paraId="63AA3C5D">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424" w:type="pct"/>
                  <w:shd w:val="clear" w:color="auto" w:fill="auto"/>
                  <w:noWrap w:val="0"/>
                  <w:vAlign w:val="center"/>
                </w:tcPr>
                <w:p w14:paraId="106A7B4E">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0.020</w:t>
                  </w:r>
                </w:p>
              </w:tc>
              <w:tc>
                <w:tcPr>
                  <w:tcW w:w="381" w:type="pct"/>
                  <w:shd w:val="clear" w:color="auto" w:fill="auto"/>
                  <w:noWrap w:val="0"/>
                  <w:vAlign w:val="center"/>
                </w:tcPr>
                <w:p w14:paraId="5104A624">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432" w:type="pct"/>
                  <w:noWrap w:val="0"/>
                  <w:vAlign w:val="center"/>
                </w:tcPr>
                <w:p w14:paraId="010052F6">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r>
            <w:tr w14:paraId="427CE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20D290F4">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3DAFE5B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14" w:type="pct"/>
                  <w:vMerge w:val="restart"/>
                  <w:shd w:val="clear" w:color="auto" w:fill="auto"/>
                  <w:noWrap w:val="0"/>
                  <w:vAlign w:val="center"/>
                </w:tcPr>
                <w:p w14:paraId="16555693">
                  <w:pPr>
                    <w:jc w:val="center"/>
                    <w:outlineLvl w:val="0"/>
                    <w:rPr>
                      <w:rFonts w:hint="default"/>
                      <w:color w:val="000000" w:themeColor="text1"/>
                      <w:sz w:val="21"/>
                      <w:szCs w:val="21"/>
                      <w:u w:val="none"/>
                      <w:lang w:val="en-US" w:eastAsia="zh-CN"/>
                      <w14:textFill>
                        <w14:solidFill>
                          <w14:schemeClr w14:val="tx1"/>
                        </w14:solidFill>
                      </w14:textFill>
                    </w:rPr>
                  </w:pPr>
                  <w:r>
                    <w:rPr>
                      <w:rFonts w:hint="default"/>
                      <w:color w:val="000000" w:themeColor="text1"/>
                      <w:sz w:val="21"/>
                      <w:szCs w:val="21"/>
                      <w:u w:val="none"/>
                      <w:lang w:val="en-US" w:eastAsia="zh-CN"/>
                      <w14:textFill>
                        <w14:solidFill>
                          <w14:schemeClr w14:val="tx1"/>
                        </w14:solidFill>
                      </w14:textFill>
                    </w:rPr>
                    <w:t>熟化废气</w:t>
                  </w:r>
                </w:p>
              </w:tc>
              <w:tc>
                <w:tcPr>
                  <w:tcW w:w="461" w:type="pct"/>
                  <w:shd w:val="clear" w:color="auto" w:fill="auto"/>
                  <w:noWrap w:val="0"/>
                  <w:vAlign w:val="center"/>
                </w:tcPr>
                <w:p w14:paraId="441B7589">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461" w:type="pct"/>
                  <w:noWrap w:val="0"/>
                  <w:vAlign w:val="center"/>
                </w:tcPr>
                <w:p w14:paraId="405ACED8">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0.046</w:t>
                  </w:r>
                </w:p>
              </w:tc>
              <w:tc>
                <w:tcPr>
                  <w:tcW w:w="398" w:type="pct"/>
                  <w:noWrap w:val="0"/>
                  <w:vAlign w:val="center"/>
                </w:tcPr>
                <w:p w14:paraId="6187E651">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0.077</w:t>
                  </w:r>
                </w:p>
              </w:tc>
              <w:tc>
                <w:tcPr>
                  <w:tcW w:w="434" w:type="pct"/>
                  <w:noWrap w:val="0"/>
                  <w:vAlign w:val="center"/>
                </w:tcPr>
                <w:p w14:paraId="4ED2889E">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15.333</w:t>
                  </w:r>
                </w:p>
              </w:tc>
              <w:tc>
                <w:tcPr>
                  <w:tcW w:w="1130" w:type="pct"/>
                  <w:vMerge w:val="restart"/>
                  <w:noWrap w:val="0"/>
                  <w:vAlign w:val="center"/>
                </w:tcPr>
                <w:p w14:paraId="17BF0B2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经集气罩</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收集后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通过静电油烟净化器</w:t>
                  </w:r>
                  <w:r>
                    <w:rPr>
                      <w:rFonts w:hint="eastAsia" w:cs="Times New Roman"/>
                      <w:color w:val="000000" w:themeColor="text1"/>
                      <w:sz w:val="21"/>
                      <w:szCs w:val="21"/>
                      <w:u w:val="none"/>
                      <w:lang w:val="en-US" w:eastAsia="zh-CN"/>
                      <w14:textFill>
                        <w14:solidFill>
                          <w14:schemeClr w14:val="tx1"/>
                        </w14:solidFill>
                      </w14:textFill>
                    </w:rPr>
                    <w:t>（TA004）</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处理后经1根15m排气筒（DA00</w:t>
                  </w:r>
                  <w:r>
                    <w:rPr>
                      <w:rFonts w:hint="eastAsia" w:cs="Times New Roman"/>
                      <w:color w:val="000000" w:themeColor="text1"/>
                      <w:sz w:val="21"/>
                      <w:szCs w:val="21"/>
                      <w:u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）排放</w:t>
                  </w:r>
                </w:p>
              </w:tc>
              <w:tc>
                <w:tcPr>
                  <w:tcW w:w="424" w:type="pct"/>
                  <w:shd w:val="clear" w:color="auto" w:fill="auto"/>
                  <w:noWrap w:val="0"/>
                  <w:vAlign w:val="center"/>
                </w:tcPr>
                <w:p w14:paraId="0AD90F3A">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0.002</w:t>
                  </w:r>
                </w:p>
              </w:tc>
              <w:tc>
                <w:tcPr>
                  <w:tcW w:w="381" w:type="pct"/>
                  <w:shd w:val="clear" w:color="auto" w:fill="auto"/>
                  <w:noWrap w:val="0"/>
                  <w:vAlign w:val="center"/>
                </w:tcPr>
                <w:p w14:paraId="7304D56B">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0.004</w:t>
                  </w:r>
                </w:p>
              </w:tc>
              <w:tc>
                <w:tcPr>
                  <w:tcW w:w="432" w:type="pct"/>
                  <w:noWrap w:val="0"/>
                  <w:vAlign w:val="center"/>
                </w:tcPr>
                <w:p w14:paraId="3D7FE7BD">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0.767</w:t>
                  </w:r>
                </w:p>
              </w:tc>
            </w:tr>
            <w:tr w14:paraId="1863D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7865ADD3">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718D1B53">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14" w:type="pct"/>
                  <w:vMerge w:val="continue"/>
                  <w:shd w:val="clear" w:color="auto" w:fill="auto"/>
                  <w:noWrap w:val="0"/>
                  <w:vAlign w:val="center"/>
                </w:tcPr>
                <w:p w14:paraId="6BEE0A97">
                  <w:pPr>
                    <w:jc w:val="center"/>
                    <w:outlineLvl w:val="0"/>
                    <w:rPr>
                      <w:rFonts w:hint="default"/>
                      <w:color w:val="000000" w:themeColor="text1"/>
                      <w:sz w:val="21"/>
                      <w:szCs w:val="21"/>
                      <w:u w:val="none"/>
                      <w:lang w:val="en-US" w:eastAsia="zh-CN"/>
                      <w14:textFill>
                        <w14:solidFill>
                          <w14:schemeClr w14:val="tx1"/>
                        </w14:solidFill>
                      </w14:textFill>
                    </w:rPr>
                  </w:pPr>
                </w:p>
              </w:tc>
              <w:tc>
                <w:tcPr>
                  <w:tcW w:w="461" w:type="pct"/>
                  <w:shd w:val="clear" w:color="auto" w:fill="auto"/>
                  <w:noWrap w:val="0"/>
                  <w:vAlign w:val="center"/>
                </w:tcPr>
                <w:p w14:paraId="12DF1421">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461" w:type="pct"/>
                  <w:noWrap w:val="0"/>
                  <w:vAlign w:val="center"/>
                </w:tcPr>
                <w:p w14:paraId="0A683375">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0.020</w:t>
                  </w:r>
                </w:p>
              </w:tc>
              <w:tc>
                <w:tcPr>
                  <w:tcW w:w="398" w:type="pct"/>
                  <w:noWrap w:val="0"/>
                  <w:vAlign w:val="center"/>
                </w:tcPr>
                <w:p w14:paraId="222EDC03">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434" w:type="pct"/>
                  <w:noWrap w:val="0"/>
                  <w:vAlign w:val="center"/>
                </w:tcPr>
                <w:p w14:paraId="7B4F8918">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c>
                <w:tcPr>
                  <w:tcW w:w="1130" w:type="pct"/>
                  <w:vMerge w:val="continue"/>
                  <w:noWrap w:val="0"/>
                  <w:vAlign w:val="center"/>
                </w:tcPr>
                <w:p w14:paraId="46605604">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424" w:type="pct"/>
                  <w:shd w:val="clear" w:color="auto" w:fill="auto"/>
                  <w:noWrap w:val="0"/>
                  <w:vAlign w:val="center"/>
                </w:tcPr>
                <w:p w14:paraId="29EABC58">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0.020</w:t>
                  </w:r>
                </w:p>
              </w:tc>
              <w:tc>
                <w:tcPr>
                  <w:tcW w:w="381" w:type="pct"/>
                  <w:shd w:val="clear" w:color="auto" w:fill="auto"/>
                  <w:noWrap w:val="0"/>
                  <w:vAlign w:val="center"/>
                </w:tcPr>
                <w:p w14:paraId="2438DF4F">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432" w:type="pct"/>
                  <w:noWrap w:val="0"/>
                  <w:vAlign w:val="center"/>
                </w:tcPr>
                <w:p w14:paraId="31E90EE0">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r>
            <w:tr w14:paraId="59C40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1EE960C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27EDA10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14" w:type="pct"/>
                  <w:vMerge w:val="restart"/>
                  <w:shd w:val="clear" w:color="auto" w:fill="auto"/>
                  <w:noWrap w:val="0"/>
                  <w:vAlign w:val="center"/>
                </w:tcPr>
                <w:p w14:paraId="7229321B">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天然气蒸汽发生器废气</w:t>
                  </w:r>
                </w:p>
              </w:tc>
              <w:tc>
                <w:tcPr>
                  <w:tcW w:w="461" w:type="pct"/>
                  <w:shd w:val="clear" w:color="auto" w:fill="auto"/>
                  <w:noWrap w:val="0"/>
                  <w:vAlign w:val="center"/>
                </w:tcPr>
                <w:p w14:paraId="09DF1078">
                  <w:pPr>
                    <w:jc w:val="center"/>
                    <w:outlineLvl w:val="0"/>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461" w:type="pct"/>
                  <w:noWrap w:val="0"/>
                  <w:vAlign w:val="center"/>
                </w:tcPr>
                <w:p w14:paraId="45A3DF3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0.006</w:t>
                  </w:r>
                </w:p>
              </w:tc>
              <w:tc>
                <w:tcPr>
                  <w:tcW w:w="398" w:type="pct"/>
                  <w:noWrap w:val="0"/>
                  <w:vAlign w:val="center"/>
                </w:tcPr>
                <w:p w14:paraId="192B9B5E">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w:t>
                  </w:r>
                  <w:r>
                    <w:rPr>
                      <w:rFonts w:hint="eastAsia" w:cs="Times New Roman"/>
                      <w:color w:val="000000" w:themeColor="text1"/>
                      <w:sz w:val="21"/>
                      <w:szCs w:val="21"/>
                      <w:u w:val="none"/>
                      <w:lang w:val="en-US" w:eastAsia="zh-CN"/>
                      <w14:textFill>
                        <w14:solidFill>
                          <w14:schemeClr w14:val="tx1"/>
                        </w14:solidFill>
                      </w14:textFill>
                    </w:rPr>
                    <w:t>7</w:t>
                  </w:r>
                </w:p>
              </w:tc>
              <w:tc>
                <w:tcPr>
                  <w:tcW w:w="434" w:type="pct"/>
                  <w:noWrap w:val="0"/>
                  <w:vAlign w:val="center"/>
                </w:tcPr>
                <w:p w14:paraId="7CF0652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4.640</w:t>
                  </w:r>
                </w:p>
              </w:tc>
              <w:tc>
                <w:tcPr>
                  <w:tcW w:w="1130" w:type="pct"/>
                  <w:vMerge w:val="restart"/>
                  <w:noWrap w:val="0"/>
                  <w:vAlign w:val="center"/>
                </w:tcPr>
                <w:p w14:paraId="38468692">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分别</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经1套低氮燃烧+烟气循环系统（TA00</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5-TA019</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）处理后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1根15m高排气筒（DA00</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）排放</w:t>
                  </w:r>
                </w:p>
              </w:tc>
              <w:tc>
                <w:tcPr>
                  <w:tcW w:w="424" w:type="pct"/>
                  <w:shd w:val="clear" w:color="auto" w:fill="auto"/>
                  <w:noWrap w:val="0"/>
                  <w:vAlign w:val="center"/>
                </w:tcPr>
                <w:p w14:paraId="3E47622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0.006</w:t>
                  </w:r>
                </w:p>
              </w:tc>
              <w:tc>
                <w:tcPr>
                  <w:tcW w:w="381" w:type="pct"/>
                  <w:shd w:val="clear" w:color="auto" w:fill="auto"/>
                  <w:noWrap w:val="0"/>
                  <w:vAlign w:val="center"/>
                </w:tcPr>
                <w:p w14:paraId="422696B4">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w:t>
                  </w:r>
                  <w:r>
                    <w:rPr>
                      <w:rFonts w:hint="eastAsia" w:cs="Times New Roman"/>
                      <w:color w:val="000000" w:themeColor="text1"/>
                      <w:sz w:val="21"/>
                      <w:szCs w:val="21"/>
                      <w:u w:val="none"/>
                      <w:lang w:val="en-US" w:eastAsia="zh-CN"/>
                      <w14:textFill>
                        <w14:solidFill>
                          <w14:schemeClr w14:val="tx1"/>
                        </w14:solidFill>
                      </w14:textFill>
                    </w:rPr>
                    <w:t>7</w:t>
                  </w:r>
                </w:p>
              </w:tc>
              <w:tc>
                <w:tcPr>
                  <w:tcW w:w="432" w:type="pct"/>
                  <w:noWrap w:val="0"/>
                  <w:vAlign w:val="center"/>
                </w:tcPr>
                <w:p w14:paraId="0F38BF84">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4.640</w:t>
                  </w:r>
                </w:p>
              </w:tc>
            </w:tr>
            <w:tr w14:paraId="1956B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7EF0F25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1E125BF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14" w:type="pct"/>
                  <w:vMerge w:val="continue"/>
                  <w:noWrap w:val="0"/>
                  <w:vAlign w:val="center"/>
                </w:tcPr>
                <w:p w14:paraId="2254802D">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pPr>
                </w:p>
              </w:tc>
              <w:tc>
                <w:tcPr>
                  <w:tcW w:w="461" w:type="pct"/>
                  <w:shd w:val="clear" w:color="auto" w:fill="auto"/>
                  <w:noWrap w:val="0"/>
                  <w:vAlign w:val="center"/>
                </w:tcPr>
                <w:p w14:paraId="5634237B">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14:textFill>
                        <w14:solidFill>
                          <w14:schemeClr w14:val="tx1"/>
                        </w14:solidFill>
                      </w14:textFill>
                    </w:rPr>
                    <w:t>SO</w:t>
                  </w:r>
                  <w:r>
                    <w:rPr>
                      <w:rFonts w:hint="eastAsia"/>
                      <w:color w:val="000000" w:themeColor="text1"/>
                      <w:sz w:val="21"/>
                      <w:szCs w:val="21"/>
                      <w:u w:val="none"/>
                      <w:vertAlign w:val="subscript"/>
                      <w14:textFill>
                        <w14:solidFill>
                          <w14:schemeClr w14:val="tx1"/>
                        </w14:solidFill>
                      </w14:textFill>
                    </w:rPr>
                    <w:t>2</w:t>
                  </w:r>
                </w:p>
              </w:tc>
              <w:tc>
                <w:tcPr>
                  <w:tcW w:w="461" w:type="pct"/>
                  <w:noWrap w:val="0"/>
                  <w:vAlign w:val="center"/>
                </w:tcPr>
                <w:p w14:paraId="62EC0CC1">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5</w:t>
                  </w:r>
                </w:p>
              </w:tc>
              <w:tc>
                <w:tcPr>
                  <w:tcW w:w="398" w:type="pct"/>
                  <w:noWrap w:val="0"/>
                  <w:vAlign w:val="center"/>
                </w:tcPr>
                <w:p w14:paraId="592AB1F9">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6</w:t>
                  </w:r>
                </w:p>
              </w:tc>
              <w:tc>
                <w:tcPr>
                  <w:tcW w:w="434" w:type="pct"/>
                  <w:noWrap w:val="0"/>
                  <w:vAlign w:val="center"/>
                </w:tcPr>
                <w:p w14:paraId="2D76548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3.</w:t>
                  </w:r>
                  <w:r>
                    <w:rPr>
                      <w:rFonts w:hint="eastAsia" w:cs="Times New Roman"/>
                      <w:color w:val="000000" w:themeColor="text1"/>
                      <w:kern w:val="2"/>
                      <w:sz w:val="21"/>
                      <w:szCs w:val="21"/>
                      <w:u w:val="none"/>
                      <w:lang w:val="en-US" w:eastAsia="zh-CN" w:bidi="ar-SA"/>
                      <w14:textFill>
                        <w14:solidFill>
                          <w14:schemeClr w14:val="tx1"/>
                        </w14:solidFill>
                      </w14:textFill>
                    </w:rPr>
                    <w:t>712</w:t>
                  </w:r>
                </w:p>
              </w:tc>
              <w:tc>
                <w:tcPr>
                  <w:tcW w:w="1130" w:type="pct"/>
                  <w:vMerge w:val="continue"/>
                  <w:noWrap w:val="0"/>
                  <w:vAlign w:val="center"/>
                </w:tcPr>
                <w:p w14:paraId="603A84C1">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p>
              </w:tc>
              <w:tc>
                <w:tcPr>
                  <w:tcW w:w="424" w:type="pct"/>
                  <w:shd w:val="clear" w:color="auto" w:fill="auto"/>
                  <w:noWrap w:val="0"/>
                  <w:vAlign w:val="center"/>
                </w:tcPr>
                <w:p w14:paraId="0AEFE5E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5</w:t>
                  </w:r>
                </w:p>
              </w:tc>
              <w:tc>
                <w:tcPr>
                  <w:tcW w:w="381" w:type="pct"/>
                  <w:shd w:val="clear" w:color="auto" w:fill="auto"/>
                  <w:noWrap w:val="0"/>
                  <w:vAlign w:val="center"/>
                </w:tcPr>
                <w:p w14:paraId="640F47DF">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6</w:t>
                  </w:r>
                </w:p>
              </w:tc>
              <w:tc>
                <w:tcPr>
                  <w:tcW w:w="432" w:type="pct"/>
                  <w:noWrap w:val="0"/>
                  <w:vAlign w:val="center"/>
                </w:tcPr>
                <w:p w14:paraId="648AEC2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3.</w:t>
                  </w:r>
                  <w:r>
                    <w:rPr>
                      <w:rFonts w:hint="eastAsia" w:cs="Times New Roman"/>
                      <w:color w:val="000000" w:themeColor="text1"/>
                      <w:kern w:val="2"/>
                      <w:sz w:val="21"/>
                      <w:szCs w:val="21"/>
                      <w:u w:val="none"/>
                      <w:lang w:val="en-US" w:eastAsia="zh-CN" w:bidi="ar-SA"/>
                      <w14:textFill>
                        <w14:solidFill>
                          <w14:schemeClr w14:val="tx1"/>
                        </w14:solidFill>
                      </w14:textFill>
                    </w:rPr>
                    <w:t>712</w:t>
                  </w:r>
                </w:p>
              </w:tc>
            </w:tr>
            <w:tr w14:paraId="32361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7213C42C">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633B21C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p>
              </w:tc>
              <w:tc>
                <w:tcPr>
                  <w:tcW w:w="414" w:type="pct"/>
                  <w:vMerge w:val="continue"/>
                  <w:noWrap w:val="0"/>
                  <w:vAlign w:val="center"/>
                </w:tcPr>
                <w:p w14:paraId="7B43BEE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pPr>
                </w:p>
              </w:tc>
              <w:tc>
                <w:tcPr>
                  <w:tcW w:w="461" w:type="pct"/>
                  <w:shd w:val="clear" w:color="auto" w:fill="auto"/>
                  <w:noWrap w:val="0"/>
                  <w:vAlign w:val="center"/>
                </w:tcPr>
                <w:p w14:paraId="27DB915A">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14:textFill>
                        <w14:solidFill>
                          <w14:schemeClr w14:val="tx1"/>
                        </w14:solidFill>
                      </w14:textFill>
                    </w:rPr>
                    <w:t>NOx</w:t>
                  </w:r>
                </w:p>
              </w:tc>
              <w:tc>
                <w:tcPr>
                  <w:tcW w:w="461" w:type="pct"/>
                  <w:noWrap w:val="0"/>
                  <w:vAlign w:val="center"/>
                </w:tcPr>
                <w:p w14:paraId="2AD77B5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cs="Times New Roman"/>
                      <w:color w:val="000000" w:themeColor="text1"/>
                      <w:kern w:val="2"/>
                      <w:sz w:val="21"/>
                      <w:szCs w:val="21"/>
                      <w:u w:val="none"/>
                      <w:lang w:val="en-US" w:eastAsia="zh-CN" w:bidi="ar-SA"/>
                      <w14:textFill>
                        <w14:solidFill>
                          <w14:schemeClr w14:val="tx1"/>
                        </w14:solidFill>
                      </w14:textFill>
                    </w:rPr>
                    <w:t>35</w:t>
                  </w:r>
                </w:p>
              </w:tc>
              <w:tc>
                <w:tcPr>
                  <w:tcW w:w="398" w:type="pct"/>
                  <w:noWrap w:val="0"/>
                  <w:vAlign w:val="center"/>
                </w:tcPr>
                <w:p w14:paraId="2D5568A2">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44</w:t>
                  </w:r>
                </w:p>
              </w:tc>
              <w:tc>
                <w:tcPr>
                  <w:tcW w:w="434" w:type="pct"/>
                  <w:noWrap w:val="0"/>
                  <w:vAlign w:val="center"/>
                </w:tcPr>
                <w:p w14:paraId="09A9FD1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lang w:val="en-US" w:eastAsia="zh-CN" w:bidi="ar"/>
                      <w14:textFill>
                        <w14:solidFill>
                          <w14:schemeClr w14:val="tx1"/>
                        </w14:solidFill>
                      </w14:textFill>
                    </w:rPr>
                    <w:t>28.120</w:t>
                  </w:r>
                </w:p>
              </w:tc>
              <w:tc>
                <w:tcPr>
                  <w:tcW w:w="1130" w:type="pct"/>
                  <w:vMerge w:val="continue"/>
                  <w:noWrap w:val="0"/>
                  <w:vAlign w:val="center"/>
                </w:tcPr>
                <w:p w14:paraId="4C6AF81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p>
              </w:tc>
              <w:tc>
                <w:tcPr>
                  <w:tcW w:w="424" w:type="pct"/>
                  <w:noWrap w:val="0"/>
                  <w:vAlign w:val="center"/>
                </w:tcPr>
                <w:p w14:paraId="0300F15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cs="Times New Roman"/>
                      <w:color w:val="000000" w:themeColor="text1"/>
                      <w:kern w:val="2"/>
                      <w:sz w:val="21"/>
                      <w:szCs w:val="21"/>
                      <w:u w:val="none"/>
                      <w:lang w:val="en-US" w:eastAsia="zh-CN" w:bidi="ar-SA"/>
                      <w14:textFill>
                        <w14:solidFill>
                          <w14:schemeClr w14:val="tx1"/>
                        </w14:solidFill>
                      </w14:textFill>
                    </w:rPr>
                    <w:t>35</w:t>
                  </w:r>
                </w:p>
              </w:tc>
              <w:tc>
                <w:tcPr>
                  <w:tcW w:w="381" w:type="pct"/>
                  <w:noWrap w:val="0"/>
                  <w:vAlign w:val="center"/>
                </w:tcPr>
                <w:p w14:paraId="444C1562">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44</w:t>
                  </w:r>
                </w:p>
              </w:tc>
              <w:tc>
                <w:tcPr>
                  <w:tcW w:w="432" w:type="pct"/>
                  <w:noWrap w:val="0"/>
                  <w:vAlign w:val="center"/>
                </w:tcPr>
                <w:p w14:paraId="26C9482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lang w:val="en-US" w:eastAsia="zh-CN" w:bidi="ar"/>
                      <w14:textFill>
                        <w14:solidFill>
                          <w14:schemeClr w14:val="tx1"/>
                        </w14:solidFill>
                      </w14:textFill>
                    </w:rPr>
                    <w:t>28.120</w:t>
                  </w:r>
                </w:p>
              </w:tc>
            </w:tr>
            <w:tr w14:paraId="754AB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32C8A95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restart"/>
                  <w:noWrap w:val="0"/>
                  <w:vAlign w:val="center"/>
                </w:tcPr>
                <w:p w14:paraId="5B5AE9B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bCs/>
                      <w:color w:val="000000" w:themeColor="text1"/>
                      <w:sz w:val="21"/>
                      <w:szCs w:val="21"/>
                      <w:u w:val="none"/>
                      <w:lang w:val="en-US" w:eastAsia="zh-CN" w:bidi="ar"/>
                      <w14:textFill>
                        <w14:solidFill>
                          <w14:schemeClr w14:val="tx1"/>
                        </w14:solidFill>
                      </w14:textFill>
                    </w:rPr>
                  </w:pPr>
                  <w:r>
                    <w:rPr>
                      <w:rFonts w:hint="eastAsia" w:cs="Times New Roman"/>
                      <w:bCs/>
                      <w:color w:val="000000" w:themeColor="text1"/>
                      <w:sz w:val="21"/>
                      <w:szCs w:val="21"/>
                      <w:u w:val="none"/>
                      <w:lang w:val="en-US" w:eastAsia="zh-CN" w:bidi="ar"/>
                      <w14:textFill>
                        <w14:solidFill>
                          <w14:schemeClr w14:val="tx1"/>
                        </w14:solidFill>
                      </w14:textFill>
                    </w:rPr>
                    <w:t>无组织</w:t>
                  </w:r>
                </w:p>
              </w:tc>
              <w:tc>
                <w:tcPr>
                  <w:tcW w:w="414" w:type="pct"/>
                  <w:shd w:val="clear" w:color="auto" w:fill="auto"/>
                  <w:noWrap w:val="0"/>
                  <w:vAlign w:val="center"/>
                </w:tcPr>
                <w:p w14:paraId="3DB19EDD">
                  <w:pPr>
                    <w:jc w:val="center"/>
                    <w:outlineLvl w:val="0"/>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t>和面废气</w:t>
                  </w:r>
                </w:p>
              </w:tc>
              <w:tc>
                <w:tcPr>
                  <w:tcW w:w="461" w:type="pct"/>
                  <w:shd w:val="clear" w:color="auto" w:fill="auto"/>
                  <w:noWrap w:val="0"/>
                  <w:vAlign w:val="center"/>
                </w:tcPr>
                <w:p w14:paraId="4F698FF6">
                  <w:pPr>
                    <w:jc w:val="center"/>
                    <w:outlineLvl w:val="0"/>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461" w:type="pct"/>
                  <w:noWrap w:val="0"/>
                  <w:vAlign w:val="center"/>
                </w:tcPr>
                <w:p w14:paraId="24B6D981">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0.014</w:t>
                  </w:r>
                </w:p>
              </w:tc>
              <w:tc>
                <w:tcPr>
                  <w:tcW w:w="398" w:type="pct"/>
                  <w:noWrap w:val="0"/>
                  <w:vAlign w:val="center"/>
                </w:tcPr>
                <w:p w14:paraId="18D5D24D">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0.07</w:t>
                  </w:r>
                </w:p>
              </w:tc>
              <w:tc>
                <w:tcPr>
                  <w:tcW w:w="434" w:type="pct"/>
                  <w:noWrap w:val="0"/>
                  <w:vAlign w:val="center"/>
                </w:tcPr>
                <w:p w14:paraId="7F0AB07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1130" w:type="pct"/>
                  <w:vMerge w:val="restart"/>
                  <w:noWrap w:val="0"/>
                  <w:vAlign w:val="center"/>
                </w:tcPr>
                <w:p w14:paraId="5CC00EE3">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eastAsia="zh-CN"/>
                      <w14:textFill>
                        <w14:solidFill>
                          <w14:schemeClr w14:val="tx1"/>
                        </w14:solidFill>
                      </w14:textFill>
                    </w:rPr>
                    <w:t>车间密闭，定期对废气环保设备维护，保证废气收集效率</w:t>
                  </w:r>
                </w:p>
              </w:tc>
              <w:tc>
                <w:tcPr>
                  <w:tcW w:w="424" w:type="pct"/>
                  <w:shd w:val="clear" w:color="auto" w:fill="auto"/>
                  <w:noWrap w:val="0"/>
                  <w:vAlign w:val="center"/>
                </w:tcPr>
                <w:p w14:paraId="2B74216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0.014</w:t>
                  </w:r>
                </w:p>
              </w:tc>
              <w:tc>
                <w:tcPr>
                  <w:tcW w:w="381" w:type="pct"/>
                  <w:shd w:val="clear" w:color="auto" w:fill="auto"/>
                  <w:noWrap w:val="0"/>
                  <w:vAlign w:val="center"/>
                </w:tcPr>
                <w:p w14:paraId="5D1D2187">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0.07</w:t>
                  </w:r>
                </w:p>
              </w:tc>
              <w:tc>
                <w:tcPr>
                  <w:tcW w:w="432" w:type="pct"/>
                  <w:shd w:val="clear" w:color="auto" w:fill="auto"/>
                  <w:noWrap w:val="0"/>
                  <w:vAlign w:val="center"/>
                </w:tcPr>
                <w:p w14:paraId="1BF2AC1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r w14:paraId="3051B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1CAB14F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6DFBF3C7">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bCs/>
                      <w:color w:val="000000" w:themeColor="text1"/>
                      <w:sz w:val="21"/>
                      <w:szCs w:val="21"/>
                      <w:u w:val="none"/>
                      <w:lang w:val="en-US" w:eastAsia="zh-CN" w:bidi="ar"/>
                      <w14:textFill>
                        <w14:solidFill>
                          <w14:schemeClr w14:val="tx1"/>
                        </w14:solidFill>
                      </w14:textFill>
                    </w:rPr>
                  </w:pPr>
                </w:p>
              </w:tc>
              <w:tc>
                <w:tcPr>
                  <w:tcW w:w="414" w:type="pct"/>
                  <w:vMerge w:val="restart"/>
                  <w:shd w:val="clear" w:color="auto" w:fill="auto"/>
                  <w:noWrap w:val="0"/>
                  <w:vAlign w:val="center"/>
                </w:tcPr>
                <w:p w14:paraId="7CF907D7">
                  <w:pPr>
                    <w:jc w:val="center"/>
                    <w:outlineLvl w:val="0"/>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t>熟化过程</w:t>
                  </w:r>
                  <w:r>
                    <w:rPr>
                      <w:rFonts w:hint="eastAsia" w:cs="Times New Roman"/>
                      <w:color w:val="000000" w:themeColor="text1"/>
                      <w:sz w:val="21"/>
                      <w:szCs w:val="21"/>
                      <w:u w:val="none"/>
                      <w:lang w:val="en-US" w:eastAsia="zh-CN" w:bidi="ar"/>
                      <w14:textFill>
                        <w14:solidFill>
                          <w14:schemeClr w14:val="tx1"/>
                        </w14:solidFill>
                      </w14:textFill>
                    </w:rPr>
                    <w:t>未收集废气</w:t>
                  </w:r>
                </w:p>
              </w:tc>
              <w:tc>
                <w:tcPr>
                  <w:tcW w:w="461" w:type="pct"/>
                  <w:shd w:val="clear" w:color="auto" w:fill="auto"/>
                  <w:noWrap w:val="0"/>
                  <w:vAlign w:val="center"/>
                </w:tcPr>
                <w:p w14:paraId="2198D02D">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461" w:type="pct"/>
                  <w:noWrap w:val="0"/>
                  <w:vAlign w:val="center"/>
                </w:tcPr>
                <w:p w14:paraId="748BB81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0.015</w:t>
                  </w:r>
                </w:p>
              </w:tc>
              <w:tc>
                <w:tcPr>
                  <w:tcW w:w="398" w:type="pct"/>
                  <w:noWrap w:val="0"/>
                  <w:vAlign w:val="center"/>
                </w:tcPr>
                <w:p w14:paraId="46570815">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0.025</w:t>
                  </w:r>
                </w:p>
              </w:tc>
              <w:tc>
                <w:tcPr>
                  <w:tcW w:w="434" w:type="pct"/>
                  <w:noWrap w:val="0"/>
                  <w:vAlign w:val="center"/>
                </w:tcPr>
                <w:p w14:paraId="7204CF3A">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1130" w:type="pct"/>
                  <w:vMerge w:val="continue"/>
                  <w:noWrap w:val="0"/>
                  <w:vAlign w:val="center"/>
                </w:tcPr>
                <w:p w14:paraId="50DBE02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p>
              </w:tc>
              <w:tc>
                <w:tcPr>
                  <w:tcW w:w="424" w:type="pct"/>
                  <w:shd w:val="clear" w:color="auto" w:fill="auto"/>
                  <w:noWrap w:val="0"/>
                  <w:vAlign w:val="center"/>
                </w:tcPr>
                <w:p w14:paraId="0C8F0768">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0.015</w:t>
                  </w:r>
                </w:p>
              </w:tc>
              <w:tc>
                <w:tcPr>
                  <w:tcW w:w="381" w:type="pct"/>
                  <w:shd w:val="clear" w:color="auto" w:fill="auto"/>
                  <w:noWrap w:val="0"/>
                  <w:vAlign w:val="center"/>
                </w:tcPr>
                <w:p w14:paraId="582A916C">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0.025</w:t>
                  </w:r>
                </w:p>
              </w:tc>
              <w:tc>
                <w:tcPr>
                  <w:tcW w:w="432" w:type="pct"/>
                  <w:shd w:val="clear" w:color="auto" w:fill="auto"/>
                  <w:noWrap w:val="0"/>
                  <w:vAlign w:val="center"/>
                </w:tcPr>
                <w:p w14:paraId="7070A6EB">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r w14:paraId="2C139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0EE48A4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69731F9A">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bCs/>
                      <w:color w:val="000000" w:themeColor="text1"/>
                      <w:sz w:val="21"/>
                      <w:szCs w:val="21"/>
                      <w:u w:val="none"/>
                      <w:lang w:val="en-US" w:eastAsia="zh-CN" w:bidi="ar"/>
                      <w14:textFill>
                        <w14:solidFill>
                          <w14:schemeClr w14:val="tx1"/>
                        </w14:solidFill>
                      </w14:textFill>
                    </w:rPr>
                  </w:pPr>
                </w:p>
              </w:tc>
              <w:tc>
                <w:tcPr>
                  <w:tcW w:w="414" w:type="pct"/>
                  <w:vMerge w:val="continue"/>
                  <w:shd w:val="clear" w:color="auto" w:fill="auto"/>
                  <w:noWrap w:val="0"/>
                  <w:vAlign w:val="center"/>
                </w:tcPr>
                <w:p w14:paraId="18DB7D3E">
                  <w:pPr>
                    <w:jc w:val="center"/>
                    <w:outlineLvl w:val="0"/>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pPr>
                </w:p>
              </w:tc>
              <w:tc>
                <w:tcPr>
                  <w:tcW w:w="461" w:type="pct"/>
                  <w:shd w:val="clear" w:color="auto" w:fill="auto"/>
                  <w:noWrap w:val="0"/>
                  <w:vAlign w:val="center"/>
                </w:tcPr>
                <w:p w14:paraId="1BEAB7A7">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461" w:type="pct"/>
                  <w:noWrap w:val="0"/>
                  <w:vAlign w:val="center"/>
                </w:tcPr>
                <w:p w14:paraId="75DC713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0.007</w:t>
                  </w:r>
                </w:p>
              </w:tc>
              <w:tc>
                <w:tcPr>
                  <w:tcW w:w="398" w:type="pct"/>
                  <w:noWrap w:val="0"/>
                  <w:vAlign w:val="center"/>
                </w:tcPr>
                <w:p w14:paraId="0EAEB729">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0.012</w:t>
                  </w:r>
                </w:p>
              </w:tc>
              <w:tc>
                <w:tcPr>
                  <w:tcW w:w="434" w:type="pct"/>
                  <w:noWrap w:val="0"/>
                  <w:vAlign w:val="center"/>
                </w:tcPr>
                <w:p w14:paraId="755A66AE">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1130" w:type="pct"/>
                  <w:vMerge w:val="continue"/>
                  <w:noWrap w:val="0"/>
                  <w:vAlign w:val="center"/>
                </w:tcPr>
                <w:p w14:paraId="74BAA81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p>
              </w:tc>
              <w:tc>
                <w:tcPr>
                  <w:tcW w:w="424" w:type="pct"/>
                  <w:shd w:val="clear" w:color="auto" w:fill="auto"/>
                  <w:noWrap w:val="0"/>
                  <w:vAlign w:val="center"/>
                </w:tcPr>
                <w:p w14:paraId="7AAD16E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0.007</w:t>
                  </w:r>
                </w:p>
              </w:tc>
              <w:tc>
                <w:tcPr>
                  <w:tcW w:w="381" w:type="pct"/>
                  <w:shd w:val="clear" w:color="auto" w:fill="auto"/>
                  <w:noWrap w:val="0"/>
                  <w:vAlign w:val="center"/>
                </w:tcPr>
                <w:p w14:paraId="5D2A0446">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0.012</w:t>
                  </w:r>
                </w:p>
              </w:tc>
              <w:tc>
                <w:tcPr>
                  <w:tcW w:w="432" w:type="pct"/>
                  <w:shd w:val="clear" w:color="auto" w:fill="auto"/>
                  <w:noWrap w:val="0"/>
                  <w:vAlign w:val="center"/>
                </w:tcPr>
                <w:p w14:paraId="798A9BE5">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r w14:paraId="50170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650E2E47">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1" w:type="pct"/>
                  <w:vMerge w:val="continue"/>
                  <w:noWrap w:val="0"/>
                  <w:vAlign w:val="center"/>
                </w:tcPr>
                <w:p w14:paraId="107DACC5">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bCs/>
                      <w:color w:val="000000" w:themeColor="text1"/>
                      <w:sz w:val="21"/>
                      <w:szCs w:val="21"/>
                      <w:u w:val="none"/>
                      <w:lang w:val="en-US" w:eastAsia="zh-CN" w:bidi="ar"/>
                      <w14:textFill>
                        <w14:solidFill>
                          <w14:schemeClr w14:val="tx1"/>
                        </w14:solidFill>
                      </w14:textFill>
                    </w:rPr>
                  </w:pPr>
                </w:p>
              </w:tc>
              <w:tc>
                <w:tcPr>
                  <w:tcW w:w="414" w:type="pct"/>
                  <w:vMerge w:val="restart"/>
                  <w:shd w:val="clear" w:color="auto" w:fill="auto"/>
                  <w:noWrap w:val="0"/>
                  <w:vAlign w:val="center"/>
                </w:tcPr>
                <w:p w14:paraId="725BC8FB">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熟化过程天然气燃烧废气</w:t>
                  </w:r>
                </w:p>
              </w:tc>
              <w:tc>
                <w:tcPr>
                  <w:tcW w:w="461" w:type="pct"/>
                  <w:shd w:val="clear" w:color="auto" w:fill="auto"/>
                  <w:noWrap w:val="0"/>
                  <w:vAlign w:val="center"/>
                </w:tcPr>
                <w:p w14:paraId="40DADBD3">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461" w:type="pct"/>
                  <w:shd w:val="clear" w:color="auto" w:fill="auto"/>
                  <w:noWrap w:val="0"/>
                  <w:vAlign w:val="center"/>
                </w:tcPr>
                <w:p w14:paraId="696DEA94">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0.005</w:t>
                  </w:r>
                </w:p>
              </w:tc>
              <w:tc>
                <w:tcPr>
                  <w:tcW w:w="398" w:type="pct"/>
                  <w:shd w:val="clear" w:color="auto" w:fill="auto"/>
                  <w:noWrap w:val="0"/>
                  <w:vAlign w:val="center"/>
                </w:tcPr>
                <w:p w14:paraId="2326DE6C">
                  <w:pPr>
                    <w:keepNext w:val="0"/>
                    <w:keepLines w:val="0"/>
                    <w:pageBreakBefore w:val="0"/>
                    <w:kinsoku/>
                    <w:wordWrap/>
                    <w:overflowPunct/>
                    <w:topLinePunct w:val="0"/>
                    <w:autoSpaceDE/>
                    <w:autoSpaceDN/>
                    <w:bidi w:val="0"/>
                    <w:spacing w:line="240" w:lineRule="auto"/>
                    <w:jc w:val="center"/>
                    <w:textAlignment w:val="auto"/>
                    <w:outlineLvl w:val="9"/>
                    <w:rPr>
                      <w:rFonts w:hint="default"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0.008</w:t>
                  </w:r>
                </w:p>
              </w:tc>
              <w:tc>
                <w:tcPr>
                  <w:tcW w:w="434" w:type="pct"/>
                  <w:shd w:val="clear" w:color="auto" w:fill="auto"/>
                  <w:noWrap w:val="0"/>
                  <w:vAlign w:val="center"/>
                </w:tcPr>
                <w:p w14:paraId="65C44040">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1130" w:type="pct"/>
                  <w:vMerge w:val="continue"/>
                  <w:noWrap w:val="0"/>
                  <w:vAlign w:val="center"/>
                </w:tcPr>
                <w:p w14:paraId="1F22714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p>
              </w:tc>
              <w:tc>
                <w:tcPr>
                  <w:tcW w:w="424" w:type="pct"/>
                  <w:shd w:val="clear" w:color="auto" w:fill="auto"/>
                  <w:noWrap w:val="0"/>
                  <w:vAlign w:val="center"/>
                </w:tcPr>
                <w:p w14:paraId="3FCC8C5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0.005</w:t>
                  </w:r>
                </w:p>
              </w:tc>
              <w:tc>
                <w:tcPr>
                  <w:tcW w:w="381" w:type="pct"/>
                  <w:shd w:val="clear" w:color="auto" w:fill="auto"/>
                  <w:noWrap w:val="0"/>
                  <w:vAlign w:val="center"/>
                </w:tcPr>
                <w:p w14:paraId="337C6A7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0.008</w:t>
                  </w:r>
                </w:p>
              </w:tc>
              <w:tc>
                <w:tcPr>
                  <w:tcW w:w="432" w:type="pct"/>
                  <w:shd w:val="clear" w:color="auto" w:fill="auto"/>
                  <w:noWrap w:val="0"/>
                  <w:vAlign w:val="center"/>
                </w:tcPr>
                <w:p w14:paraId="4A172051">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r w14:paraId="3C7AD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4C47CA68">
                  <w:pPr>
                    <w:keepNext w:val="0"/>
                    <w:keepLines w:val="0"/>
                    <w:pageBreakBefore w:val="0"/>
                    <w:kinsoku/>
                    <w:wordWrap/>
                    <w:overflowPunct/>
                    <w:topLinePunct w:val="0"/>
                    <w:autoSpaceDE/>
                    <w:autoSpaceDN/>
                    <w:bidi w:val="0"/>
                    <w:spacing w:line="240" w:lineRule="auto"/>
                    <w:jc w:val="center"/>
                    <w:textAlignment w:val="auto"/>
                    <w:outlineLvl w:val="9"/>
                  </w:pPr>
                </w:p>
              </w:tc>
              <w:tc>
                <w:tcPr>
                  <w:tcW w:w="231" w:type="pct"/>
                  <w:vMerge w:val="continue"/>
                  <w:noWrap w:val="0"/>
                  <w:vAlign w:val="center"/>
                </w:tcPr>
                <w:p w14:paraId="14C7F2D6">
                  <w:pPr>
                    <w:keepNext w:val="0"/>
                    <w:keepLines w:val="0"/>
                    <w:pageBreakBefore w:val="0"/>
                    <w:kinsoku/>
                    <w:wordWrap/>
                    <w:overflowPunct/>
                    <w:topLinePunct w:val="0"/>
                    <w:autoSpaceDE/>
                    <w:autoSpaceDN/>
                    <w:bidi w:val="0"/>
                    <w:spacing w:line="240" w:lineRule="auto"/>
                    <w:jc w:val="center"/>
                    <w:textAlignment w:val="auto"/>
                    <w:outlineLvl w:val="9"/>
                  </w:pPr>
                </w:p>
              </w:tc>
              <w:tc>
                <w:tcPr>
                  <w:tcW w:w="414" w:type="pct"/>
                  <w:vMerge w:val="continue"/>
                  <w:shd w:val="clear" w:color="auto" w:fill="auto"/>
                  <w:noWrap w:val="0"/>
                  <w:vAlign w:val="center"/>
                </w:tcPr>
                <w:p w14:paraId="42B4AD0F">
                  <w:pPr>
                    <w:keepNext w:val="0"/>
                    <w:keepLines w:val="0"/>
                    <w:pageBreakBefore w:val="0"/>
                    <w:kinsoku/>
                    <w:wordWrap/>
                    <w:overflowPunct/>
                    <w:topLinePunct w:val="0"/>
                    <w:autoSpaceDE/>
                    <w:autoSpaceDN/>
                    <w:bidi w:val="0"/>
                    <w:spacing w:line="240" w:lineRule="auto"/>
                    <w:jc w:val="center"/>
                    <w:textAlignment w:val="auto"/>
                    <w:outlineLvl w:val="9"/>
                  </w:pPr>
                </w:p>
              </w:tc>
              <w:tc>
                <w:tcPr>
                  <w:tcW w:w="461" w:type="pct"/>
                  <w:shd w:val="clear" w:color="auto" w:fill="auto"/>
                  <w:noWrap w:val="0"/>
                  <w:vAlign w:val="center"/>
                </w:tcPr>
                <w:p w14:paraId="5DE0F4FA">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14:textFill>
                        <w14:solidFill>
                          <w14:schemeClr w14:val="tx1"/>
                        </w14:solidFill>
                      </w14:textFill>
                    </w:rPr>
                    <w:t>SO</w:t>
                  </w:r>
                  <w:r>
                    <w:rPr>
                      <w:rFonts w:hint="eastAsia"/>
                      <w:color w:val="000000" w:themeColor="text1"/>
                      <w:sz w:val="21"/>
                      <w:szCs w:val="21"/>
                      <w:u w:val="none"/>
                      <w:vertAlign w:val="subscript"/>
                      <w14:textFill>
                        <w14:solidFill>
                          <w14:schemeClr w14:val="tx1"/>
                        </w14:solidFill>
                      </w14:textFill>
                    </w:rPr>
                    <w:t>2</w:t>
                  </w:r>
                </w:p>
              </w:tc>
              <w:tc>
                <w:tcPr>
                  <w:tcW w:w="461" w:type="pct"/>
                  <w:shd w:val="clear" w:color="auto" w:fill="auto"/>
                  <w:noWrap w:val="0"/>
                  <w:vAlign w:val="center"/>
                </w:tcPr>
                <w:p w14:paraId="496FC05C">
                  <w:pPr>
                    <w:keepNext w:val="0"/>
                    <w:keepLines w:val="0"/>
                    <w:pageBreakBefore w:val="0"/>
                    <w:kinsoku/>
                    <w:wordWrap/>
                    <w:overflowPunct/>
                    <w:topLinePunct w:val="0"/>
                    <w:autoSpaceDE/>
                    <w:autoSpaceDN/>
                    <w:bidi w:val="0"/>
                    <w:spacing w:line="240" w:lineRule="auto"/>
                    <w:jc w:val="center"/>
                    <w:textAlignment w:val="auto"/>
                    <w:outlineLvl w:val="9"/>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0.00002</w:t>
                  </w:r>
                </w:p>
              </w:tc>
              <w:tc>
                <w:tcPr>
                  <w:tcW w:w="398" w:type="pct"/>
                  <w:shd w:val="clear" w:color="auto" w:fill="auto"/>
                  <w:noWrap w:val="0"/>
                  <w:vAlign w:val="center"/>
                </w:tcPr>
                <w:p w14:paraId="61280881">
                  <w:pPr>
                    <w:keepNext w:val="0"/>
                    <w:keepLines w:val="0"/>
                    <w:pageBreakBefore w:val="0"/>
                    <w:kinsoku/>
                    <w:wordWrap/>
                    <w:overflowPunct/>
                    <w:topLinePunct w:val="0"/>
                    <w:autoSpaceDE/>
                    <w:autoSpaceDN/>
                    <w:bidi w:val="0"/>
                    <w:spacing w:line="240" w:lineRule="auto"/>
                    <w:jc w:val="center"/>
                    <w:textAlignment w:val="auto"/>
                    <w:outlineLvl w:val="9"/>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0.00004</w:t>
                  </w:r>
                </w:p>
              </w:tc>
              <w:tc>
                <w:tcPr>
                  <w:tcW w:w="434" w:type="pct"/>
                  <w:shd w:val="clear" w:color="auto" w:fill="auto"/>
                  <w:noWrap w:val="0"/>
                  <w:vAlign w:val="center"/>
                </w:tcPr>
                <w:p w14:paraId="49CCEC8D">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1130" w:type="pct"/>
                  <w:vMerge w:val="continue"/>
                  <w:noWrap w:val="0"/>
                  <w:vAlign w:val="center"/>
                </w:tcPr>
                <w:p w14:paraId="6C6758A5">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24" w:type="pct"/>
                  <w:shd w:val="clear" w:color="auto" w:fill="auto"/>
                  <w:noWrap w:val="0"/>
                  <w:vAlign w:val="center"/>
                </w:tcPr>
                <w:p w14:paraId="73C4CC77">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0.00002</w:t>
                  </w:r>
                </w:p>
              </w:tc>
              <w:tc>
                <w:tcPr>
                  <w:tcW w:w="381" w:type="pct"/>
                  <w:shd w:val="clear" w:color="auto" w:fill="auto"/>
                  <w:noWrap w:val="0"/>
                  <w:vAlign w:val="center"/>
                </w:tcPr>
                <w:p w14:paraId="451E3FC2">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0.00004</w:t>
                  </w:r>
                </w:p>
              </w:tc>
              <w:tc>
                <w:tcPr>
                  <w:tcW w:w="432" w:type="pct"/>
                  <w:shd w:val="clear" w:color="auto" w:fill="auto"/>
                  <w:noWrap w:val="0"/>
                  <w:vAlign w:val="center"/>
                </w:tcPr>
                <w:p w14:paraId="24DBDF83">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r w14:paraId="44EF5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5AA5E40A">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231" w:type="pct"/>
                  <w:vMerge w:val="continue"/>
                  <w:noWrap w:val="0"/>
                  <w:vAlign w:val="center"/>
                </w:tcPr>
                <w:p w14:paraId="33ECAE37">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14" w:type="pct"/>
                  <w:vMerge w:val="continue"/>
                  <w:shd w:val="clear" w:color="auto" w:fill="auto"/>
                  <w:noWrap w:val="0"/>
                  <w:vAlign w:val="center"/>
                </w:tcPr>
                <w:p w14:paraId="4BCDC4D2">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61" w:type="pct"/>
                  <w:shd w:val="clear" w:color="auto" w:fill="auto"/>
                  <w:noWrap w:val="0"/>
                  <w:vAlign w:val="center"/>
                </w:tcPr>
                <w:p w14:paraId="7B39436E">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14:textFill>
                        <w14:solidFill>
                          <w14:schemeClr w14:val="tx1"/>
                        </w14:solidFill>
                      </w14:textFill>
                    </w:rPr>
                    <w:t>NOx</w:t>
                  </w:r>
                </w:p>
              </w:tc>
              <w:tc>
                <w:tcPr>
                  <w:tcW w:w="461" w:type="pct"/>
                  <w:shd w:val="clear" w:color="auto" w:fill="auto"/>
                  <w:noWrap w:val="0"/>
                  <w:vAlign w:val="center"/>
                </w:tcPr>
                <w:p w14:paraId="75B95D4C">
                  <w:pPr>
                    <w:keepNext w:val="0"/>
                    <w:keepLines w:val="0"/>
                    <w:pageBreakBefore w:val="0"/>
                    <w:kinsoku/>
                    <w:wordWrap/>
                    <w:overflowPunct/>
                    <w:topLinePunct w:val="0"/>
                    <w:autoSpaceDE/>
                    <w:autoSpaceDN/>
                    <w:bidi w:val="0"/>
                    <w:spacing w:line="240" w:lineRule="auto"/>
                    <w:jc w:val="center"/>
                    <w:textAlignment w:val="auto"/>
                    <w:outlineLvl w:val="9"/>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0.055</w:t>
                  </w:r>
                </w:p>
              </w:tc>
              <w:tc>
                <w:tcPr>
                  <w:tcW w:w="398" w:type="pct"/>
                  <w:shd w:val="clear" w:color="auto" w:fill="auto"/>
                  <w:noWrap w:val="0"/>
                  <w:vAlign w:val="center"/>
                </w:tcPr>
                <w:p w14:paraId="09AB2BA1">
                  <w:pPr>
                    <w:keepNext w:val="0"/>
                    <w:keepLines w:val="0"/>
                    <w:pageBreakBefore w:val="0"/>
                    <w:kinsoku/>
                    <w:wordWrap/>
                    <w:overflowPunct/>
                    <w:topLinePunct w:val="0"/>
                    <w:autoSpaceDE/>
                    <w:autoSpaceDN/>
                    <w:bidi w:val="0"/>
                    <w:spacing w:line="240" w:lineRule="auto"/>
                    <w:jc w:val="center"/>
                    <w:textAlignment w:val="auto"/>
                    <w:outlineLvl w:val="9"/>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0.092</w:t>
                  </w:r>
                </w:p>
              </w:tc>
              <w:tc>
                <w:tcPr>
                  <w:tcW w:w="434" w:type="pct"/>
                  <w:shd w:val="clear" w:color="auto" w:fill="auto"/>
                  <w:noWrap w:val="0"/>
                  <w:vAlign w:val="center"/>
                </w:tcPr>
                <w:p w14:paraId="25CAD6C9">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1130" w:type="pct"/>
                  <w:vMerge w:val="continue"/>
                  <w:noWrap w:val="0"/>
                  <w:vAlign w:val="center"/>
                </w:tcPr>
                <w:p w14:paraId="28BE61C5">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24" w:type="pct"/>
                  <w:shd w:val="clear" w:color="auto" w:fill="auto"/>
                  <w:noWrap w:val="0"/>
                  <w:vAlign w:val="center"/>
                </w:tcPr>
                <w:p w14:paraId="63A5A4DB">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0.055</w:t>
                  </w:r>
                </w:p>
              </w:tc>
              <w:tc>
                <w:tcPr>
                  <w:tcW w:w="381" w:type="pct"/>
                  <w:shd w:val="clear" w:color="auto" w:fill="auto"/>
                  <w:noWrap w:val="0"/>
                  <w:vAlign w:val="center"/>
                </w:tcPr>
                <w:p w14:paraId="028CC4FF">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0.092</w:t>
                  </w:r>
                </w:p>
              </w:tc>
              <w:tc>
                <w:tcPr>
                  <w:tcW w:w="432" w:type="pct"/>
                  <w:shd w:val="clear" w:color="auto" w:fill="auto"/>
                  <w:noWrap w:val="0"/>
                  <w:vAlign w:val="center"/>
                </w:tcPr>
                <w:p w14:paraId="1EB25B70">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r w14:paraId="016C7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75D6EF7B">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231" w:type="pct"/>
                  <w:vMerge w:val="continue"/>
                  <w:noWrap w:val="0"/>
                  <w:vAlign w:val="center"/>
                </w:tcPr>
                <w:p w14:paraId="3B7A84C3">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14" w:type="pct"/>
                  <w:vMerge w:val="restart"/>
                  <w:shd w:val="clear" w:color="auto" w:fill="auto"/>
                  <w:noWrap w:val="0"/>
                  <w:vAlign w:val="center"/>
                </w:tcPr>
                <w:p w14:paraId="401C5777">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污水处理站产生恶臭</w:t>
                  </w:r>
                </w:p>
              </w:tc>
              <w:tc>
                <w:tcPr>
                  <w:tcW w:w="461" w:type="pct"/>
                  <w:shd w:val="clear" w:color="auto" w:fill="auto"/>
                  <w:noWrap w:val="0"/>
                  <w:vAlign w:val="center"/>
                </w:tcPr>
                <w:p w14:paraId="102E3F5C">
                  <w:pPr>
                    <w:pStyle w:val="38"/>
                    <w:rPr>
                      <w:rFonts w:hint="eastAsia"/>
                      <w:color w:val="000000" w:themeColor="text1"/>
                      <w:sz w:val="21"/>
                      <w:szCs w:val="21"/>
                      <w:u w:val="none"/>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461" w:type="pct"/>
                  <w:shd w:val="clear" w:color="auto" w:fill="auto"/>
                  <w:noWrap w:val="0"/>
                  <w:vAlign w:val="center"/>
                </w:tcPr>
                <w:p w14:paraId="338F4B6C">
                  <w:pPr>
                    <w:keepNext w:val="0"/>
                    <w:keepLines w:val="0"/>
                    <w:pageBreakBefore w:val="0"/>
                    <w:kinsoku/>
                    <w:wordWrap/>
                    <w:overflowPunct/>
                    <w:topLinePunct w:val="0"/>
                    <w:autoSpaceDE/>
                    <w:autoSpaceDN/>
                    <w:bidi w:val="0"/>
                    <w:spacing w:line="240" w:lineRule="auto"/>
                    <w:jc w:val="center"/>
                    <w:textAlignment w:val="auto"/>
                    <w:outlineLvl w:val="9"/>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0.009</w:t>
                  </w:r>
                </w:p>
              </w:tc>
              <w:tc>
                <w:tcPr>
                  <w:tcW w:w="398" w:type="pct"/>
                  <w:shd w:val="clear" w:color="auto" w:fill="auto"/>
                  <w:noWrap w:val="0"/>
                  <w:vAlign w:val="center"/>
                </w:tcPr>
                <w:p w14:paraId="31650263">
                  <w:pPr>
                    <w:keepNext w:val="0"/>
                    <w:keepLines w:val="0"/>
                    <w:pageBreakBefore w:val="0"/>
                    <w:kinsoku/>
                    <w:wordWrap/>
                    <w:overflowPunct/>
                    <w:topLinePunct w:val="0"/>
                    <w:autoSpaceDE/>
                    <w:autoSpaceDN/>
                    <w:bidi w:val="0"/>
                    <w:spacing w:line="240" w:lineRule="auto"/>
                    <w:jc w:val="center"/>
                    <w:textAlignment w:val="auto"/>
                    <w:outlineLvl w:val="9"/>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0.002</w:t>
                  </w:r>
                </w:p>
              </w:tc>
              <w:tc>
                <w:tcPr>
                  <w:tcW w:w="434" w:type="pct"/>
                  <w:shd w:val="clear" w:color="auto" w:fill="auto"/>
                  <w:noWrap w:val="0"/>
                  <w:vAlign w:val="center"/>
                </w:tcPr>
                <w:p w14:paraId="227DEC2A">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1130" w:type="pct"/>
                  <w:vMerge w:val="restart"/>
                  <w:noWrap w:val="0"/>
                  <w:vAlign w:val="center"/>
                </w:tcPr>
                <w:p w14:paraId="07367648">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污水处理站加盖密闭，定期喷洒除臭剂等</w:t>
                  </w:r>
                </w:p>
              </w:tc>
              <w:tc>
                <w:tcPr>
                  <w:tcW w:w="424" w:type="pct"/>
                  <w:shd w:val="clear" w:color="auto" w:fill="auto"/>
                  <w:noWrap w:val="0"/>
                  <w:vAlign w:val="center"/>
                </w:tcPr>
                <w:p w14:paraId="5C73E5EB">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0.009</w:t>
                  </w:r>
                </w:p>
              </w:tc>
              <w:tc>
                <w:tcPr>
                  <w:tcW w:w="381" w:type="pct"/>
                  <w:shd w:val="clear" w:color="auto" w:fill="auto"/>
                  <w:noWrap w:val="0"/>
                  <w:vAlign w:val="center"/>
                </w:tcPr>
                <w:p w14:paraId="6072DCB6">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0.002</w:t>
                  </w:r>
                </w:p>
              </w:tc>
              <w:tc>
                <w:tcPr>
                  <w:tcW w:w="432" w:type="pct"/>
                  <w:shd w:val="clear" w:color="auto" w:fill="auto"/>
                  <w:noWrap w:val="0"/>
                  <w:vAlign w:val="center"/>
                </w:tcPr>
                <w:p w14:paraId="3C735BCD">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r w14:paraId="2B944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noWrap w:val="0"/>
                  <w:vAlign w:val="center"/>
                </w:tcPr>
                <w:p w14:paraId="38376CD6">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231" w:type="pct"/>
                  <w:vMerge w:val="continue"/>
                  <w:noWrap w:val="0"/>
                  <w:vAlign w:val="center"/>
                </w:tcPr>
                <w:p w14:paraId="5B49FEB1">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14" w:type="pct"/>
                  <w:vMerge w:val="continue"/>
                  <w:shd w:val="clear" w:color="auto" w:fill="auto"/>
                  <w:noWrap w:val="0"/>
                  <w:vAlign w:val="center"/>
                </w:tcPr>
                <w:p w14:paraId="4175088A">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61" w:type="pct"/>
                  <w:shd w:val="clear" w:color="auto" w:fill="auto"/>
                  <w:noWrap w:val="0"/>
                  <w:vAlign w:val="center"/>
                </w:tcPr>
                <w:p w14:paraId="3CFCF795">
                  <w:pPr>
                    <w:pStyle w:val="38"/>
                    <w:rPr>
                      <w:rFonts w:hint="eastAsia"/>
                      <w:color w:val="000000" w:themeColor="text1"/>
                      <w:sz w:val="21"/>
                      <w:szCs w:val="21"/>
                      <w:u w:val="none"/>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461" w:type="pct"/>
                  <w:shd w:val="clear" w:color="auto" w:fill="auto"/>
                  <w:noWrap w:val="0"/>
                  <w:vAlign w:val="center"/>
                </w:tcPr>
                <w:p w14:paraId="7B21CD22">
                  <w:pPr>
                    <w:keepNext w:val="0"/>
                    <w:keepLines w:val="0"/>
                    <w:pageBreakBefore w:val="0"/>
                    <w:kinsoku/>
                    <w:wordWrap/>
                    <w:overflowPunct/>
                    <w:topLinePunct w:val="0"/>
                    <w:autoSpaceDE/>
                    <w:autoSpaceDN/>
                    <w:bidi w:val="0"/>
                    <w:spacing w:line="240" w:lineRule="auto"/>
                    <w:jc w:val="center"/>
                    <w:textAlignment w:val="auto"/>
                    <w:outlineLvl w:val="9"/>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0.0003</w:t>
                  </w:r>
                </w:p>
              </w:tc>
              <w:tc>
                <w:tcPr>
                  <w:tcW w:w="398" w:type="pct"/>
                  <w:shd w:val="clear" w:color="auto" w:fill="auto"/>
                  <w:noWrap w:val="0"/>
                  <w:vAlign w:val="center"/>
                </w:tcPr>
                <w:p w14:paraId="44B65D4C">
                  <w:pPr>
                    <w:keepNext w:val="0"/>
                    <w:keepLines w:val="0"/>
                    <w:pageBreakBefore w:val="0"/>
                    <w:kinsoku/>
                    <w:wordWrap/>
                    <w:overflowPunct/>
                    <w:topLinePunct w:val="0"/>
                    <w:autoSpaceDE/>
                    <w:autoSpaceDN/>
                    <w:bidi w:val="0"/>
                    <w:spacing w:line="240" w:lineRule="auto"/>
                    <w:jc w:val="center"/>
                    <w:textAlignment w:val="auto"/>
                    <w:outlineLvl w:val="9"/>
                    <w:rPr>
                      <w:rFonts w:hint="default"/>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0.0001</w:t>
                  </w:r>
                </w:p>
              </w:tc>
              <w:tc>
                <w:tcPr>
                  <w:tcW w:w="434" w:type="pct"/>
                  <w:shd w:val="clear" w:color="auto" w:fill="auto"/>
                  <w:noWrap w:val="0"/>
                  <w:vAlign w:val="center"/>
                </w:tcPr>
                <w:p w14:paraId="30EB2A15">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c>
                <w:tcPr>
                  <w:tcW w:w="1130" w:type="pct"/>
                  <w:vMerge w:val="continue"/>
                  <w:noWrap w:val="0"/>
                  <w:vAlign w:val="center"/>
                </w:tcPr>
                <w:p w14:paraId="179B29A1">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24" w:type="pct"/>
                  <w:shd w:val="clear" w:color="auto" w:fill="auto"/>
                  <w:noWrap w:val="0"/>
                  <w:vAlign w:val="center"/>
                </w:tcPr>
                <w:p w14:paraId="5361FCAB">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0.0003</w:t>
                  </w:r>
                </w:p>
              </w:tc>
              <w:tc>
                <w:tcPr>
                  <w:tcW w:w="381" w:type="pct"/>
                  <w:shd w:val="clear" w:color="auto" w:fill="auto"/>
                  <w:noWrap w:val="0"/>
                  <w:vAlign w:val="center"/>
                </w:tcPr>
                <w:p w14:paraId="7C5EB322">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0.0001</w:t>
                  </w:r>
                </w:p>
              </w:tc>
              <w:tc>
                <w:tcPr>
                  <w:tcW w:w="432" w:type="pct"/>
                  <w:shd w:val="clear" w:color="auto" w:fill="auto"/>
                  <w:noWrap w:val="0"/>
                  <w:vAlign w:val="center"/>
                </w:tcPr>
                <w:p w14:paraId="7CDE7DC2">
                  <w:pPr>
                    <w:keepNext w:val="0"/>
                    <w:keepLines w:val="0"/>
                    <w:pageBreakBefore w:val="0"/>
                    <w:kinsoku/>
                    <w:wordWrap/>
                    <w:overflowPunct/>
                    <w:topLinePunct w:val="0"/>
                    <w:autoSpaceDE/>
                    <w:autoSpaceDN/>
                    <w:bidi w:val="0"/>
                    <w:spacing w:line="240" w:lineRule="auto"/>
                    <w:jc w:val="center"/>
                    <w:textAlignment w:val="auto"/>
                    <w:outlineLvl w:val="9"/>
                    <w:rPr>
                      <w:rFonts w:hint="eastAsia"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kern w:val="2"/>
                      <w:sz w:val="21"/>
                      <w:szCs w:val="21"/>
                      <w:u w:val="none"/>
                      <w:lang w:val="en-US" w:eastAsia="zh-CN" w:bidi="ar-SA"/>
                      <w14:textFill>
                        <w14:solidFill>
                          <w14:schemeClr w14:val="tx1"/>
                        </w14:solidFill>
                      </w14:textFill>
                    </w:rPr>
                    <w:t>/</w:t>
                  </w:r>
                </w:p>
              </w:tc>
            </w:tr>
          </w:tbl>
          <w:p w14:paraId="7124338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eastAsia" w:ascii="Times New Roman" w:hAnsi="Times New Roman" w:eastAsia="宋体" w:cs="Times New Roman"/>
                <w:color w:val="auto"/>
                <w:sz w:val="24"/>
                <w:szCs w:val="24"/>
                <w:u w:val="none"/>
                <w:lang w:val="en-US" w:eastAsia="zh-CN"/>
              </w:rPr>
              <w:t>1.2</w:t>
            </w:r>
            <w:r>
              <w:rPr>
                <w:rFonts w:hint="default" w:ascii="Times New Roman" w:hAnsi="Times New Roman" w:eastAsia="宋体" w:cs="Times New Roman"/>
                <w:color w:val="auto"/>
                <w:sz w:val="24"/>
                <w:szCs w:val="24"/>
                <w:u w:val="none"/>
              </w:rPr>
              <w:t>本项目废气污染物排放量核算</w:t>
            </w:r>
          </w:p>
          <w:p w14:paraId="1B94967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本项目废气污染物排放量核算见</w:t>
            </w:r>
            <w:r>
              <w:rPr>
                <w:rFonts w:hint="eastAsia" w:cs="Times New Roman"/>
                <w:color w:val="auto"/>
                <w:sz w:val="24"/>
                <w:szCs w:val="24"/>
                <w:u w:val="none"/>
                <w:lang w:val="en-US" w:eastAsia="zh-CN"/>
              </w:rPr>
              <w:t>下表</w:t>
            </w:r>
            <w:r>
              <w:rPr>
                <w:rFonts w:hint="default" w:ascii="Times New Roman" w:hAnsi="Times New Roman" w:eastAsia="宋体" w:cs="Times New Roman"/>
                <w:color w:val="auto"/>
                <w:sz w:val="24"/>
                <w:szCs w:val="24"/>
                <w:u w:val="none"/>
              </w:rPr>
              <w:t>。</w:t>
            </w:r>
          </w:p>
          <w:p w14:paraId="778FEAE4">
            <w:pPr>
              <w:adjustRightInd w:val="0"/>
              <w:snapToGrid w:val="0"/>
              <w:spacing w:line="360" w:lineRule="auto"/>
              <w:jc w:val="center"/>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表4-</w:t>
            </w:r>
            <w:r>
              <w:rPr>
                <w:rFonts w:hint="eastAsia" w:cs="Times New Roman"/>
                <w:b/>
                <w:color w:val="auto"/>
                <w:sz w:val="24"/>
                <w:szCs w:val="24"/>
                <w:u w:val="none"/>
                <w:lang w:val="en-US" w:eastAsia="zh-CN"/>
              </w:rPr>
              <w:t>3</w:t>
            </w:r>
            <w:r>
              <w:rPr>
                <w:rFonts w:hint="default" w:ascii="Times New Roman" w:hAnsi="Times New Roman" w:eastAsia="宋体" w:cs="Times New Roman"/>
                <w:b/>
                <w:color w:val="auto"/>
                <w:sz w:val="24"/>
                <w:szCs w:val="24"/>
                <w:u w:val="none"/>
              </w:rPr>
              <w:t xml:space="preserve">  工程大气污染物有组织排放量核算表</w:t>
            </w:r>
          </w:p>
          <w:tbl>
            <w:tblPr>
              <w:tblStyle w:val="20"/>
              <w:tblW w:w="4960"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22"/>
              <w:gridCol w:w="892"/>
              <w:gridCol w:w="950"/>
              <w:gridCol w:w="996"/>
              <w:gridCol w:w="952"/>
              <w:gridCol w:w="1116"/>
              <w:gridCol w:w="2751"/>
              <w:gridCol w:w="1054"/>
            </w:tblGrid>
            <w:tr w14:paraId="5BF5FB1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noWrap w:val="0"/>
                  <w:vAlign w:val="center"/>
                </w:tcPr>
                <w:p w14:paraId="1DDF26F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序号</w:t>
                  </w:r>
                </w:p>
              </w:tc>
              <w:tc>
                <w:tcPr>
                  <w:tcW w:w="487" w:type="pct"/>
                  <w:vMerge w:val="restart"/>
                  <w:noWrap w:val="0"/>
                  <w:vAlign w:val="center"/>
                </w:tcPr>
                <w:p w14:paraId="18B35EDC">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排放口编号</w:t>
                  </w:r>
                </w:p>
              </w:tc>
              <w:tc>
                <w:tcPr>
                  <w:tcW w:w="520" w:type="pct"/>
                  <w:vMerge w:val="restart"/>
                  <w:noWrap w:val="0"/>
                  <w:vAlign w:val="center"/>
                </w:tcPr>
                <w:p w14:paraId="7A1EEA7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污染物</w:t>
                  </w:r>
                </w:p>
              </w:tc>
              <w:tc>
                <w:tcPr>
                  <w:tcW w:w="545" w:type="pct"/>
                  <w:vMerge w:val="restart"/>
                  <w:noWrap w:val="0"/>
                  <w:vAlign w:val="center"/>
                </w:tcPr>
                <w:p w14:paraId="6B94A85B">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核算年排放量（t/a）</w:t>
                  </w:r>
                </w:p>
              </w:tc>
              <w:tc>
                <w:tcPr>
                  <w:tcW w:w="520" w:type="pct"/>
                  <w:vMerge w:val="restart"/>
                  <w:noWrap w:val="0"/>
                  <w:vAlign w:val="center"/>
                </w:tcPr>
                <w:p w14:paraId="0ABAD33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核算排放速率（kg/h）</w:t>
                  </w:r>
                </w:p>
              </w:tc>
              <w:tc>
                <w:tcPr>
                  <w:tcW w:w="611" w:type="pct"/>
                  <w:vMerge w:val="restart"/>
                  <w:noWrap w:val="0"/>
                  <w:vAlign w:val="center"/>
                </w:tcPr>
                <w:p w14:paraId="3A9EF400">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核算排放浓度（mg/m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u w:val="none"/>
                      <w14:textFill>
                        <w14:solidFill>
                          <w14:schemeClr w14:val="tx1"/>
                        </w14:solidFill>
                      </w14:textFill>
                    </w:rPr>
                    <w:t>）</w:t>
                  </w:r>
                </w:p>
              </w:tc>
              <w:tc>
                <w:tcPr>
                  <w:tcW w:w="2082" w:type="pct"/>
                  <w:gridSpan w:val="2"/>
                  <w:noWrap w:val="0"/>
                  <w:vAlign w:val="center"/>
                </w:tcPr>
                <w:p w14:paraId="2E4D7CC4">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排放标准mg/m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p>
              </w:tc>
            </w:tr>
            <w:tr w14:paraId="7DFE7CF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noWrap w:val="0"/>
                  <w:vAlign w:val="center"/>
                </w:tcPr>
                <w:p w14:paraId="3DB1CAB8">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87" w:type="pct"/>
                  <w:vMerge w:val="continue"/>
                  <w:noWrap w:val="0"/>
                  <w:vAlign w:val="center"/>
                </w:tcPr>
                <w:p w14:paraId="549585AC">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vMerge w:val="continue"/>
                  <w:noWrap w:val="0"/>
                  <w:vAlign w:val="center"/>
                </w:tcPr>
                <w:p w14:paraId="0C3FF09C">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45" w:type="pct"/>
                  <w:vMerge w:val="continue"/>
                  <w:noWrap w:val="0"/>
                  <w:vAlign w:val="center"/>
                </w:tcPr>
                <w:p w14:paraId="7389079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vMerge w:val="continue"/>
                  <w:noWrap w:val="0"/>
                  <w:vAlign w:val="center"/>
                </w:tcPr>
                <w:p w14:paraId="60833B86">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611" w:type="pct"/>
                  <w:vMerge w:val="continue"/>
                  <w:noWrap w:val="0"/>
                  <w:vAlign w:val="center"/>
                </w:tcPr>
                <w:p w14:paraId="1FA68CF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506" w:type="pct"/>
                  <w:noWrap w:val="0"/>
                  <w:vAlign w:val="center"/>
                </w:tcPr>
                <w:p w14:paraId="1F85C503">
                  <w:pPr>
                    <w:pStyle w:val="38"/>
                    <w:keepNext w:val="0"/>
                    <w:keepLines w:val="0"/>
                    <w:pageBreakBefore w:val="0"/>
                    <w:widowControl w:val="0"/>
                    <w:kinsoku/>
                    <w:wordWrap/>
                    <w:overflowPunct/>
                    <w:topLinePunct w:val="0"/>
                    <w:autoSpaceDE/>
                    <w:autoSpaceDN/>
                    <w:bidi w:val="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标准名称</w:t>
                  </w:r>
                </w:p>
              </w:tc>
              <w:tc>
                <w:tcPr>
                  <w:tcW w:w="575" w:type="pct"/>
                  <w:noWrap w:val="0"/>
                  <w:vAlign w:val="center"/>
                </w:tcPr>
                <w:p w14:paraId="76420DF5">
                  <w:pPr>
                    <w:pStyle w:val="38"/>
                    <w:keepNext w:val="0"/>
                    <w:keepLines w:val="0"/>
                    <w:pageBreakBefore w:val="0"/>
                    <w:widowControl w:val="0"/>
                    <w:kinsoku/>
                    <w:wordWrap/>
                    <w:overflowPunct/>
                    <w:topLinePunct w:val="0"/>
                    <w:autoSpaceDE/>
                    <w:autoSpaceDN/>
                    <w:bidi w:val="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浓度限值mg/m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p>
              </w:tc>
            </w:tr>
            <w:tr w14:paraId="4DE3533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noWrap w:val="0"/>
                  <w:vAlign w:val="center"/>
                </w:tcPr>
                <w:p w14:paraId="2BB6569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1</w:t>
                  </w:r>
                </w:p>
              </w:tc>
              <w:tc>
                <w:tcPr>
                  <w:tcW w:w="487" w:type="pct"/>
                  <w:vMerge w:val="restart"/>
                  <w:noWrap w:val="0"/>
                  <w:vAlign w:val="center"/>
                </w:tcPr>
                <w:p w14:paraId="705DE978">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DA00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w:t>
                  </w:r>
                </w:p>
              </w:tc>
              <w:tc>
                <w:tcPr>
                  <w:tcW w:w="520" w:type="pct"/>
                  <w:shd w:val="clear" w:color="auto" w:fill="auto"/>
                  <w:noWrap w:val="0"/>
                  <w:vAlign w:val="center"/>
                </w:tcPr>
                <w:p w14:paraId="6CB9804E">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545" w:type="pct"/>
                  <w:shd w:val="clear" w:color="auto" w:fill="auto"/>
                  <w:noWrap w:val="0"/>
                  <w:vAlign w:val="center"/>
                </w:tcPr>
                <w:p w14:paraId="79FDF59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0.002</w:t>
                  </w:r>
                </w:p>
              </w:tc>
              <w:tc>
                <w:tcPr>
                  <w:tcW w:w="520" w:type="pct"/>
                  <w:shd w:val="clear" w:color="auto" w:fill="auto"/>
                  <w:noWrap w:val="0"/>
                  <w:vAlign w:val="center"/>
                </w:tcPr>
                <w:p w14:paraId="4C01BA7B">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0.004</w:t>
                  </w:r>
                </w:p>
              </w:tc>
              <w:tc>
                <w:tcPr>
                  <w:tcW w:w="611" w:type="pct"/>
                  <w:shd w:val="clear" w:color="auto" w:fill="auto"/>
                  <w:noWrap w:val="0"/>
                  <w:vAlign w:val="center"/>
                </w:tcPr>
                <w:p w14:paraId="08ED8B3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0.767</w:t>
                  </w:r>
                </w:p>
              </w:tc>
              <w:tc>
                <w:tcPr>
                  <w:tcW w:w="1506" w:type="pct"/>
                  <w:noWrap w:val="0"/>
                  <w:vAlign w:val="center"/>
                </w:tcPr>
                <w:p w14:paraId="003A9DD9">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《餐饮业油烟污染物排放标准》（DB41/1604-2018）</w:t>
                  </w:r>
                </w:p>
              </w:tc>
              <w:tc>
                <w:tcPr>
                  <w:tcW w:w="575" w:type="pct"/>
                  <w:noWrap w:val="0"/>
                  <w:vAlign w:val="center"/>
                </w:tcPr>
                <w:p w14:paraId="53C4ADD9">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1.0</w:t>
                  </w:r>
                </w:p>
              </w:tc>
            </w:tr>
            <w:tr w14:paraId="5880C06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noWrap w:val="0"/>
                  <w:vAlign w:val="center"/>
                </w:tcPr>
                <w:p w14:paraId="2005AE8E">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cs="Times New Roman"/>
                      <w:color w:val="000000" w:themeColor="text1"/>
                      <w:sz w:val="21"/>
                      <w:szCs w:val="21"/>
                      <w:u w:val="none"/>
                      <w:lang w:val="en-US" w:eastAsia="zh-CN"/>
                      <w14:textFill>
                        <w14:solidFill>
                          <w14:schemeClr w14:val="tx1"/>
                        </w14:solidFill>
                      </w14:textFill>
                    </w:rPr>
                  </w:pPr>
                </w:p>
              </w:tc>
              <w:tc>
                <w:tcPr>
                  <w:tcW w:w="487" w:type="pct"/>
                  <w:vMerge w:val="continue"/>
                  <w:noWrap w:val="0"/>
                  <w:vAlign w:val="center"/>
                </w:tcPr>
                <w:p w14:paraId="594E4E9B">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shd w:val="clear" w:color="auto" w:fill="auto"/>
                  <w:noWrap w:val="0"/>
                  <w:vAlign w:val="center"/>
                </w:tcPr>
                <w:p w14:paraId="520B8E62">
                  <w:pPr>
                    <w:jc w:val="center"/>
                    <w:outlineLvl w:val="0"/>
                    <w:rPr>
                      <w:rFonts w:hint="eastAsia"/>
                      <w:color w:val="000000" w:themeColor="text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545" w:type="pct"/>
                  <w:shd w:val="clear" w:color="auto" w:fill="auto"/>
                  <w:noWrap w:val="0"/>
                  <w:vAlign w:val="center"/>
                </w:tcPr>
                <w:p w14:paraId="6899A8F4">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sz w:val="21"/>
                      <w:szCs w:val="21"/>
                      <w:lang w:val="en-US" w:eastAsia="zh-CN"/>
                    </w:rPr>
                    <w:t>0.020</w:t>
                  </w:r>
                </w:p>
              </w:tc>
              <w:tc>
                <w:tcPr>
                  <w:tcW w:w="520" w:type="pct"/>
                  <w:shd w:val="clear" w:color="auto" w:fill="auto"/>
                  <w:noWrap w:val="0"/>
                  <w:vAlign w:val="center"/>
                </w:tcPr>
                <w:p w14:paraId="780B87E8">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z w:val="21"/>
                      <w:szCs w:val="21"/>
                      <w:lang w:val="en-US" w:eastAsia="zh-TW"/>
                    </w:rPr>
                    <w:t>0.033</w:t>
                  </w:r>
                </w:p>
              </w:tc>
              <w:tc>
                <w:tcPr>
                  <w:tcW w:w="611" w:type="pct"/>
                  <w:shd w:val="clear" w:color="auto" w:fill="auto"/>
                  <w:noWrap w:val="0"/>
                  <w:vAlign w:val="center"/>
                </w:tcPr>
                <w:p w14:paraId="1079DE6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cs="Times New Roman"/>
                      <w:sz w:val="21"/>
                      <w:szCs w:val="21"/>
                      <w:lang w:val="en-US" w:eastAsia="zh-CN"/>
                    </w:rPr>
                    <w:t>6.667</w:t>
                  </w:r>
                </w:p>
              </w:tc>
              <w:tc>
                <w:tcPr>
                  <w:tcW w:w="1506" w:type="pct"/>
                  <w:noWrap w:val="0"/>
                  <w:vAlign w:val="center"/>
                </w:tcPr>
                <w:p w14:paraId="7EBB5007">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i w:val="0"/>
                      <w:iCs w:val="0"/>
                      <w:color w:val="auto"/>
                      <w:sz w:val="21"/>
                      <w:szCs w:val="21"/>
                      <w:u w:val="none" w:color="auto"/>
                      <w:lang w:val="en-US" w:eastAsia="zh-CN"/>
                    </w:rPr>
                  </w:pPr>
                  <w:r>
                    <w:rPr>
                      <w:rFonts w:hint="eastAsia"/>
                      <w:color w:val="000000" w:themeColor="text1"/>
                      <w:sz w:val="21"/>
                      <w:szCs w:val="21"/>
                      <w14:textFill>
                        <w14:solidFill>
                          <w14:schemeClr w14:val="tx1"/>
                        </w14:solidFill>
                      </w14:textFill>
                    </w:rPr>
                    <w:t>《餐饮业油烟污染物排放标准》（DB41/1604-2018）</w:t>
                  </w:r>
                </w:p>
              </w:tc>
              <w:tc>
                <w:tcPr>
                  <w:tcW w:w="575" w:type="pct"/>
                  <w:noWrap w:val="0"/>
                  <w:vAlign w:val="center"/>
                </w:tcPr>
                <w:p w14:paraId="1977EADE">
                  <w:pPr>
                    <w:keepNext w:val="0"/>
                    <w:keepLines w:val="0"/>
                    <w:pageBreakBefore w:val="0"/>
                    <w:widowControl w:val="0"/>
                    <w:kinsoku/>
                    <w:wordWrap/>
                    <w:overflowPunct/>
                    <w:topLinePunct w:val="0"/>
                    <w:autoSpaceDE/>
                    <w:autoSpaceDN/>
                    <w:bidi w:val="0"/>
                    <w:jc w:val="center"/>
                    <w:textAlignment w:val="auto"/>
                    <w:outlineLvl w:val="9"/>
                    <w:rPr>
                      <w:rFonts w:hint="default"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10.0</w:t>
                  </w:r>
                </w:p>
              </w:tc>
            </w:tr>
            <w:tr w14:paraId="1FFEFC4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noWrap w:val="0"/>
                  <w:vAlign w:val="center"/>
                </w:tcPr>
                <w:p w14:paraId="4663B5CB">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2</w:t>
                  </w:r>
                </w:p>
              </w:tc>
              <w:tc>
                <w:tcPr>
                  <w:tcW w:w="487" w:type="pct"/>
                  <w:vMerge w:val="restart"/>
                  <w:noWrap w:val="0"/>
                  <w:vAlign w:val="center"/>
                </w:tcPr>
                <w:p w14:paraId="275C92AB">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DA00</w:t>
                  </w:r>
                  <w:r>
                    <w:rPr>
                      <w:rFonts w:hint="eastAsia" w:cs="Times New Roman"/>
                      <w:color w:val="000000" w:themeColor="text1"/>
                      <w:sz w:val="21"/>
                      <w:szCs w:val="21"/>
                      <w:u w:val="none"/>
                      <w:lang w:val="en-US" w:eastAsia="zh-CN"/>
                      <w14:textFill>
                        <w14:solidFill>
                          <w14:schemeClr w14:val="tx1"/>
                        </w14:solidFill>
                      </w14:textFill>
                    </w:rPr>
                    <w:t>2</w:t>
                  </w:r>
                </w:p>
              </w:tc>
              <w:tc>
                <w:tcPr>
                  <w:tcW w:w="520" w:type="pct"/>
                  <w:shd w:val="clear" w:color="auto" w:fill="auto"/>
                  <w:noWrap w:val="0"/>
                  <w:vAlign w:val="center"/>
                </w:tcPr>
                <w:p w14:paraId="6EF3C9D6">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545" w:type="pct"/>
                  <w:shd w:val="clear" w:color="auto" w:fill="auto"/>
                  <w:noWrap w:val="0"/>
                  <w:vAlign w:val="center"/>
                </w:tcPr>
                <w:p w14:paraId="7179350A">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0.002</w:t>
                  </w:r>
                </w:p>
              </w:tc>
              <w:tc>
                <w:tcPr>
                  <w:tcW w:w="520" w:type="pct"/>
                  <w:shd w:val="clear" w:color="auto" w:fill="auto"/>
                  <w:noWrap w:val="0"/>
                  <w:vAlign w:val="center"/>
                </w:tcPr>
                <w:p w14:paraId="4E2DD511">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0.004</w:t>
                  </w:r>
                </w:p>
              </w:tc>
              <w:tc>
                <w:tcPr>
                  <w:tcW w:w="611" w:type="pct"/>
                  <w:shd w:val="clear" w:color="auto" w:fill="auto"/>
                  <w:noWrap w:val="0"/>
                  <w:vAlign w:val="center"/>
                </w:tcPr>
                <w:p w14:paraId="3B6F7F0F">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0.767</w:t>
                  </w:r>
                </w:p>
              </w:tc>
              <w:tc>
                <w:tcPr>
                  <w:tcW w:w="1506" w:type="pct"/>
                  <w:noWrap w:val="0"/>
                  <w:vAlign w:val="center"/>
                </w:tcPr>
                <w:p w14:paraId="5805BBF5">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《餐饮业油烟污染物排放标准》（DB41/1604-2018）</w:t>
                  </w:r>
                </w:p>
              </w:tc>
              <w:tc>
                <w:tcPr>
                  <w:tcW w:w="575" w:type="pct"/>
                  <w:noWrap w:val="0"/>
                  <w:vAlign w:val="center"/>
                </w:tcPr>
                <w:p w14:paraId="1F62C6B6">
                  <w:pPr>
                    <w:keepNext w:val="0"/>
                    <w:keepLines w:val="0"/>
                    <w:pageBreakBefore w:val="0"/>
                    <w:widowControl w:val="0"/>
                    <w:kinsoku/>
                    <w:wordWrap/>
                    <w:overflowPunct/>
                    <w:topLinePunct w:val="0"/>
                    <w:autoSpaceDE/>
                    <w:autoSpaceDN/>
                    <w:bidi w:val="0"/>
                    <w:jc w:val="center"/>
                    <w:textAlignment w:val="auto"/>
                    <w:outlineLvl w:val="9"/>
                    <w:rPr>
                      <w:rFonts w:hint="eastAsia"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1.0</w:t>
                  </w:r>
                </w:p>
              </w:tc>
            </w:tr>
            <w:tr w14:paraId="7ABB8D2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noWrap w:val="0"/>
                  <w:vAlign w:val="center"/>
                </w:tcPr>
                <w:p w14:paraId="11C6B71A">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cs="Times New Roman"/>
                      <w:color w:val="000000" w:themeColor="text1"/>
                      <w:sz w:val="21"/>
                      <w:szCs w:val="21"/>
                      <w:u w:val="none"/>
                      <w:lang w:val="en-US" w:eastAsia="zh-CN"/>
                      <w14:textFill>
                        <w14:solidFill>
                          <w14:schemeClr w14:val="tx1"/>
                        </w14:solidFill>
                      </w14:textFill>
                    </w:rPr>
                  </w:pPr>
                </w:p>
              </w:tc>
              <w:tc>
                <w:tcPr>
                  <w:tcW w:w="487" w:type="pct"/>
                  <w:vMerge w:val="continue"/>
                  <w:noWrap w:val="0"/>
                  <w:vAlign w:val="center"/>
                </w:tcPr>
                <w:p w14:paraId="5B047A91">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shd w:val="clear" w:color="auto" w:fill="auto"/>
                  <w:noWrap w:val="0"/>
                  <w:vAlign w:val="center"/>
                </w:tcPr>
                <w:p w14:paraId="582E8948">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545" w:type="pct"/>
                  <w:shd w:val="clear" w:color="auto" w:fill="auto"/>
                  <w:noWrap w:val="0"/>
                  <w:vAlign w:val="center"/>
                </w:tcPr>
                <w:p w14:paraId="2D5B0F0F">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0.020</w:t>
                  </w:r>
                </w:p>
              </w:tc>
              <w:tc>
                <w:tcPr>
                  <w:tcW w:w="520" w:type="pct"/>
                  <w:shd w:val="clear" w:color="auto" w:fill="auto"/>
                  <w:noWrap w:val="0"/>
                  <w:vAlign w:val="center"/>
                </w:tcPr>
                <w:p w14:paraId="7B6A54E2">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611" w:type="pct"/>
                  <w:shd w:val="clear" w:color="auto" w:fill="auto"/>
                  <w:noWrap w:val="0"/>
                  <w:vAlign w:val="center"/>
                </w:tcPr>
                <w:p w14:paraId="6F01C61E">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c>
                <w:tcPr>
                  <w:tcW w:w="1506" w:type="pct"/>
                  <w:noWrap w:val="0"/>
                  <w:vAlign w:val="center"/>
                </w:tcPr>
                <w:p w14:paraId="657E037C">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《餐饮业油烟污染物排放标准》（DB41/1604-2018）</w:t>
                  </w:r>
                </w:p>
              </w:tc>
              <w:tc>
                <w:tcPr>
                  <w:tcW w:w="575" w:type="pct"/>
                  <w:noWrap w:val="0"/>
                  <w:vAlign w:val="center"/>
                </w:tcPr>
                <w:p w14:paraId="7F5B9B13">
                  <w:pPr>
                    <w:keepNext w:val="0"/>
                    <w:keepLines w:val="0"/>
                    <w:pageBreakBefore w:val="0"/>
                    <w:widowControl w:val="0"/>
                    <w:kinsoku/>
                    <w:wordWrap/>
                    <w:overflowPunct/>
                    <w:topLinePunct w:val="0"/>
                    <w:autoSpaceDE/>
                    <w:autoSpaceDN/>
                    <w:bidi w:val="0"/>
                    <w:jc w:val="center"/>
                    <w:textAlignment w:val="auto"/>
                    <w:outlineLvl w:val="9"/>
                    <w:rPr>
                      <w:rFonts w:hint="eastAsia"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10.0</w:t>
                  </w:r>
                </w:p>
              </w:tc>
            </w:tr>
            <w:tr w14:paraId="72FC2ED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noWrap w:val="0"/>
                  <w:vAlign w:val="center"/>
                </w:tcPr>
                <w:p w14:paraId="42CD1443">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3</w:t>
                  </w:r>
                </w:p>
              </w:tc>
              <w:tc>
                <w:tcPr>
                  <w:tcW w:w="487" w:type="pct"/>
                  <w:vMerge w:val="restart"/>
                  <w:noWrap w:val="0"/>
                  <w:vAlign w:val="center"/>
                </w:tcPr>
                <w:p w14:paraId="616F49D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DA00</w:t>
                  </w:r>
                  <w:r>
                    <w:rPr>
                      <w:rFonts w:hint="eastAsia" w:cs="Times New Roman"/>
                      <w:color w:val="000000" w:themeColor="text1"/>
                      <w:sz w:val="21"/>
                      <w:szCs w:val="21"/>
                      <w:u w:val="none"/>
                      <w:lang w:val="en-US" w:eastAsia="zh-CN"/>
                      <w14:textFill>
                        <w14:solidFill>
                          <w14:schemeClr w14:val="tx1"/>
                        </w14:solidFill>
                      </w14:textFill>
                    </w:rPr>
                    <w:t>3</w:t>
                  </w:r>
                </w:p>
              </w:tc>
              <w:tc>
                <w:tcPr>
                  <w:tcW w:w="520" w:type="pct"/>
                  <w:shd w:val="clear" w:color="auto" w:fill="auto"/>
                  <w:noWrap w:val="0"/>
                  <w:vAlign w:val="center"/>
                </w:tcPr>
                <w:p w14:paraId="66701BF2">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545" w:type="pct"/>
                  <w:shd w:val="clear" w:color="auto" w:fill="auto"/>
                  <w:noWrap w:val="0"/>
                  <w:vAlign w:val="center"/>
                </w:tcPr>
                <w:p w14:paraId="7389523F">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0.002</w:t>
                  </w:r>
                </w:p>
              </w:tc>
              <w:tc>
                <w:tcPr>
                  <w:tcW w:w="520" w:type="pct"/>
                  <w:shd w:val="clear" w:color="auto" w:fill="auto"/>
                  <w:noWrap w:val="0"/>
                  <w:vAlign w:val="center"/>
                </w:tcPr>
                <w:p w14:paraId="354B8900">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0.004</w:t>
                  </w:r>
                </w:p>
              </w:tc>
              <w:tc>
                <w:tcPr>
                  <w:tcW w:w="611" w:type="pct"/>
                  <w:shd w:val="clear" w:color="auto" w:fill="auto"/>
                  <w:noWrap w:val="0"/>
                  <w:vAlign w:val="center"/>
                </w:tcPr>
                <w:p w14:paraId="6EC616A9">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0.767</w:t>
                  </w:r>
                </w:p>
              </w:tc>
              <w:tc>
                <w:tcPr>
                  <w:tcW w:w="1506" w:type="pct"/>
                  <w:noWrap w:val="0"/>
                  <w:vAlign w:val="center"/>
                </w:tcPr>
                <w:p w14:paraId="7BBF9FD4">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《餐饮业油烟污染物排放标准》（DB41/1604-2018）</w:t>
                  </w:r>
                </w:p>
              </w:tc>
              <w:tc>
                <w:tcPr>
                  <w:tcW w:w="575" w:type="pct"/>
                  <w:noWrap w:val="0"/>
                  <w:vAlign w:val="center"/>
                </w:tcPr>
                <w:p w14:paraId="53E2703D">
                  <w:pPr>
                    <w:keepNext w:val="0"/>
                    <w:keepLines w:val="0"/>
                    <w:pageBreakBefore w:val="0"/>
                    <w:widowControl w:val="0"/>
                    <w:kinsoku/>
                    <w:wordWrap/>
                    <w:overflowPunct/>
                    <w:topLinePunct w:val="0"/>
                    <w:autoSpaceDE/>
                    <w:autoSpaceDN/>
                    <w:bidi w:val="0"/>
                    <w:jc w:val="center"/>
                    <w:textAlignment w:val="auto"/>
                    <w:outlineLvl w:val="9"/>
                    <w:rPr>
                      <w:rFonts w:hint="eastAsia"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1.0</w:t>
                  </w:r>
                </w:p>
              </w:tc>
            </w:tr>
            <w:tr w14:paraId="657424D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noWrap w:val="0"/>
                  <w:vAlign w:val="center"/>
                </w:tcPr>
                <w:p w14:paraId="1B574E61">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cs="Times New Roman"/>
                      <w:color w:val="000000" w:themeColor="text1"/>
                      <w:sz w:val="21"/>
                      <w:szCs w:val="21"/>
                      <w:u w:val="none"/>
                      <w:lang w:val="en-US" w:eastAsia="zh-CN"/>
                      <w14:textFill>
                        <w14:solidFill>
                          <w14:schemeClr w14:val="tx1"/>
                        </w14:solidFill>
                      </w14:textFill>
                    </w:rPr>
                  </w:pPr>
                </w:p>
              </w:tc>
              <w:tc>
                <w:tcPr>
                  <w:tcW w:w="487" w:type="pct"/>
                  <w:vMerge w:val="continue"/>
                  <w:noWrap w:val="0"/>
                  <w:vAlign w:val="center"/>
                </w:tcPr>
                <w:p w14:paraId="4FEE9F68">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shd w:val="clear" w:color="auto" w:fill="auto"/>
                  <w:noWrap w:val="0"/>
                  <w:vAlign w:val="center"/>
                </w:tcPr>
                <w:p w14:paraId="2107F80F">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545" w:type="pct"/>
                  <w:shd w:val="clear" w:color="auto" w:fill="auto"/>
                  <w:noWrap w:val="0"/>
                  <w:vAlign w:val="center"/>
                </w:tcPr>
                <w:p w14:paraId="3348ABC7">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0.020</w:t>
                  </w:r>
                </w:p>
              </w:tc>
              <w:tc>
                <w:tcPr>
                  <w:tcW w:w="520" w:type="pct"/>
                  <w:shd w:val="clear" w:color="auto" w:fill="auto"/>
                  <w:noWrap w:val="0"/>
                  <w:vAlign w:val="center"/>
                </w:tcPr>
                <w:p w14:paraId="1A12074E">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611" w:type="pct"/>
                  <w:shd w:val="clear" w:color="auto" w:fill="auto"/>
                  <w:noWrap w:val="0"/>
                  <w:vAlign w:val="center"/>
                </w:tcPr>
                <w:p w14:paraId="225BE31B">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c>
                <w:tcPr>
                  <w:tcW w:w="1506" w:type="pct"/>
                  <w:noWrap w:val="0"/>
                  <w:vAlign w:val="center"/>
                </w:tcPr>
                <w:p w14:paraId="5E0E9A68">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《餐饮业油烟污染物排放标准》（DB41/1604-2018）</w:t>
                  </w:r>
                </w:p>
              </w:tc>
              <w:tc>
                <w:tcPr>
                  <w:tcW w:w="575" w:type="pct"/>
                  <w:noWrap w:val="0"/>
                  <w:vAlign w:val="center"/>
                </w:tcPr>
                <w:p w14:paraId="1DEBFBDF">
                  <w:pPr>
                    <w:keepNext w:val="0"/>
                    <w:keepLines w:val="0"/>
                    <w:pageBreakBefore w:val="0"/>
                    <w:widowControl w:val="0"/>
                    <w:kinsoku/>
                    <w:wordWrap/>
                    <w:overflowPunct/>
                    <w:topLinePunct w:val="0"/>
                    <w:autoSpaceDE/>
                    <w:autoSpaceDN/>
                    <w:bidi w:val="0"/>
                    <w:jc w:val="center"/>
                    <w:textAlignment w:val="auto"/>
                    <w:outlineLvl w:val="9"/>
                    <w:rPr>
                      <w:rFonts w:hint="eastAsia"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10.0</w:t>
                  </w:r>
                </w:p>
              </w:tc>
            </w:tr>
            <w:tr w14:paraId="20D3953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noWrap w:val="0"/>
                  <w:vAlign w:val="center"/>
                </w:tcPr>
                <w:p w14:paraId="58D95FB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ascii="Times New Roman" w:hAnsi="Times New Roman" w:eastAsia="宋体" w:cs="Times New Roman"/>
                      <w:color w:val="000000" w:themeColor="text1"/>
                      <w:sz w:val="21"/>
                      <w:szCs w:val="21"/>
                      <w:u w:val="none"/>
                      <w:lang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4</w:t>
                  </w:r>
                </w:p>
              </w:tc>
              <w:tc>
                <w:tcPr>
                  <w:tcW w:w="487" w:type="pct"/>
                  <w:vMerge w:val="restart"/>
                  <w:noWrap w:val="0"/>
                  <w:vAlign w:val="center"/>
                </w:tcPr>
                <w:p w14:paraId="54E8DC5E">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DA00</w:t>
                  </w:r>
                  <w:r>
                    <w:rPr>
                      <w:rFonts w:hint="eastAsia" w:cs="Times New Roman"/>
                      <w:color w:val="000000" w:themeColor="text1"/>
                      <w:sz w:val="21"/>
                      <w:szCs w:val="21"/>
                      <w:u w:val="none"/>
                      <w:lang w:val="en-US" w:eastAsia="zh-CN"/>
                      <w14:textFill>
                        <w14:solidFill>
                          <w14:schemeClr w14:val="tx1"/>
                        </w14:solidFill>
                      </w14:textFill>
                    </w:rPr>
                    <w:t>4</w:t>
                  </w:r>
                </w:p>
              </w:tc>
              <w:tc>
                <w:tcPr>
                  <w:tcW w:w="520" w:type="pct"/>
                  <w:vMerge w:val="restart"/>
                  <w:shd w:val="clear" w:color="auto" w:fill="auto"/>
                  <w:noWrap w:val="0"/>
                  <w:vAlign w:val="center"/>
                </w:tcPr>
                <w:p w14:paraId="0713EBDD">
                  <w:pPr>
                    <w:jc w:val="center"/>
                    <w:outlineLvl w:val="0"/>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颗粒物</w:t>
                  </w:r>
                </w:p>
              </w:tc>
              <w:tc>
                <w:tcPr>
                  <w:tcW w:w="545" w:type="pct"/>
                  <w:vMerge w:val="restart"/>
                  <w:shd w:val="clear" w:color="auto" w:fill="auto"/>
                  <w:noWrap w:val="0"/>
                  <w:vAlign w:val="center"/>
                </w:tcPr>
                <w:p w14:paraId="219264C4">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0.006</w:t>
                  </w:r>
                </w:p>
              </w:tc>
              <w:tc>
                <w:tcPr>
                  <w:tcW w:w="520" w:type="pct"/>
                  <w:vMerge w:val="restart"/>
                  <w:shd w:val="clear" w:color="auto" w:fill="auto"/>
                  <w:noWrap w:val="0"/>
                  <w:vAlign w:val="center"/>
                </w:tcPr>
                <w:p w14:paraId="1C3D6C2D">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w:t>
                  </w:r>
                  <w:r>
                    <w:rPr>
                      <w:rFonts w:hint="eastAsia" w:cs="Times New Roman"/>
                      <w:color w:val="000000" w:themeColor="text1"/>
                      <w:sz w:val="21"/>
                      <w:szCs w:val="21"/>
                      <w:u w:val="none"/>
                      <w:lang w:val="en-US" w:eastAsia="zh-CN"/>
                      <w14:textFill>
                        <w14:solidFill>
                          <w14:schemeClr w14:val="tx1"/>
                        </w14:solidFill>
                      </w14:textFill>
                    </w:rPr>
                    <w:t>7</w:t>
                  </w:r>
                </w:p>
              </w:tc>
              <w:tc>
                <w:tcPr>
                  <w:tcW w:w="611" w:type="pct"/>
                  <w:vMerge w:val="restart"/>
                  <w:shd w:val="clear" w:color="auto" w:fill="auto"/>
                  <w:noWrap w:val="0"/>
                  <w:vAlign w:val="center"/>
                </w:tcPr>
                <w:p w14:paraId="095136A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4.640</w:t>
                  </w:r>
                </w:p>
              </w:tc>
              <w:tc>
                <w:tcPr>
                  <w:tcW w:w="1506" w:type="pct"/>
                  <w:noWrap w:val="0"/>
                  <w:vAlign w:val="center"/>
                </w:tcPr>
                <w:p w14:paraId="6CB5A737">
                  <w:pPr>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75" w:type="pct"/>
                  <w:noWrap w:val="0"/>
                  <w:vAlign w:val="center"/>
                </w:tcPr>
                <w:p w14:paraId="127D296A">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5</w:t>
                  </w:r>
                </w:p>
              </w:tc>
            </w:tr>
            <w:tr w14:paraId="20E8DBA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noWrap w:val="0"/>
                  <w:vAlign w:val="center"/>
                </w:tcPr>
                <w:p w14:paraId="17398CEC">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87" w:type="pct"/>
                  <w:vMerge w:val="continue"/>
                  <w:noWrap w:val="0"/>
                  <w:vAlign w:val="center"/>
                </w:tcPr>
                <w:p w14:paraId="274951B8">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vMerge w:val="continue"/>
                  <w:shd w:val="clear" w:color="auto" w:fill="auto"/>
                  <w:noWrap w:val="0"/>
                  <w:vAlign w:val="center"/>
                </w:tcPr>
                <w:p w14:paraId="31FDD1F0">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c>
                <w:tcPr>
                  <w:tcW w:w="545" w:type="pct"/>
                  <w:vMerge w:val="continue"/>
                  <w:shd w:val="clear" w:color="auto" w:fill="auto"/>
                  <w:noWrap w:val="0"/>
                  <w:vAlign w:val="center"/>
                </w:tcPr>
                <w:p w14:paraId="6AF65E55">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c>
                <w:tcPr>
                  <w:tcW w:w="520" w:type="pct"/>
                  <w:vMerge w:val="continue"/>
                  <w:shd w:val="clear" w:color="auto" w:fill="auto"/>
                  <w:noWrap w:val="0"/>
                  <w:vAlign w:val="center"/>
                </w:tcPr>
                <w:p w14:paraId="3B64C56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c>
                <w:tcPr>
                  <w:tcW w:w="611" w:type="pct"/>
                  <w:vMerge w:val="continue"/>
                  <w:shd w:val="clear" w:color="auto" w:fill="auto"/>
                  <w:noWrap w:val="0"/>
                  <w:vAlign w:val="center"/>
                </w:tcPr>
                <w:p w14:paraId="62B695B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c>
                <w:tcPr>
                  <w:tcW w:w="1506" w:type="pct"/>
                  <w:noWrap w:val="0"/>
                  <w:vAlign w:val="center"/>
                </w:tcPr>
                <w:p w14:paraId="10EF7EDE">
                  <w:pPr>
                    <w:adjustRightInd w:val="0"/>
                    <w:snapToGrid w:val="0"/>
                    <w:jc w:val="cente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75" w:type="pct"/>
                  <w:noWrap w:val="0"/>
                  <w:vAlign w:val="center"/>
                </w:tcPr>
                <w:p w14:paraId="2D25800D">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5</w:t>
                  </w:r>
                </w:p>
              </w:tc>
            </w:tr>
            <w:tr w14:paraId="5009A71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31" w:type="pct"/>
                  <w:vMerge w:val="continue"/>
                  <w:noWrap w:val="0"/>
                  <w:vAlign w:val="center"/>
                </w:tcPr>
                <w:p w14:paraId="563210AA">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87" w:type="pct"/>
                  <w:vMerge w:val="continue"/>
                  <w:noWrap w:val="0"/>
                  <w:vAlign w:val="center"/>
                </w:tcPr>
                <w:p w14:paraId="22BFFF7A">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vMerge w:val="restart"/>
                  <w:tcBorders>
                    <w:left w:val="single" w:color="auto" w:sz="6" w:space="0"/>
                  </w:tcBorders>
                  <w:shd w:val="clear" w:color="auto" w:fill="auto"/>
                  <w:noWrap w:val="0"/>
                  <w:vAlign w:val="center"/>
                </w:tcPr>
                <w:p w14:paraId="7CB1815B">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545" w:type="pct"/>
                  <w:vMerge w:val="restart"/>
                  <w:tcBorders>
                    <w:left w:val="single" w:color="auto" w:sz="6" w:space="0"/>
                  </w:tcBorders>
                  <w:shd w:val="clear" w:color="auto" w:fill="auto"/>
                  <w:noWrap w:val="0"/>
                  <w:vAlign w:val="center"/>
                </w:tcPr>
                <w:p w14:paraId="3BCB9ED9">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5</w:t>
                  </w:r>
                </w:p>
              </w:tc>
              <w:tc>
                <w:tcPr>
                  <w:tcW w:w="520" w:type="pct"/>
                  <w:vMerge w:val="restart"/>
                  <w:tcBorders>
                    <w:left w:val="single" w:color="auto" w:sz="6" w:space="0"/>
                  </w:tcBorders>
                  <w:shd w:val="clear" w:color="auto" w:fill="auto"/>
                  <w:noWrap w:val="0"/>
                  <w:vAlign w:val="center"/>
                </w:tcPr>
                <w:p w14:paraId="42FAACEE">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6</w:t>
                  </w:r>
                </w:p>
              </w:tc>
              <w:tc>
                <w:tcPr>
                  <w:tcW w:w="611" w:type="pct"/>
                  <w:vMerge w:val="restart"/>
                  <w:shd w:val="clear" w:color="auto" w:fill="auto"/>
                  <w:noWrap w:val="0"/>
                  <w:vAlign w:val="center"/>
                </w:tcPr>
                <w:p w14:paraId="6731200D">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3.</w:t>
                  </w:r>
                  <w:r>
                    <w:rPr>
                      <w:rFonts w:hint="eastAsia" w:cs="Times New Roman"/>
                      <w:color w:val="000000" w:themeColor="text1"/>
                      <w:kern w:val="2"/>
                      <w:sz w:val="21"/>
                      <w:szCs w:val="21"/>
                      <w:u w:val="none"/>
                      <w:lang w:val="en-US" w:eastAsia="zh-CN" w:bidi="ar-SA"/>
                      <w14:textFill>
                        <w14:solidFill>
                          <w14:schemeClr w14:val="tx1"/>
                        </w14:solidFill>
                      </w14:textFill>
                    </w:rPr>
                    <w:t>712</w:t>
                  </w:r>
                </w:p>
              </w:tc>
              <w:tc>
                <w:tcPr>
                  <w:tcW w:w="1506" w:type="pct"/>
                  <w:shd w:val="clear" w:color="auto" w:fill="auto"/>
                  <w:noWrap w:val="0"/>
                  <w:vAlign w:val="center"/>
                </w:tcPr>
                <w:p w14:paraId="65B10680">
                  <w:pPr>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75" w:type="pct"/>
                  <w:shd w:val="clear" w:color="auto" w:fill="auto"/>
                  <w:noWrap w:val="0"/>
                  <w:vAlign w:val="center"/>
                </w:tcPr>
                <w:p w14:paraId="07BB4406">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10</w:t>
                  </w:r>
                </w:p>
              </w:tc>
            </w:tr>
            <w:tr w14:paraId="67D920C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31" w:type="pct"/>
                  <w:vMerge w:val="continue"/>
                  <w:noWrap w:val="0"/>
                  <w:vAlign w:val="center"/>
                </w:tcPr>
                <w:p w14:paraId="3E7A0371">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487" w:type="pct"/>
                  <w:vMerge w:val="continue"/>
                  <w:noWrap w:val="0"/>
                  <w:vAlign w:val="center"/>
                </w:tcPr>
                <w:p w14:paraId="225E8F07">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20" w:type="pct"/>
                  <w:vMerge w:val="continue"/>
                  <w:tcBorders>
                    <w:left w:val="single" w:color="auto" w:sz="6" w:space="0"/>
                  </w:tcBorders>
                  <w:shd w:val="clear" w:color="auto" w:fill="auto"/>
                  <w:noWrap w:val="0"/>
                  <w:vAlign w:val="center"/>
                </w:tcPr>
                <w:p w14:paraId="68EF62B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45" w:type="pct"/>
                  <w:vMerge w:val="continue"/>
                  <w:tcBorders>
                    <w:left w:val="single" w:color="auto" w:sz="6" w:space="0"/>
                  </w:tcBorders>
                  <w:noWrap w:val="0"/>
                  <w:vAlign w:val="center"/>
                </w:tcPr>
                <w:p w14:paraId="7459D1E7">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20" w:type="pct"/>
                  <w:vMerge w:val="continue"/>
                  <w:tcBorders>
                    <w:left w:val="single" w:color="auto" w:sz="6" w:space="0"/>
                  </w:tcBorders>
                  <w:noWrap w:val="0"/>
                  <w:vAlign w:val="center"/>
                </w:tcPr>
                <w:p w14:paraId="7F35C0AE">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611" w:type="pct"/>
                  <w:vMerge w:val="continue"/>
                  <w:noWrap w:val="0"/>
                  <w:vAlign w:val="center"/>
                </w:tcPr>
                <w:p w14:paraId="2457A54F">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1506" w:type="pct"/>
                  <w:shd w:val="clear" w:color="auto" w:fill="auto"/>
                  <w:noWrap w:val="0"/>
                  <w:vAlign w:val="center"/>
                </w:tcPr>
                <w:p w14:paraId="5A99B2C4">
                  <w:pPr>
                    <w:adjustRightInd w:val="0"/>
                    <w:snapToGrid w:val="0"/>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75" w:type="pct"/>
                  <w:shd w:val="clear" w:color="auto" w:fill="auto"/>
                  <w:noWrap w:val="0"/>
                  <w:vAlign w:val="center"/>
                </w:tcPr>
                <w:p w14:paraId="230CAE11">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10</w:t>
                  </w:r>
                </w:p>
              </w:tc>
            </w:tr>
            <w:tr w14:paraId="24CF601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31" w:type="pct"/>
                  <w:vMerge w:val="continue"/>
                  <w:noWrap w:val="0"/>
                  <w:vAlign w:val="center"/>
                </w:tcPr>
                <w:p w14:paraId="4EDC67D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487" w:type="pct"/>
                  <w:vMerge w:val="continue"/>
                  <w:noWrap w:val="0"/>
                  <w:vAlign w:val="center"/>
                </w:tcPr>
                <w:p w14:paraId="421CA77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520" w:type="pct"/>
                  <w:vMerge w:val="restart"/>
                  <w:tcBorders>
                    <w:left w:val="single" w:color="auto" w:sz="6" w:space="0"/>
                  </w:tcBorders>
                  <w:shd w:val="clear" w:color="auto" w:fill="auto"/>
                  <w:noWrap w:val="0"/>
                  <w:vAlign w:val="center"/>
                </w:tcPr>
                <w:p w14:paraId="7E0623C2">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NOx</w:t>
                  </w:r>
                </w:p>
              </w:tc>
              <w:tc>
                <w:tcPr>
                  <w:tcW w:w="545" w:type="pct"/>
                  <w:vMerge w:val="restart"/>
                  <w:tcBorders>
                    <w:left w:val="single" w:color="auto" w:sz="6" w:space="0"/>
                  </w:tcBorders>
                  <w:shd w:val="clear" w:color="auto" w:fill="auto"/>
                  <w:noWrap w:val="0"/>
                  <w:vAlign w:val="center"/>
                </w:tcPr>
                <w:p w14:paraId="36B7098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cs="Times New Roman"/>
                      <w:color w:val="000000" w:themeColor="text1"/>
                      <w:kern w:val="2"/>
                      <w:sz w:val="21"/>
                      <w:szCs w:val="21"/>
                      <w:u w:val="none"/>
                      <w:lang w:val="en-US" w:eastAsia="zh-CN" w:bidi="ar-SA"/>
                      <w14:textFill>
                        <w14:solidFill>
                          <w14:schemeClr w14:val="tx1"/>
                        </w14:solidFill>
                      </w14:textFill>
                    </w:rPr>
                    <w:t>35</w:t>
                  </w:r>
                </w:p>
              </w:tc>
              <w:tc>
                <w:tcPr>
                  <w:tcW w:w="520" w:type="pct"/>
                  <w:vMerge w:val="restart"/>
                  <w:tcBorders>
                    <w:left w:val="single" w:color="auto" w:sz="6" w:space="0"/>
                  </w:tcBorders>
                  <w:shd w:val="clear" w:color="auto" w:fill="auto"/>
                  <w:noWrap w:val="0"/>
                  <w:vAlign w:val="center"/>
                </w:tcPr>
                <w:p w14:paraId="5D7D1F0D">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44</w:t>
                  </w:r>
                </w:p>
              </w:tc>
              <w:tc>
                <w:tcPr>
                  <w:tcW w:w="611" w:type="pct"/>
                  <w:vMerge w:val="restart"/>
                  <w:shd w:val="clear" w:color="auto" w:fill="auto"/>
                  <w:noWrap w:val="0"/>
                  <w:vAlign w:val="center"/>
                </w:tcPr>
                <w:p w14:paraId="12EFFD5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lang w:val="en-US" w:eastAsia="zh-CN" w:bidi="ar"/>
                      <w14:textFill>
                        <w14:solidFill>
                          <w14:schemeClr w14:val="tx1"/>
                        </w14:solidFill>
                      </w14:textFill>
                    </w:rPr>
                    <w:t>28.120</w:t>
                  </w:r>
                </w:p>
              </w:tc>
              <w:tc>
                <w:tcPr>
                  <w:tcW w:w="1506" w:type="pct"/>
                  <w:shd w:val="clear" w:color="auto" w:fill="auto"/>
                  <w:noWrap w:val="0"/>
                  <w:vAlign w:val="center"/>
                </w:tcPr>
                <w:p w14:paraId="2CD86327">
                  <w:pPr>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75" w:type="pct"/>
                  <w:shd w:val="clear" w:color="auto" w:fill="auto"/>
                  <w:noWrap w:val="0"/>
                  <w:vAlign w:val="center"/>
                </w:tcPr>
                <w:p w14:paraId="00302A02">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30</w:t>
                  </w:r>
                </w:p>
              </w:tc>
            </w:tr>
            <w:tr w14:paraId="49BEF16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231" w:type="pct"/>
                  <w:vMerge w:val="continue"/>
                  <w:noWrap w:val="0"/>
                  <w:vAlign w:val="center"/>
                </w:tcPr>
                <w:p w14:paraId="064338B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487" w:type="pct"/>
                  <w:vMerge w:val="continue"/>
                  <w:noWrap w:val="0"/>
                  <w:vAlign w:val="center"/>
                </w:tcPr>
                <w:p w14:paraId="1C4E9D70">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20" w:type="pct"/>
                  <w:vMerge w:val="continue"/>
                  <w:tcBorders>
                    <w:left w:val="single" w:color="auto" w:sz="6" w:space="0"/>
                  </w:tcBorders>
                  <w:shd w:val="clear" w:color="auto" w:fill="auto"/>
                  <w:noWrap w:val="0"/>
                  <w:vAlign w:val="center"/>
                </w:tcPr>
                <w:p w14:paraId="3A97D10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45" w:type="pct"/>
                  <w:vMerge w:val="continue"/>
                  <w:tcBorders>
                    <w:left w:val="single" w:color="auto" w:sz="6" w:space="0"/>
                  </w:tcBorders>
                  <w:noWrap w:val="0"/>
                  <w:vAlign w:val="center"/>
                </w:tcPr>
                <w:p w14:paraId="3168789B">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520" w:type="pct"/>
                  <w:vMerge w:val="continue"/>
                  <w:tcBorders>
                    <w:left w:val="single" w:color="auto" w:sz="6" w:space="0"/>
                  </w:tcBorders>
                  <w:noWrap w:val="0"/>
                  <w:vAlign w:val="center"/>
                </w:tcPr>
                <w:p w14:paraId="7BCE6F31">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611" w:type="pct"/>
                  <w:vMerge w:val="continue"/>
                  <w:noWrap w:val="0"/>
                  <w:vAlign w:val="center"/>
                </w:tcPr>
                <w:p w14:paraId="44C6F79F">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color w:val="000000" w:themeColor="text1"/>
                      <w14:textFill>
                        <w14:solidFill>
                          <w14:schemeClr w14:val="tx1"/>
                        </w14:solidFill>
                      </w14:textFill>
                    </w:rPr>
                  </w:pPr>
                </w:p>
              </w:tc>
              <w:tc>
                <w:tcPr>
                  <w:tcW w:w="1506" w:type="pct"/>
                  <w:shd w:val="clear" w:color="auto" w:fill="auto"/>
                  <w:noWrap w:val="0"/>
                  <w:vAlign w:val="center"/>
                </w:tcPr>
                <w:p w14:paraId="2E25F2F2">
                  <w:pPr>
                    <w:adjustRightInd w:val="0"/>
                    <w:snapToGrid w:val="0"/>
                    <w:jc w:val="cente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75" w:type="pct"/>
                  <w:shd w:val="clear" w:color="auto" w:fill="auto"/>
                  <w:noWrap w:val="0"/>
                  <w:vAlign w:val="center"/>
                </w:tcPr>
                <w:p w14:paraId="4592DE2C">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30</w:t>
                  </w:r>
                </w:p>
              </w:tc>
            </w:tr>
            <w:tr w14:paraId="57DD820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9" w:type="pct"/>
                  <w:gridSpan w:val="2"/>
                  <w:vMerge w:val="restart"/>
                  <w:tcBorders>
                    <w:right w:val="single" w:color="auto" w:sz="6" w:space="0"/>
                  </w:tcBorders>
                  <w:noWrap w:val="0"/>
                  <w:vAlign w:val="center"/>
                </w:tcPr>
                <w:p w14:paraId="29609D85">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有组织排放合计</w:t>
                  </w:r>
                </w:p>
              </w:tc>
              <w:tc>
                <w:tcPr>
                  <w:tcW w:w="2899" w:type="dxa"/>
                  <w:gridSpan w:val="3"/>
                  <w:tcBorders>
                    <w:left w:val="single" w:color="auto" w:sz="6" w:space="0"/>
                  </w:tcBorders>
                  <w:noWrap w:val="0"/>
                  <w:vAlign w:val="center"/>
                </w:tcPr>
                <w:p w14:paraId="01A76AA1">
                  <w:pPr>
                    <w:jc w:val="center"/>
                    <w:outlineLvl w:val="0"/>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2694" w:type="pct"/>
                  <w:gridSpan w:val="3"/>
                  <w:noWrap w:val="0"/>
                  <w:vAlign w:val="center"/>
                </w:tcPr>
                <w:p w14:paraId="68729798">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0.006</w:t>
                  </w:r>
                </w:p>
              </w:tc>
            </w:tr>
            <w:tr w14:paraId="4C1613A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9" w:type="pct"/>
                  <w:gridSpan w:val="2"/>
                  <w:vMerge w:val="continue"/>
                  <w:tcBorders>
                    <w:right w:val="single" w:color="auto" w:sz="6" w:space="0"/>
                  </w:tcBorders>
                  <w:noWrap w:val="0"/>
                  <w:vAlign w:val="center"/>
                </w:tcPr>
                <w:p w14:paraId="1ADB9E5F">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899" w:type="dxa"/>
                  <w:gridSpan w:val="3"/>
                  <w:tcBorders>
                    <w:left w:val="single" w:color="auto" w:sz="6" w:space="0"/>
                  </w:tcBorders>
                  <w:noWrap w:val="0"/>
                  <w:vAlign w:val="center"/>
                </w:tcPr>
                <w:p w14:paraId="0E1CE16F">
                  <w:pPr>
                    <w:jc w:val="center"/>
                    <w:outlineLvl w:val="0"/>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2694" w:type="pct"/>
                  <w:gridSpan w:val="3"/>
                  <w:noWrap w:val="0"/>
                  <w:vAlign w:val="center"/>
                </w:tcPr>
                <w:p w14:paraId="566A9B68">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0.060</w:t>
                  </w:r>
                </w:p>
              </w:tc>
            </w:tr>
            <w:tr w14:paraId="7DAB0FB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9" w:type="pct"/>
                  <w:gridSpan w:val="2"/>
                  <w:vMerge w:val="continue"/>
                  <w:tcBorders>
                    <w:right w:val="single" w:color="auto" w:sz="6" w:space="0"/>
                  </w:tcBorders>
                  <w:noWrap w:val="0"/>
                  <w:vAlign w:val="center"/>
                </w:tcPr>
                <w:p w14:paraId="27ECC596">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586" w:type="pct"/>
                  <w:gridSpan w:val="3"/>
                  <w:tcBorders>
                    <w:left w:val="single" w:color="auto" w:sz="6" w:space="0"/>
                  </w:tcBorders>
                  <w:noWrap w:val="0"/>
                  <w:vAlign w:val="center"/>
                </w:tcPr>
                <w:p w14:paraId="78A74519">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highlight w:val="none"/>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颗粒物</w:t>
                  </w:r>
                </w:p>
              </w:tc>
              <w:tc>
                <w:tcPr>
                  <w:tcW w:w="2694" w:type="pct"/>
                  <w:gridSpan w:val="3"/>
                  <w:noWrap w:val="0"/>
                  <w:vAlign w:val="center"/>
                </w:tcPr>
                <w:p w14:paraId="0ABE9385">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0.006</w:t>
                  </w:r>
                </w:p>
              </w:tc>
            </w:tr>
            <w:tr w14:paraId="66950F3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9" w:type="pct"/>
                  <w:gridSpan w:val="2"/>
                  <w:vMerge w:val="continue"/>
                  <w:tcBorders>
                    <w:right w:val="single" w:color="auto" w:sz="6" w:space="0"/>
                  </w:tcBorders>
                  <w:noWrap w:val="0"/>
                  <w:vAlign w:val="center"/>
                </w:tcPr>
                <w:p w14:paraId="3786019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586" w:type="pct"/>
                  <w:gridSpan w:val="3"/>
                  <w:tcBorders>
                    <w:left w:val="single" w:color="auto" w:sz="6" w:space="0"/>
                  </w:tcBorders>
                  <w:noWrap w:val="0"/>
                  <w:vAlign w:val="center"/>
                </w:tcPr>
                <w:p w14:paraId="624875D8">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2694" w:type="pct"/>
                  <w:gridSpan w:val="3"/>
                  <w:noWrap w:val="0"/>
                  <w:vAlign w:val="center"/>
                </w:tcPr>
                <w:p w14:paraId="5310E63A">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5</w:t>
                  </w:r>
                </w:p>
              </w:tc>
            </w:tr>
            <w:tr w14:paraId="59E464F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9" w:type="pct"/>
                  <w:gridSpan w:val="2"/>
                  <w:vMerge w:val="continue"/>
                  <w:tcBorders>
                    <w:right w:val="single" w:color="auto" w:sz="6" w:space="0"/>
                  </w:tcBorders>
                  <w:noWrap w:val="0"/>
                  <w:vAlign w:val="center"/>
                </w:tcPr>
                <w:p w14:paraId="34A13D30">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586" w:type="pct"/>
                  <w:gridSpan w:val="3"/>
                  <w:tcBorders>
                    <w:left w:val="single" w:color="auto" w:sz="6" w:space="0"/>
                  </w:tcBorders>
                  <w:noWrap w:val="0"/>
                  <w:vAlign w:val="center"/>
                </w:tcPr>
                <w:p w14:paraId="3E5955AF">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color w:val="000000" w:themeColor="text1"/>
                      <w:szCs w:val="21"/>
                      <w:u w:val="none"/>
                      <w14:textFill>
                        <w14:solidFill>
                          <w14:schemeClr w14:val="tx1"/>
                        </w14:solidFill>
                      </w14:textFill>
                    </w:rPr>
                    <w:t>NOx</w:t>
                  </w:r>
                </w:p>
              </w:tc>
              <w:tc>
                <w:tcPr>
                  <w:tcW w:w="2694" w:type="pct"/>
                  <w:gridSpan w:val="3"/>
                  <w:noWrap w:val="0"/>
                  <w:vAlign w:val="center"/>
                </w:tcPr>
                <w:p w14:paraId="2B00A83C">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cs="Times New Roman"/>
                      <w:color w:val="000000" w:themeColor="text1"/>
                      <w:kern w:val="2"/>
                      <w:sz w:val="21"/>
                      <w:szCs w:val="21"/>
                      <w:u w:val="none"/>
                      <w:lang w:val="en-US" w:eastAsia="zh-CN" w:bidi="ar-SA"/>
                      <w14:textFill>
                        <w14:solidFill>
                          <w14:schemeClr w14:val="tx1"/>
                        </w14:solidFill>
                      </w14:textFill>
                    </w:rPr>
                    <w:t>35</w:t>
                  </w:r>
                </w:p>
              </w:tc>
            </w:tr>
          </w:tbl>
          <w:p w14:paraId="0EEC391E">
            <w:pPr>
              <w:widowControl/>
              <w:adjustRightInd w:val="0"/>
              <w:snapToGrid w:val="0"/>
              <w:spacing w:line="360" w:lineRule="auto"/>
              <w:jc w:val="center"/>
              <w:rPr>
                <w:b/>
                <w:color w:val="000000" w:themeColor="text1"/>
                <w:sz w:val="24"/>
                <w:szCs w:val="24"/>
                <w:u w:val="none"/>
                <w14:textFill>
                  <w14:solidFill>
                    <w14:schemeClr w14:val="tx1"/>
                  </w14:solidFill>
                </w14:textFill>
              </w:rPr>
            </w:pPr>
            <w:r>
              <w:rPr>
                <w:b/>
                <w:color w:val="000000" w:themeColor="text1"/>
                <w:sz w:val="24"/>
                <w:szCs w:val="24"/>
                <w:u w:val="none"/>
                <w14:textFill>
                  <w14:solidFill>
                    <w14:schemeClr w14:val="tx1"/>
                  </w14:solidFill>
                </w14:textFill>
              </w:rPr>
              <w:t>表4-</w:t>
            </w:r>
            <w:r>
              <w:rPr>
                <w:rFonts w:hint="eastAsia"/>
                <w:b/>
                <w:color w:val="000000" w:themeColor="text1"/>
                <w:sz w:val="24"/>
                <w:szCs w:val="24"/>
                <w:u w:val="none"/>
                <w:lang w:val="en-US" w:eastAsia="zh-CN"/>
                <w14:textFill>
                  <w14:solidFill>
                    <w14:schemeClr w14:val="tx1"/>
                  </w14:solidFill>
                </w14:textFill>
              </w:rPr>
              <w:t>4</w:t>
            </w:r>
            <w:r>
              <w:rPr>
                <w:rFonts w:hint="eastAsia"/>
                <w:b/>
                <w:color w:val="000000" w:themeColor="text1"/>
                <w:sz w:val="24"/>
                <w:szCs w:val="24"/>
                <w:u w:val="none"/>
                <w14:textFill>
                  <w14:solidFill>
                    <w14:schemeClr w14:val="tx1"/>
                  </w14:solidFill>
                </w14:textFill>
              </w:rPr>
              <w:t xml:space="preserve">  </w:t>
            </w:r>
            <w:r>
              <w:rPr>
                <w:b/>
                <w:color w:val="000000" w:themeColor="text1"/>
                <w:sz w:val="24"/>
                <w:szCs w:val="24"/>
                <w:u w:val="none"/>
                <w14:textFill>
                  <w14:solidFill>
                    <w14:schemeClr w14:val="tx1"/>
                  </w14:solidFill>
                </w14:textFill>
              </w:rPr>
              <w:t>工程大气污染物无组织排放量核算表</w:t>
            </w:r>
          </w:p>
          <w:tbl>
            <w:tblPr>
              <w:tblStyle w:val="20"/>
              <w:tblW w:w="4955"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84"/>
              <w:gridCol w:w="798"/>
              <w:gridCol w:w="1152"/>
              <w:gridCol w:w="903"/>
              <w:gridCol w:w="1467"/>
              <w:gridCol w:w="2347"/>
              <w:gridCol w:w="1042"/>
              <w:gridCol w:w="931"/>
            </w:tblGrid>
            <w:tr w14:paraId="7824F57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5" w:type="pct"/>
                  <w:vMerge w:val="restart"/>
                  <w:vAlign w:val="center"/>
                </w:tcPr>
                <w:p w14:paraId="35593111">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序号</w:t>
                  </w:r>
                </w:p>
              </w:tc>
              <w:tc>
                <w:tcPr>
                  <w:tcW w:w="437" w:type="pct"/>
                  <w:vMerge w:val="restart"/>
                  <w:vAlign w:val="center"/>
                </w:tcPr>
                <w:p w14:paraId="0F4CBBD6">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排放口编号</w:t>
                  </w:r>
                </w:p>
              </w:tc>
              <w:tc>
                <w:tcPr>
                  <w:tcW w:w="630" w:type="pct"/>
                  <w:vMerge w:val="restart"/>
                  <w:vAlign w:val="center"/>
                </w:tcPr>
                <w:p w14:paraId="041339FD">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产污环节</w:t>
                  </w:r>
                </w:p>
              </w:tc>
              <w:tc>
                <w:tcPr>
                  <w:tcW w:w="495" w:type="pct"/>
                  <w:vMerge w:val="restart"/>
                  <w:vAlign w:val="center"/>
                </w:tcPr>
                <w:p w14:paraId="5F132D66">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污染物</w:t>
                  </w:r>
                </w:p>
              </w:tc>
              <w:tc>
                <w:tcPr>
                  <w:tcW w:w="804" w:type="pct"/>
                  <w:vMerge w:val="restart"/>
                  <w:vAlign w:val="center"/>
                </w:tcPr>
                <w:p w14:paraId="6B0F7BC7">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主要污染防治措施</w:t>
                  </w:r>
                </w:p>
              </w:tc>
              <w:tc>
                <w:tcPr>
                  <w:tcW w:w="1856" w:type="pct"/>
                  <w:gridSpan w:val="2"/>
                  <w:vAlign w:val="center"/>
                </w:tcPr>
                <w:p w14:paraId="13CAFDFB">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国家或地方标准</w:t>
                  </w:r>
                </w:p>
              </w:tc>
              <w:tc>
                <w:tcPr>
                  <w:tcW w:w="510" w:type="pct"/>
                  <w:vMerge w:val="restart"/>
                  <w:vAlign w:val="center"/>
                </w:tcPr>
                <w:p w14:paraId="22515B43">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年排放量t/a</w:t>
                  </w:r>
                </w:p>
              </w:tc>
            </w:tr>
            <w:tr w14:paraId="3D75E28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5" w:type="pct"/>
                  <w:vMerge w:val="continue"/>
                  <w:vAlign w:val="center"/>
                </w:tcPr>
                <w:p w14:paraId="599AF0EC">
                  <w:pPr>
                    <w:pStyle w:val="38"/>
                    <w:rPr>
                      <w:color w:val="000000" w:themeColor="text1"/>
                      <w:szCs w:val="21"/>
                      <w:u w:val="none"/>
                      <w14:textFill>
                        <w14:solidFill>
                          <w14:schemeClr w14:val="tx1"/>
                        </w14:solidFill>
                      </w14:textFill>
                    </w:rPr>
                  </w:pPr>
                </w:p>
              </w:tc>
              <w:tc>
                <w:tcPr>
                  <w:tcW w:w="437" w:type="pct"/>
                  <w:vMerge w:val="continue"/>
                  <w:vAlign w:val="center"/>
                </w:tcPr>
                <w:p w14:paraId="742652AE">
                  <w:pPr>
                    <w:pStyle w:val="38"/>
                    <w:rPr>
                      <w:color w:val="000000" w:themeColor="text1"/>
                      <w:szCs w:val="21"/>
                      <w:u w:val="none"/>
                      <w14:textFill>
                        <w14:solidFill>
                          <w14:schemeClr w14:val="tx1"/>
                        </w14:solidFill>
                      </w14:textFill>
                    </w:rPr>
                  </w:pPr>
                </w:p>
              </w:tc>
              <w:tc>
                <w:tcPr>
                  <w:tcW w:w="630" w:type="pct"/>
                  <w:vMerge w:val="continue"/>
                  <w:vAlign w:val="center"/>
                </w:tcPr>
                <w:p w14:paraId="4CA88C63">
                  <w:pPr>
                    <w:pStyle w:val="38"/>
                    <w:rPr>
                      <w:color w:val="000000" w:themeColor="text1"/>
                      <w:szCs w:val="21"/>
                      <w:u w:val="none"/>
                      <w14:textFill>
                        <w14:solidFill>
                          <w14:schemeClr w14:val="tx1"/>
                        </w14:solidFill>
                      </w14:textFill>
                    </w:rPr>
                  </w:pPr>
                </w:p>
              </w:tc>
              <w:tc>
                <w:tcPr>
                  <w:tcW w:w="495" w:type="pct"/>
                  <w:vMerge w:val="continue"/>
                  <w:vAlign w:val="center"/>
                </w:tcPr>
                <w:p w14:paraId="2933886B">
                  <w:pPr>
                    <w:pStyle w:val="38"/>
                    <w:rPr>
                      <w:color w:val="000000" w:themeColor="text1"/>
                      <w:szCs w:val="21"/>
                      <w:u w:val="none"/>
                      <w14:textFill>
                        <w14:solidFill>
                          <w14:schemeClr w14:val="tx1"/>
                        </w14:solidFill>
                      </w14:textFill>
                    </w:rPr>
                  </w:pPr>
                </w:p>
              </w:tc>
              <w:tc>
                <w:tcPr>
                  <w:tcW w:w="804" w:type="pct"/>
                  <w:vMerge w:val="continue"/>
                  <w:vAlign w:val="center"/>
                </w:tcPr>
                <w:p w14:paraId="04A833EC">
                  <w:pPr>
                    <w:pStyle w:val="38"/>
                    <w:rPr>
                      <w:color w:val="000000" w:themeColor="text1"/>
                      <w:szCs w:val="21"/>
                      <w:u w:val="none"/>
                      <w14:textFill>
                        <w14:solidFill>
                          <w14:schemeClr w14:val="tx1"/>
                        </w14:solidFill>
                      </w14:textFill>
                    </w:rPr>
                  </w:pPr>
                </w:p>
              </w:tc>
              <w:tc>
                <w:tcPr>
                  <w:tcW w:w="1286" w:type="pct"/>
                  <w:vAlign w:val="center"/>
                </w:tcPr>
                <w:p w14:paraId="6F43810C">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标准名称</w:t>
                  </w:r>
                </w:p>
              </w:tc>
              <w:tc>
                <w:tcPr>
                  <w:tcW w:w="570" w:type="pct"/>
                  <w:vAlign w:val="center"/>
                </w:tcPr>
                <w:p w14:paraId="5E8ED16E">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浓度限值mg/m</w:t>
                  </w:r>
                  <w:r>
                    <w:rPr>
                      <w:color w:val="000000" w:themeColor="text1"/>
                      <w:szCs w:val="21"/>
                      <w:u w:val="none"/>
                      <w:vertAlign w:val="superscript"/>
                      <w14:textFill>
                        <w14:solidFill>
                          <w14:schemeClr w14:val="tx1"/>
                        </w14:solidFill>
                      </w14:textFill>
                    </w:rPr>
                    <w:t>3</w:t>
                  </w:r>
                </w:p>
              </w:tc>
              <w:tc>
                <w:tcPr>
                  <w:tcW w:w="510" w:type="pct"/>
                  <w:vMerge w:val="continue"/>
                  <w:vAlign w:val="center"/>
                </w:tcPr>
                <w:p w14:paraId="41C38AFC">
                  <w:pPr>
                    <w:pStyle w:val="38"/>
                    <w:rPr>
                      <w:color w:val="000000" w:themeColor="text1"/>
                      <w:szCs w:val="21"/>
                      <w:u w:val="none"/>
                      <w14:textFill>
                        <w14:solidFill>
                          <w14:schemeClr w14:val="tx1"/>
                        </w14:solidFill>
                      </w14:textFill>
                    </w:rPr>
                  </w:pPr>
                </w:p>
              </w:tc>
            </w:tr>
            <w:tr w14:paraId="52462EC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5" w:type="pct"/>
                  <w:vMerge w:val="restart"/>
                  <w:vAlign w:val="center"/>
                </w:tcPr>
                <w:p w14:paraId="5538108A">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w:t>
                  </w:r>
                </w:p>
              </w:tc>
              <w:tc>
                <w:tcPr>
                  <w:tcW w:w="437" w:type="pct"/>
                  <w:vMerge w:val="restart"/>
                  <w:vAlign w:val="center"/>
                </w:tcPr>
                <w:p w14:paraId="356EB516">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生产车间</w:t>
                  </w:r>
                </w:p>
              </w:tc>
              <w:tc>
                <w:tcPr>
                  <w:tcW w:w="630" w:type="pct"/>
                  <w:shd w:val="clear" w:color="auto" w:fill="auto"/>
                  <w:vAlign w:val="center"/>
                </w:tcPr>
                <w:p w14:paraId="4E0DE29F">
                  <w:pPr>
                    <w:jc w:val="center"/>
                    <w:outlineLvl w:val="0"/>
                    <w:rPr>
                      <w:rFonts w:hint="default" w:ascii="Times New Roman" w:hAnsi="Times New Roman" w:eastAsia="宋体" w:cs="Times New Roman"/>
                      <w:color w:val="000000" w:themeColor="text1"/>
                      <w:kern w:val="2"/>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t>和面废气</w:t>
                  </w:r>
                </w:p>
              </w:tc>
              <w:tc>
                <w:tcPr>
                  <w:tcW w:w="495" w:type="pct"/>
                  <w:shd w:val="clear" w:color="auto" w:fill="auto"/>
                  <w:vAlign w:val="center"/>
                </w:tcPr>
                <w:p w14:paraId="5E18B658">
                  <w:pPr>
                    <w:jc w:val="center"/>
                    <w:outlineLvl w:val="0"/>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颗粒物</w:t>
                  </w:r>
                </w:p>
              </w:tc>
              <w:tc>
                <w:tcPr>
                  <w:tcW w:w="804" w:type="pct"/>
                  <w:vMerge w:val="restart"/>
                  <w:vAlign w:val="center"/>
                </w:tcPr>
                <w:p w14:paraId="410C9C0A">
                  <w:pPr>
                    <w:jc w:val="center"/>
                    <w:rPr>
                      <w:bCs/>
                      <w:color w:val="000000" w:themeColor="text1"/>
                      <w:szCs w:val="21"/>
                      <w:u w:val="none"/>
                      <w:lang w:val="en-GB"/>
                      <w14:textFill>
                        <w14:solidFill>
                          <w14:schemeClr w14:val="tx1"/>
                        </w14:solidFill>
                      </w14:textFill>
                    </w:rPr>
                  </w:pPr>
                  <w:r>
                    <w:rPr>
                      <w:color w:val="000000" w:themeColor="text1"/>
                      <w:szCs w:val="21"/>
                      <w:u w:val="none"/>
                      <w14:textFill>
                        <w14:solidFill>
                          <w14:schemeClr w14:val="tx1"/>
                        </w14:solidFill>
                      </w14:textFill>
                    </w:rPr>
                    <w:t>车间密闭，定期对废气环保设备维护，保证废气收集效率</w:t>
                  </w:r>
                </w:p>
              </w:tc>
              <w:tc>
                <w:tcPr>
                  <w:tcW w:w="1286" w:type="pct"/>
                  <w:shd w:val="clear" w:color="auto" w:fill="auto"/>
                  <w:vAlign w:val="center"/>
                </w:tcPr>
                <w:p w14:paraId="7EE617E6">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《大气污染物综合排放标准》（GB16297-1996）表2中二级标准</w:t>
                  </w:r>
                </w:p>
              </w:tc>
              <w:tc>
                <w:tcPr>
                  <w:tcW w:w="570" w:type="pct"/>
                  <w:vAlign w:val="center"/>
                </w:tcPr>
                <w:p w14:paraId="30E021CA">
                  <w:pPr>
                    <w:pStyle w:val="39"/>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w:t>
                  </w:r>
                  <w:r>
                    <w:rPr>
                      <w:rFonts w:hint="eastAsia"/>
                      <w:color w:val="000000" w:themeColor="text1"/>
                      <w:szCs w:val="21"/>
                      <w:u w:val="none"/>
                      <w14:textFill>
                        <w14:solidFill>
                          <w14:schemeClr w14:val="tx1"/>
                        </w14:solidFill>
                      </w14:textFill>
                    </w:rPr>
                    <w:t>.0</w:t>
                  </w:r>
                </w:p>
              </w:tc>
              <w:tc>
                <w:tcPr>
                  <w:tcW w:w="510" w:type="pct"/>
                  <w:shd w:val="clear" w:color="auto" w:fill="auto"/>
                  <w:vAlign w:val="center"/>
                </w:tcPr>
                <w:p w14:paraId="5ED6B6BB">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FF0000"/>
                      <w:kern w:val="2"/>
                      <w:sz w:val="21"/>
                      <w:szCs w:val="21"/>
                      <w:u w:val="none"/>
                      <w:lang w:val="en-US" w:eastAsia="zh-CN" w:bidi="ar-SA"/>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0.014</w:t>
                  </w:r>
                </w:p>
              </w:tc>
            </w:tr>
            <w:tr w14:paraId="45707BF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5" w:type="pct"/>
                  <w:vMerge w:val="continue"/>
                  <w:vAlign w:val="center"/>
                </w:tcPr>
                <w:p w14:paraId="49D466C8">
                  <w:pPr>
                    <w:pStyle w:val="38"/>
                    <w:rPr>
                      <w:color w:val="000000" w:themeColor="text1"/>
                      <w:szCs w:val="21"/>
                      <w:u w:val="none"/>
                      <w14:textFill>
                        <w14:solidFill>
                          <w14:schemeClr w14:val="tx1"/>
                        </w14:solidFill>
                      </w14:textFill>
                    </w:rPr>
                  </w:pPr>
                </w:p>
              </w:tc>
              <w:tc>
                <w:tcPr>
                  <w:tcW w:w="437" w:type="pct"/>
                  <w:vMerge w:val="continue"/>
                  <w:vAlign w:val="center"/>
                </w:tcPr>
                <w:p w14:paraId="5B0C4D39">
                  <w:pPr>
                    <w:pStyle w:val="38"/>
                    <w:rPr>
                      <w:color w:val="000000" w:themeColor="text1"/>
                      <w:szCs w:val="21"/>
                      <w:u w:val="none"/>
                      <w14:textFill>
                        <w14:solidFill>
                          <w14:schemeClr w14:val="tx1"/>
                        </w14:solidFill>
                      </w14:textFill>
                    </w:rPr>
                  </w:pPr>
                </w:p>
              </w:tc>
              <w:tc>
                <w:tcPr>
                  <w:tcW w:w="630" w:type="pct"/>
                  <w:vMerge w:val="restart"/>
                  <w:shd w:val="clear" w:color="auto" w:fill="auto"/>
                  <w:vAlign w:val="center"/>
                </w:tcPr>
                <w:p w14:paraId="6E72D7B4">
                  <w:pPr>
                    <w:jc w:val="center"/>
                    <w:outlineLvl w:val="0"/>
                    <w:rPr>
                      <w:rFonts w:hint="eastAsia"/>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t>熟化过程</w:t>
                  </w:r>
                  <w:r>
                    <w:rPr>
                      <w:rFonts w:hint="eastAsia" w:cs="Times New Roman"/>
                      <w:color w:val="000000" w:themeColor="text1"/>
                      <w:sz w:val="21"/>
                      <w:szCs w:val="21"/>
                      <w:u w:val="none"/>
                      <w:lang w:val="en-US" w:eastAsia="zh-CN" w:bidi="ar"/>
                      <w14:textFill>
                        <w14:solidFill>
                          <w14:schemeClr w14:val="tx1"/>
                        </w14:solidFill>
                      </w14:textFill>
                    </w:rPr>
                    <w:t>未收集废气</w:t>
                  </w:r>
                </w:p>
              </w:tc>
              <w:tc>
                <w:tcPr>
                  <w:tcW w:w="495" w:type="pct"/>
                  <w:shd w:val="clear" w:color="auto" w:fill="auto"/>
                  <w:vAlign w:val="center"/>
                </w:tcPr>
                <w:p w14:paraId="1C274695">
                  <w:pPr>
                    <w:jc w:val="center"/>
                    <w:outlineLvl w:val="0"/>
                    <w:rPr>
                      <w:rFonts w:hint="eastAsia"/>
                      <w:color w:val="000000" w:themeColor="text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804" w:type="pct"/>
                  <w:vMerge w:val="continue"/>
                  <w:vAlign w:val="center"/>
                </w:tcPr>
                <w:p w14:paraId="463F20E0">
                  <w:pPr>
                    <w:jc w:val="center"/>
                    <w:rPr>
                      <w:color w:val="000000" w:themeColor="text1"/>
                      <w:szCs w:val="21"/>
                      <w:u w:val="none"/>
                      <w14:textFill>
                        <w14:solidFill>
                          <w14:schemeClr w14:val="tx1"/>
                        </w14:solidFill>
                      </w14:textFill>
                    </w:rPr>
                  </w:pPr>
                </w:p>
              </w:tc>
              <w:tc>
                <w:tcPr>
                  <w:tcW w:w="1286" w:type="pct"/>
                  <w:shd w:val="clear" w:color="auto" w:fill="auto"/>
                  <w:vAlign w:val="center"/>
                </w:tcPr>
                <w:p w14:paraId="0AE6A1D4">
                  <w:pPr>
                    <w:jc w:val="center"/>
                    <w:rPr>
                      <w:rFonts w:hint="eastAsia"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w:t>
                  </w:r>
                </w:p>
              </w:tc>
              <w:tc>
                <w:tcPr>
                  <w:tcW w:w="570" w:type="pct"/>
                  <w:vAlign w:val="center"/>
                </w:tcPr>
                <w:p w14:paraId="45E8EFC1">
                  <w:pPr>
                    <w:pStyle w:val="39"/>
                    <w:rPr>
                      <w:rFonts w:hint="default"/>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w:t>
                  </w:r>
                </w:p>
              </w:tc>
              <w:tc>
                <w:tcPr>
                  <w:tcW w:w="510" w:type="pct"/>
                  <w:shd w:val="clear" w:color="auto" w:fill="auto"/>
                  <w:vAlign w:val="center"/>
                </w:tcPr>
                <w:p w14:paraId="08079D6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0.015</w:t>
                  </w:r>
                </w:p>
              </w:tc>
            </w:tr>
            <w:tr w14:paraId="43D0BFD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5" w:type="pct"/>
                  <w:vMerge w:val="continue"/>
                  <w:vAlign w:val="center"/>
                </w:tcPr>
                <w:p w14:paraId="48086FB8">
                  <w:pPr>
                    <w:pStyle w:val="38"/>
                    <w:rPr>
                      <w:color w:val="000000" w:themeColor="text1"/>
                      <w:szCs w:val="21"/>
                      <w:u w:val="none"/>
                      <w14:textFill>
                        <w14:solidFill>
                          <w14:schemeClr w14:val="tx1"/>
                        </w14:solidFill>
                      </w14:textFill>
                    </w:rPr>
                  </w:pPr>
                </w:p>
              </w:tc>
              <w:tc>
                <w:tcPr>
                  <w:tcW w:w="437" w:type="pct"/>
                  <w:vMerge w:val="continue"/>
                  <w:vAlign w:val="center"/>
                </w:tcPr>
                <w:p w14:paraId="5380FE13">
                  <w:pPr>
                    <w:pStyle w:val="38"/>
                    <w:rPr>
                      <w:color w:val="000000" w:themeColor="text1"/>
                      <w:szCs w:val="21"/>
                      <w:u w:val="none"/>
                      <w14:textFill>
                        <w14:solidFill>
                          <w14:schemeClr w14:val="tx1"/>
                        </w14:solidFill>
                      </w14:textFill>
                    </w:rPr>
                  </w:pPr>
                </w:p>
              </w:tc>
              <w:tc>
                <w:tcPr>
                  <w:tcW w:w="630" w:type="pct"/>
                  <w:vMerge w:val="continue"/>
                  <w:shd w:val="clear" w:color="auto" w:fill="auto"/>
                  <w:vAlign w:val="center"/>
                </w:tcPr>
                <w:p w14:paraId="6D272E37">
                  <w:pPr>
                    <w:jc w:val="center"/>
                    <w:outlineLvl w:val="0"/>
                    <w:rPr>
                      <w:rFonts w:hint="eastAsia"/>
                      <w:color w:val="000000" w:themeColor="text1"/>
                      <w:sz w:val="21"/>
                      <w:szCs w:val="21"/>
                      <w:u w:val="none"/>
                      <w:lang w:val="en-US" w:eastAsia="zh-CN"/>
                      <w14:textFill>
                        <w14:solidFill>
                          <w14:schemeClr w14:val="tx1"/>
                        </w14:solidFill>
                      </w14:textFill>
                    </w:rPr>
                  </w:pPr>
                </w:p>
              </w:tc>
              <w:tc>
                <w:tcPr>
                  <w:tcW w:w="495" w:type="pct"/>
                  <w:shd w:val="clear" w:color="auto" w:fill="auto"/>
                  <w:vAlign w:val="center"/>
                </w:tcPr>
                <w:p w14:paraId="3FB247BA">
                  <w:pPr>
                    <w:jc w:val="center"/>
                    <w:outlineLvl w:val="0"/>
                    <w:rPr>
                      <w:rFonts w:hint="eastAsia"/>
                      <w:color w:val="000000" w:themeColor="text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804" w:type="pct"/>
                  <w:vMerge w:val="continue"/>
                  <w:vAlign w:val="center"/>
                </w:tcPr>
                <w:p w14:paraId="1A572CEA">
                  <w:pPr>
                    <w:jc w:val="center"/>
                    <w:rPr>
                      <w:color w:val="000000" w:themeColor="text1"/>
                      <w:szCs w:val="21"/>
                      <w:u w:val="none"/>
                      <w14:textFill>
                        <w14:solidFill>
                          <w14:schemeClr w14:val="tx1"/>
                        </w14:solidFill>
                      </w14:textFill>
                    </w:rPr>
                  </w:pPr>
                </w:p>
              </w:tc>
              <w:tc>
                <w:tcPr>
                  <w:tcW w:w="1286" w:type="pct"/>
                  <w:shd w:val="clear" w:color="auto" w:fill="auto"/>
                  <w:vAlign w:val="center"/>
                </w:tcPr>
                <w:p w14:paraId="2464E960">
                  <w:pPr>
                    <w:jc w:val="center"/>
                    <w:rPr>
                      <w:color w:val="000000" w:themeColor="text1"/>
                      <w:szCs w:val="21"/>
                      <w:u w:val="none"/>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w:t>
                  </w:r>
                </w:p>
              </w:tc>
              <w:tc>
                <w:tcPr>
                  <w:tcW w:w="570" w:type="pct"/>
                  <w:vAlign w:val="center"/>
                </w:tcPr>
                <w:p w14:paraId="59FB9358">
                  <w:pPr>
                    <w:pStyle w:val="39"/>
                    <w:rPr>
                      <w:rFonts w:hint="eastAsia"/>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w:t>
                  </w:r>
                </w:p>
              </w:tc>
              <w:tc>
                <w:tcPr>
                  <w:tcW w:w="510" w:type="pct"/>
                  <w:shd w:val="clear" w:color="auto" w:fill="auto"/>
                  <w:vAlign w:val="center"/>
                </w:tcPr>
                <w:p w14:paraId="6ABEA5A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0.007</w:t>
                  </w:r>
                </w:p>
              </w:tc>
            </w:tr>
            <w:tr w14:paraId="3D0086B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5" w:type="pct"/>
                  <w:vMerge w:val="continue"/>
                  <w:vAlign w:val="center"/>
                </w:tcPr>
                <w:p w14:paraId="7E752B71">
                  <w:pPr>
                    <w:pStyle w:val="38"/>
                    <w:rPr>
                      <w:color w:val="000000" w:themeColor="text1"/>
                      <w:szCs w:val="21"/>
                      <w:u w:val="none"/>
                      <w14:textFill>
                        <w14:solidFill>
                          <w14:schemeClr w14:val="tx1"/>
                        </w14:solidFill>
                      </w14:textFill>
                    </w:rPr>
                  </w:pPr>
                </w:p>
              </w:tc>
              <w:tc>
                <w:tcPr>
                  <w:tcW w:w="437" w:type="pct"/>
                  <w:vMerge w:val="continue"/>
                  <w:vAlign w:val="center"/>
                </w:tcPr>
                <w:p w14:paraId="71ED2C39">
                  <w:pPr>
                    <w:pStyle w:val="38"/>
                    <w:rPr>
                      <w:color w:val="000000" w:themeColor="text1"/>
                      <w:szCs w:val="21"/>
                      <w:u w:val="none"/>
                      <w14:textFill>
                        <w14:solidFill>
                          <w14:schemeClr w14:val="tx1"/>
                        </w14:solidFill>
                      </w14:textFill>
                    </w:rPr>
                  </w:pPr>
                </w:p>
              </w:tc>
              <w:tc>
                <w:tcPr>
                  <w:tcW w:w="630" w:type="pct"/>
                  <w:vMerge w:val="restart"/>
                  <w:shd w:val="clear" w:color="auto" w:fill="auto"/>
                  <w:vAlign w:val="center"/>
                </w:tcPr>
                <w:p w14:paraId="6EC3B8D6">
                  <w:pPr>
                    <w:jc w:val="center"/>
                    <w:outlineLvl w:val="0"/>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熟化过程天然气燃烧废气</w:t>
                  </w:r>
                </w:p>
              </w:tc>
              <w:tc>
                <w:tcPr>
                  <w:tcW w:w="495" w:type="pct"/>
                  <w:shd w:val="clear" w:color="auto" w:fill="auto"/>
                  <w:vAlign w:val="center"/>
                </w:tcPr>
                <w:p w14:paraId="6949A2C9">
                  <w:pPr>
                    <w:jc w:val="center"/>
                    <w:outlineLvl w:val="0"/>
                    <w:rPr>
                      <w:rFonts w:hint="eastAsia"/>
                      <w:color w:val="000000" w:themeColor="text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804" w:type="pct"/>
                  <w:vMerge w:val="continue"/>
                  <w:vAlign w:val="center"/>
                </w:tcPr>
                <w:p w14:paraId="6E5EBE26">
                  <w:pPr>
                    <w:jc w:val="center"/>
                    <w:rPr>
                      <w:color w:val="000000" w:themeColor="text1"/>
                      <w:szCs w:val="21"/>
                      <w:u w:val="none"/>
                      <w14:textFill>
                        <w14:solidFill>
                          <w14:schemeClr w14:val="tx1"/>
                        </w14:solidFill>
                      </w14:textFill>
                    </w:rPr>
                  </w:pPr>
                </w:p>
              </w:tc>
              <w:tc>
                <w:tcPr>
                  <w:tcW w:w="1286" w:type="pct"/>
                  <w:shd w:val="clear" w:color="auto" w:fill="auto"/>
                  <w:vAlign w:val="center"/>
                </w:tcPr>
                <w:p w14:paraId="3E7C7298">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《大气污染物综合排放标准》（GB16297-1996）表2中二级标准</w:t>
                  </w:r>
                </w:p>
              </w:tc>
              <w:tc>
                <w:tcPr>
                  <w:tcW w:w="570" w:type="pct"/>
                  <w:vAlign w:val="center"/>
                </w:tcPr>
                <w:p w14:paraId="6CB90270">
                  <w:pPr>
                    <w:pStyle w:val="39"/>
                    <w:rPr>
                      <w:rFonts w:hint="eastAsia"/>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w:t>
                  </w:r>
                  <w:r>
                    <w:rPr>
                      <w:rFonts w:hint="eastAsia"/>
                      <w:color w:val="000000" w:themeColor="text1"/>
                      <w:szCs w:val="21"/>
                      <w:u w:val="none"/>
                      <w14:textFill>
                        <w14:solidFill>
                          <w14:schemeClr w14:val="tx1"/>
                        </w14:solidFill>
                      </w14:textFill>
                    </w:rPr>
                    <w:t>.0</w:t>
                  </w:r>
                </w:p>
              </w:tc>
              <w:tc>
                <w:tcPr>
                  <w:tcW w:w="510" w:type="pct"/>
                  <w:shd w:val="clear" w:color="auto" w:fill="auto"/>
                  <w:vAlign w:val="center"/>
                </w:tcPr>
                <w:p w14:paraId="17BDC76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0.005</w:t>
                  </w:r>
                </w:p>
              </w:tc>
            </w:tr>
            <w:tr w14:paraId="6670CD0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5" w:type="pct"/>
                  <w:vMerge w:val="continue"/>
                  <w:vAlign w:val="center"/>
                </w:tcPr>
                <w:p w14:paraId="78E36D57">
                  <w:pPr>
                    <w:pStyle w:val="38"/>
                    <w:rPr>
                      <w:color w:val="000000" w:themeColor="text1"/>
                      <w:szCs w:val="21"/>
                      <w:u w:val="none"/>
                      <w14:textFill>
                        <w14:solidFill>
                          <w14:schemeClr w14:val="tx1"/>
                        </w14:solidFill>
                      </w14:textFill>
                    </w:rPr>
                  </w:pPr>
                </w:p>
              </w:tc>
              <w:tc>
                <w:tcPr>
                  <w:tcW w:w="437" w:type="pct"/>
                  <w:vMerge w:val="continue"/>
                  <w:vAlign w:val="center"/>
                </w:tcPr>
                <w:p w14:paraId="75025B0B">
                  <w:pPr>
                    <w:pStyle w:val="38"/>
                    <w:rPr>
                      <w:color w:val="000000" w:themeColor="text1"/>
                      <w:szCs w:val="21"/>
                      <w:u w:val="none"/>
                      <w14:textFill>
                        <w14:solidFill>
                          <w14:schemeClr w14:val="tx1"/>
                        </w14:solidFill>
                      </w14:textFill>
                    </w:rPr>
                  </w:pPr>
                </w:p>
              </w:tc>
              <w:tc>
                <w:tcPr>
                  <w:tcW w:w="630" w:type="pct"/>
                  <w:vMerge w:val="continue"/>
                  <w:shd w:val="clear" w:color="auto" w:fill="auto"/>
                  <w:vAlign w:val="center"/>
                </w:tcPr>
                <w:p w14:paraId="1A3F342F">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95" w:type="pct"/>
                  <w:shd w:val="clear" w:color="auto" w:fill="auto"/>
                  <w:vAlign w:val="center"/>
                </w:tcPr>
                <w:p w14:paraId="677928CE">
                  <w:pPr>
                    <w:jc w:val="center"/>
                    <w:outlineLvl w:val="0"/>
                    <w:rPr>
                      <w:rFonts w:hint="eastAsia"/>
                      <w:color w:val="000000" w:themeColor="text1"/>
                      <w:szCs w:val="21"/>
                      <w:u w:val="none"/>
                      <w:lang w:val="en-US" w:eastAsia="zh-CN"/>
                      <w14:textFill>
                        <w14:solidFill>
                          <w14:schemeClr w14:val="tx1"/>
                        </w14:solidFill>
                      </w14:textFill>
                    </w:rPr>
                  </w:pPr>
                  <w:r>
                    <w:rPr>
                      <w:rFonts w:hint="eastAsia"/>
                      <w:color w:val="000000" w:themeColor="text1"/>
                      <w:sz w:val="21"/>
                      <w:szCs w:val="21"/>
                      <w:u w:val="none"/>
                      <w14:textFill>
                        <w14:solidFill>
                          <w14:schemeClr w14:val="tx1"/>
                        </w14:solidFill>
                      </w14:textFill>
                    </w:rPr>
                    <w:t>SO</w:t>
                  </w:r>
                  <w:r>
                    <w:rPr>
                      <w:rFonts w:hint="eastAsia"/>
                      <w:color w:val="000000" w:themeColor="text1"/>
                      <w:sz w:val="21"/>
                      <w:szCs w:val="21"/>
                      <w:u w:val="none"/>
                      <w:vertAlign w:val="subscript"/>
                      <w14:textFill>
                        <w14:solidFill>
                          <w14:schemeClr w14:val="tx1"/>
                        </w14:solidFill>
                      </w14:textFill>
                    </w:rPr>
                    <w:t>2</w:t>
                  </w:r>
                </w:p>
              </w:tc>
              <w:tc>
                <w:tcPr>
                  <w:tcW w:w="804" w:type="pct"/>
                  <w:vMerge w:val="continue"/>
                  <w:vAlign w:val="center"/>
                </w:tcPr>
                <w:p w14:paraId="62E3A8DB">
                  <w:pPr>
                    <w:jc w:val="center"/>
                    <w:rPr>
                      <w:color w:val="000000" w:themeColor="text1"/>
                      <w:szCs w:val="21"/>
                      <w:u w:val="none"/>
                      <w14:textFill>
                        <w14:solidFill>
                          <w14:schemeClr w14:val="tx1"/>
                        </w14:solidFill>
                      </w14:textFill>
                    </w:rPr>
                  </w:pPr>
                </w:p>
              </w:tc>
              <w:tc>
                <w:tcPr>
                  <w:tcW w:w="1286" w:type="pct"/>
                  <w:shd w:val="clear" w:color="auto" w:fill="auto"/>
                  <w:vAlign w:val="center"/>
                </w:tcPr>
                <w:p w14:paraId="7368E4C0">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《大气污染物综合排放标准》（GB16297-1996）表2中二级标准</w:t>
                  </w:r>
                </w:p>
              </w:tc>
              <w:tc>
                <w:tcPr>
                  <w:tcW w:w="570" w:type="pct"/>
                  <w:vAlign w:val="center"/>
                </w:tcPr>
                <w:p w14:paraId="18F68944">
                  <w:pPr>
                    <w:pStyle w:val="39"/>
                    <w:rPr>
                      <w:rFonts w:hint="default"/>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0.4</w:t>
                  </w:r>
                </w:p>
              </w:tc>
              <w:tc>
                <w:tcPr>
                  <w:tcW w:w="510" w:type="pct"/>
                  <w:shd w:val="clear" w:color="auto" w:fill="auto"/>
                  <w:vAlign w:val="center"/>
                </w:tcPr>
                <w:p w14:paraId="3CD84B4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0.00002</w:t>
                  </w:r>
                </w:p>
              </w:tc>
            </w:tr>
            <w:tr w14:paraId="67DE749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5" w:type="pct"/>
                  <w:vMerge w:val="continue"/>
                  <w:vAlign w:val="center"/>
                </w:tcPr>
                <w:p w14:paraId="2084C392">
                  <w:pPr>
                    <w:pStyle w:val="38"/>
                    <w:rPr>
                      <w:color w:val="000000" w:themeColor="text1"/>
                      <w:szCs w:val="21"/>
                      <w:u w:val="none"/>
                      <w14:textFill>
                        <w14:solidFill>
                          <w14:schemeClr w14:val="tx1"/>
                        </w14:solidFill>
                      </w14:textFill>
                    </w:rPr>
                  </w:pPr>
                </w:p>
              </w:tc>
              <w:tc>
                <w:tcPr>
                  <w:tcW w:w="437" w:type="pct"/>
                  <w:vMerge w:val="continue"/>
                  <w:vAlign w:val="center"/>
                </w:tcPr>
                <w:p w14:paraId="2B7A305C">
                  <w:pPr>
                    <w:pStyle w:val="38"/>
                    <w:rPr>
                      <w:color w:val="000000" w:themeColor="text1"/>
                      <w:szCs w:val="21"/>
                      <w:u w:val="none"/>
                      <w14:textFill>
                        <w14:solidFill>
                          <w14:schemeClr w14:val="tx1"/>
                        </w14:solidFill>
                      </w14:textFill>
                    </w:rPr>
                  </w:pPr>
                </w:p>
              </w:tc>
              <w:tc>
                <w:tcPr>
                  <w:tcW w:w="630" w:type="pct"/>
                  <w:vMerge w:val="continue"/>
                  <w:shd w:val="clear" w:color="auto" w:fill="auto"/>
                  <w:vAlign w:val="center"/>
                </w:tcPr>
                <w:p w14:paraId="75386297">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95" w:type="pct"/>
                  <w:shd w:val="clear" w:color="auto" w:fill="auto"/>
                  <w:vAlign w:val="center"/>
                </w:tcPr>
                <w:p w14:paraId="4E3A8639">
                  <w:pPr>
                    <w:jc w:val="center"/>
                    <w:outlineLvl w:val="0"/>
                    <w:rPr>
                      <w:rFonts w:hint="eastAsia"/>
                      <w:color w:val="000000" w:themeColor="text1"/>
                      <w:szCs w:val="21"/>
                      <w:u w:val="none"/>
                      <w:lang w:val="en-US" w:eastAsia="zh-CN"/>
                      <w14:textFill>
                        <w14:solidFill>
                          <w14:schemeClr w14:val="tx1"/>
                        </w14:solidFill>
                      </w14:textFill>
                    </w:rPr>
                  </w:pPr>
                  <w:r>
                    <w:rPr>
                      <w:rFonts w:hint="eastAsia"/>
                      <w:color w:val="000000" w:themeColor="text1"/>
                      <w:sz w:val="21"/>
                      <w:szCs w:val="21"/>
                      <w:u w:val="none"/>
                      <w14:textFill>
                        <w14:solidFill>
                          <w14:schemeClr w14:val="tx1"/>
                        </w14:solidFill>
                      </w14:textFill>
                    </w:rPr>
                    <w:t>NOx</w:t>
                  </w:r>
                </w:p>
              </w:tc>
              <w:tc>
                <w:tcPr>
                  <w:tcW w:w="804" w:type="pct"/>
                  <w:vMerge w:val="continue"/>
                  <w:vAlign w:val="center"/>
                </w:tcPr>
                <w:p w14:paraId="6F47EC54">
                  <w:pPr>
                    <w:jc w:val="center"/>
                    <w:rPr>
                      <w:color w:val="000000" w:themeColor="text1"/>
                      <w:szCs w:val="21"/>
                      <w:u w:val="none"/>
                      <w14:textFill>
                        <w14:solidFill>
                          <w14:schemeClr w14:val="tx1"/>
                        </w14:solidFill>
                      </w14:textFill>
                    </w:rPr>
                  </w:pPr>
                </w:p>
              </w:tc>
              <w:tc>
                <w:tcPr>
                  <w:tcW w:w="1286" w:type="pct"/>
                  <w:shd w:val="clear" w:color="auto" w:fill="auto"/>
                  <w:vAlign w:val="center"/>
                </w:tcPr>
                <w:p w14:paraId="5CFC6812">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《大气污染物综合排放标准》（GB16297-1996）表2中二级标准</w:t>
                  </w:r>
                </w:p>
              </w:tc>
              <w:tc>
                <w:tcPr>
                  <w:tcW w:w="570" w:type="pct"/>
                  <w:vAlign w:val="center"/>
                </w:tcPr>
                <w:p w14:paraId="208EEACE">
                  <w:pPr>
                    <w:pStyle w:val="39"/>
                    <w:rPr>
                      <w:rFonts w:hint="default"/>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0.12</w:t>
                  </w:r>
                </w:p>
              </w:tc>
              <w:tc>
                <w:tcPr>
                  <w:tcW w:w="510" w:type="pct"/>
                  <w:shd w:val="clear" w:color="auto" w:fill="auto"/>
                  <w:vAlign w:val="center"/>
                </w:tcPr>
                <w:p w14:paraId="689808E6">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0.055</w:t>
                  </w:r>
                </w:p>
              </w:tc>
            </w:tr>
            <w:tr w14:paraId="6E4D3C6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5" w:type="pct"/>
                  <w:vMerge w:val="restart"/>
                  <w:vAlign w:val="center"/>
                </w:tcPr>
                <w:p w14:paraId="3C7B211A">
                  <w:pPr>
                    <w:pStyle w:val="38"/>
                    <w:rPr>
                      <w:rFonts w:hint="eastAsia"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2</w:t>
                  </w:r>
                </w:p>
              </w:tc>
              <w:tc>
                <w:tcPr>
                  <w:tcW w:w="437" w:type="pct"/>
                  <w:vMerge w:val="restart"/>
                  <w:vAlign w:val="center"/>
                </w:tcPr>
                <w:p w14:paraId="41560511">
                  <w:pPr>
                    <w:pStyle w:val="38"/>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w:t>
                  </w:r>
                </w:p>
              </w:tc>
              <w:tc>
                <w:tcPr>
                  <w:tcW w:w="630" w:type="pct"/>
                  <w:vMerge w:val="restart"/>
                  <w:shd w:val="clear" w:color="auto" w:fill="auto"/>
                  <w:vAlign w:val="center"/>
                </w:tcPr>
                <w:p w14:paraId="13EBCD2C">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污水处理站产生恶臭</w:t>
                  </w:r>
                </w:p>
              </w:tc>
              <w:tc>
                <w:tcPr>
                  <w:tcW w:w="495" w:type="pct"/>
                  <w:shd w:val="clear" w:color="auto" w:fill="auto"/>
                  <w:vAlign w:val="center"/>
                </w:tcPr>
                <w:p w14:paraId="3330D35B">
                  <w:pPr>
                    <w:pStyle w:val="38"/>
                    <w:rPr>
                      <w:rFonts w:hint="eastAsia"/>
                      <w:color w:val="000000" w:themeColor="text1"/>
                      <w:sz w:val="21"/>
                      <w:szCs w:val="21"/>
                      <w:u w:val="none"/>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804" w:type="pct"/>
                  <w:vMerge w:val="restart"/>
                  <w:vAlign w:val="center"/>
                </w:tcPr>
                <w:p w14:paraId="10BB6778">
                  <w:pPr>
                    <w:jc w:val="center"/>
                    <w:rPr>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污水处理站加盖密闭，定期喷洒除臭剂等</w:t>
                  </w:r>
                </w:p>
              </w:tc>
              <w:tc>
                <w:tcPr>
                  <w:tcW w:w="1286" w:type="pct"/>
                  <w:shd w:val="clear" w:color="auto" w:fill="auto"/>
                  <w:vAlign w:val="center"/>
                </w:tcPr>
                <w:p w14:paraId="1332CD37">
                  <w:pPr>
                    <w:jc w:val="center"/>
                    <w:rPr>
                      <w:color w:val="000000" w:themeColor="text1"/>
                      <w:szCs w:val="21"/>
                      <w:u w:val="none"/>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《恶臭污染物排放标准》（</w:t>
                  </w:r>
                  <w:r>
                    <w:rPr>
                      <w:color w:val="000000" w:themeColor="text1"/>
                      <w:kern w:val="0"/>
                      <w:szCs w:val="21"/>
                      <w:lang w:bidi="ar"/>
                      <w14:textFill>
                        <w14:solidFill>
                          <w14:schemeClr w14:val="tx1"/>
                        </w14:solidFill>
                      </w14:textFill>
                    </w:rPr>
                    <w:t>GB14554-93</w:t>
                  </w:r>
                  <w:r>
                    <w:rPr>
                      <w:rFonts w:hint="eastAsia" w:ascii="宋体" w:hAnsi="宋体" w:cs="宋体"/>
                      <w:color w:val="000000" w:themeColor="text1"/>
                      <w:kern w:val="0"/>
                      <w:szCs w:val="21"/>
                      <w:lang w:bidi="ar"/>
                      <w14:textFill>
                        <w14:solidFill>
                          <w14:schemeClr w14:val="tx1"/>
                        </w14:solidFill>
                      </w14:textFill>
                    </w:rPr>
                    <w:t>）表1中二级标准</w:t>
                  </w:r>
                </w:p>
              </w:tc>
              <w:tc>
                <w:tcPr>
                  <w:tcW w:w="570" w:type="pct"/>
                  <w:vAlign w:val="center"/>
                </w:tcPr>
                <w:p w14:paraId="08C6C677">
                  <w:pPr>
                    <w:pStyle w:val="39"/>
                    <w:rPr>
                      <w:rFonts w:hint="eastAsia"/>
                      <w:color w:val="000000" w:themeColor="text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1.5</w:t>
                  </w:r>
                </w:p>
              </w:tc>
              <w:tc>
                <w:tcPr>
                  <w:tcW w:w="931" w:type="dxa"/>
                  <w:shd w:val="clear" w:color="auto" w:fill="auto"/>
                  <w:vAlign w:val="center"/>
                </w:tcPr>
                <w:p w14:paraId="428DCF26">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0.009</w:t>
                  </w:r>
                </w:p>
              </w:tc>
            </w:tr>
            <w:tr w14:paraId="6189622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5" w:type="pct"/>
                  <w:vMerge w:val="continue"/>
                  <w:vAlign w:val="center"/>
                </w:tcPr>
                <w:p w14:paraId="5258EC94">
                  <w:pPr>
                    <w:pStyle w:val="38"/>
                    <w:rPr>
                      <w:color w:val="000000" w:themeColor="text1"/>
                      <w:szCs w:val="21"/>
                      <w:u w:val="none"/>
                      <w14:textFill>
                        <w14:solidFill>
                          <w14:schemeClr w14:val="tx1"/>
                        </w14:solidFill>
                      </w14:textFill>
                    </w:rPr>
                  </w:pPr>
                </w:p>
              </w:tc>
              <w:tc>
                <w:tcPr>
                  <w:tcW w:w="437" w:type="pct"/>
                  <w:vMerge w:val="continue"/>
                  <w:vAlign w:val="center"/>
                </w:tcPr>
                <w:p w14:paraId="443C32DD">
                  <w:pPr>
                    <w:pStyle w:val="38"/>
                    <w:rPr>
                      <w:color w:val="000000" w:themeColor="text1"/>
                      <w:szCs w:val="21"/>
                      <w:u w:val="none"/>
                      <w14:textFill>
                        <w14:solidFill>
                          <w14:schemeClr w14:val="tx1"/>
                        </w14:solidFill>
                      </w14:textFill>
                    </w:rPr>
                  </w:pPr>
                </w:p>
              </w:tc>
              <w:tc>
                <w:tcPr>
                  <w:tcW w:w="630" w:type="pct"/>
                  <w:vMerge w:val="continue"/>
                  <w:shd w:val="clear" w:color="auto" w:fill="auto"/>
                  <w:vAlign w:val="center"/>
                </w:tcPr>
                <w:p w14:paraId="3101DB63">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p>
              </w:tc>
              <w:tc>
                <w:tcPr>
                  <w:tcW w:w="495" w:type="pct"/>
                  <w:shd w:val="clear" w:color="auto" w:fill="auto"/>
                  <w:vAlign w:val="center"/>
                </w:tcPr>
                <w:p w14:paraId="44D675EB">
                  <w:pPr>
                    <w:pStyle w:val="38"/>
                    <w:rPr>
                      <w:rFonts w:hint="eastAsia"/>
                      <w:color w:val="000000" w:themeColor="text1"/>
                      <w:sz w:val="21"/>
                      <w:szCs w:val="21"/>
                      <w:u w:val="none"/>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804" w:type="pct"/>
                  <w:vMerge w:val="continue"/>
                  <w:vAlign w:val="center"/>
                </w:tcPr>
                <w:p w14:paraId="1FB72876">
                  <w:pPr>
                    <w:jc w:val="center"/>
                    <w:rPr>
                      <w:color w:val="000000" w:themeColor="text1"/>
                      <w:szCs w:val="21"/>
                      <w:u w:val="none"/>
                      <w14:textFill>
                        <w14:solidFill>
                          <w14:schemeClr w14:val="tx1"/>
                        </w14:solidFill>
                      </w14:textFill>
                    </w:rPr>
                  </w:pPr>
                </w:p>
              </w:tc>
              <w:tc>
                <w:tcPr>
                  <w:tcW w:w="1286" w:type="pct"/>
                  <w:shd w:val="clear" w:color="auto" w:fill="auto"/>
                  <w:vAlign w:val="center"/>
                </w:tcPr>
                <w:p w14:paraId="5550367F">
                  <w:pPr>
                    <w:jc w:val="center"/>
                    <w:rPr>
                      <w:color w:val="000000" w:themeColor="text1"/>
                      <w:szCs w:val="21"/>
                      <w:u w:val="none"/>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《恶臭污染物排放标准》（</w:t>
                  </w:r>
                  <w:r>
                    <w:rPr>
                      <w:color w:val="000000" w:themeColor="text1"/>
                      <w:kern w:val="0"/>
                      <w:szCs w:val="21"/>
                      <w:lang w:bidi="ar"/>
                      <w14:textFill>
                        <w14:solidFill>
                          <w14:schemeClr w14:val="tx1"/>
                        </w14:solidFill>
                      </w14:textFill>
                    </w:rPr>
                    <w:t>GB14554-93</w:t>
                  </w:r>
                  <w:r>
                    <w:rPr>
                      <w:rFonts w:hint="eastAsia" w:ascii="宋体" w:hAnsi="宋体" w:cs="宋体"/>
                      <w:color w:val="000000" w:themeColor="text1"/>
                      <w:kern w:val="0"/>
                      <w:szCs w:val="21"/>
                      <w:lang w:bidi="ar"/>
                      <w14:textFill>
                        <w14:solidFill>
                          <w14:schemeClr w14:val="tx1"/>
                        </w14:solidFill>
                      </w14:textFill>
                    </w:rPr>
                    <w:t>）表1中二级标准</w:t>
                  </w:r>
                </w:p>
              </w:tc>
              <w:tc>
                <w:tcPr>
                  <w:tcW w:w="570" w:type="pct"/>
                  <w:vAlign w:val="center"/>
                </w:tcPr>
                <w:p w14:paraId="7A499D2B">
                  <w:pPr>
                    <w:pStyle w:val="39"/>
                    <w:rPr>
                      <w:rFonts w:hint="eastAsia"/>
                      <w:color w:val="000000" w:themeColor="text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0.06</w:t>
                  </w:r>
                </w:p>
              </w:tc>
              <w:tc>
                <w:tcPr>
                  <w:tcW w:w="931" w:type="dxa"/>
                  <w:shd w:val="clear" w:color="auto" w:fill="auto"/>
                  <w:vAlign w:val="center"/>
                </w:tcPr>
                <w:p w14:paraId="60095585">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0.0003</w:t>
                  </w:r>
                </w:p>
              </w:tc>
            </w:tr>
            <w:tr w14:paraId="26CF04C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3" w:type="pct"/>
                  <w:gridSpan w:val="3"/>
                  <w:vMerge w:val="restart"/>
                  <w:tcBorders>
                    <w:right w:val="single" w:color="auto" w:sz="6" w:space="0"/>
                  </w:tcBorders>
                  <w:vAlign w:val="center"/>
                </w:tcPr>
                <w:p w14:paraId="1E800857">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无组织排放合计</w:t>
                  </w:r>
                </w:p>
              </w:tc>
              <w:tc>
                <w:tcPr>
                  <w:tcW w:w="3156" w:type="pct"/>
                  <w:gridSpan w:val="4"/>
                  <w:tcBorders>
                    <w:left w:val="single" w:color="auto" w:sz="6" w:space="0"/>
                  </w:tcBorders>
                  <w:vAlign w:val="center"/>
                </w:tcPr>
                <w:p w14:paraId="230EFD5A">
                  <w:pPr>
                    <w:jc w:val="center"/>
                    <w:outlineLvl w:val="0"/>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510" w:type="pct"/>
                  <w:shd w:val="clear" w:color="auto" w:fill="auto"/>
                  <w:vAlign w:val="center"/>
                </w:tcPr>
                <w:p w14:paraId="3A6232E2">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0.015</w:t>
                  </w:r>
                </w:p>
              </w:tc>
            </w:tr>
            <w:tr w14:paraId="67E5F47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3" w:type="pct"/>
                  <w:gridSpan w:val="3"/>
                  <w:vMerge w:val="continue"/>
                  <w:tcBorders>
                    <w:right w:val="single" w:color="auto" w:sz="6" w:space="0"/>
                  </w:tcBorders>
                  <w:vAlign w:val="center"/>
                </w:tcPr>
                <w:p w14:paraId="0C876026">
                  <w:pPr>
                    <w:pStyle w:val="38"/>
                    <w:rPr>
                      <w:color w:val="000000" w:themeColor="text1"/>
                      <w:szCs w:val="21"/>
                      <w:u w:val="none"/>
                      <w14:textFill>
                        <w14:solidFill>
                          <w14:schemeClr w14:val="tx1"/>
                        </w14:solidFill>
                      </w14:textFill>
                    </w:rPr>
                  </w:pPr>
                </w:p>
              </w:tc>
              <w:tc>
                <w:tcPr>
                  <w:tcW w:w="3156" w:type="pct"/>
                  <w:gridSpan w:val="4"/>
                  <w:tcBorders>
                    <w:left w:val="single" w:color="auto" w:sz="6" w:space="0"/>
                  </w:tcBorders>
                  <w:vAlign w:val="center"/>
                </w:tcPr>
                <w:p w14:paraId="4EAB281D">
                  <w:pPr>
                    <w:jc w:val="center"/>
                    <w:outlineLvl w:val="0"/>
                    <w:rPr>
                      <w:rFonts w:hint="eastAsia"/>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510" w:type="pct"/>
                  <w:shd w:val="clear" w:color="auto" w:fill="auto"/>
                  <w:vAlign w:val="center"/>
                </w:tcPr>
                <w:p w14:paraId="0C631713">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0.007</w:t>
                  </w:r>
                </w:p>
              </w:tc>
            </w:tr>
            <w:tr w14:paraId="22F2779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3" w:type="pct"/>
                  <w:gridSpan w:val="3"/>
                  <w:vMerge w:val="continue"/>
                  <w:tcBorders>
                    <w:right w:val="single" w:color="auto" w:sz="6" w:space="0"/>
                  </w:tcBorders>
                  <w:vAlign w:val="center"/>
                </w:tcPr>
                <w:p w14:paraId="7A25790A">
                  <w:pPr>
                    <w:pStyle w:val="38"/>
                    <w:rPr>
                      <w:color w:val="000000" w:themeColor="text1"/>
                      <w:szCs w:val="21"/>
                      <w:u w:val="none"/>
                      <w14:textFill>
                        <w14:solidFill>
                          <w14:schemeClr w14:val="tx1"/>
                        </w14:solidFill>
                      </w14:textFill>
                    </w:rPr>
                  </w:pPr>
                </w:p>
              </w:tc>
              <w:tc>
                <w:tcPr>
                  <w:tcW w:w="3156" w:type="pct"/>
                  <w:gridSpan w:val="4"/>
                  <w:tcBorders>
                    <w:left w:val="single" w:color="auto" w:sz="6" w:space="0"/>
                  </w:tcBorders>
                  <w:vAlign w:val="center"/>
                </w:tcPr>
                <w:p w14:paraId="001F8576">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color w:val="000000" w:themeColor="text1"/>
                      <w:szCs w:val="21"/>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颗粒物</w:t>
                  </w:r>
                </w:p>
              </w:tc>
              <w:tc>
                <w:tcPr>
                  <w:tcW w:w="510" w:type="pct"/>
                  <w:shd w:val="clear" w:color="auto" w:fill="auto"/>
                  <w:vAlign w:val="center"/>
                </w:tcPr>
                <w:p w14:paraId="357B427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w:t>
                  </w:r>
                  <w:r>
                    <w:rPr>
                      <w:rFonts w:hint="eastAsia" w:cs="Times New Roman"/>
                      <w:color w:val="000000" w:themeColor="text1"/>
                      <w:sz w:val="21"/>
                      <w:szCs w:val="21"/>
                      <w:u w:val="none"/>
                      <w:lang w:val="en-US" w:eastAsia="zh-CN"/>
                      <w14:textFill>
                        <w14:solidFill>
                          <w14:schemeClr w14:val="tx1"/>
                        </w14:solidFill>
                      </w14:textFill>
                    </w:rPr>
                    <w:t>19</w:t>
                  </w:r>
                </w:p>
              </w:tc>
            </w:tr>
            <w:tr w14:paraId="69BD53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3" w:type="pct"/>
                  <w:gridSpan w:val="3"/>
                  <w:vMerge w:val="continue"/>
                  <w:tcBorders>
                    <w:right w:val="single" w:color="auto" w:sz="6" w:space="0"/>
                  </w:tcBorders>
                  <w:vAlign w:val="center"/>
                </w:tcPr>
                <w:p w14:paraId="0A64429A">
                  <w:pPr>
                    <w:pStyle w:val="38"/>
                    <w:rPr>
                      <w:color w:val="000000" w:themeColor="text1"/>
                      <w:szCs w:val="21"/>
                      <w:u w:val="none"/>
                      <w14:textFill>
                        <w14:solidFill>
                          <w14:schemeClr w14:val="tx1"/>
                        </w14:solidFill>
                      </w14:textFill>
                    </w:rPr>
                  </w:pPr>
                </w:p>
              </w:tc>
              <w:tc>
                <w:tcPr>
                  <w:tcW w:w="3156" w:type="pct"/>
                  <w:gridSpan w:val="4"/>
                  <w:tcBorders>
                    <w:left w:val="single" w:color="auto" w:sz="6" w:space="0"/>
                  </w:tcBorders>
                  <w:vAlign w:val="center"/>
                </w:tcPr>
                <w:p w14:paraId="748B7DF4">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510" w:type="pct"/>
                  <w:shd w:val="clear" w:color="auto" w:fill="auto"/>
                  <w:vAlign w:val="center"/>
                </w:tcPr>
                <w:p w14:paraId="3376657D">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0.00002</w:t>
                  </w:r>
                </w:p>
              </w:tc>
            </w:tr>
            <w:tr w14:paraId="1995ABD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3" w:type="pct"/>
                  <w:gridSpan w:val="3"/>
                  <w:vMerge w:val="continue"/>
                  <w:tcBorders>
                    <w:right w:val="single" w:color="auto" w:sz="6" w:space="0"/>
                  </w:tcBorders>
                  <w:vAlign w:val="center"/>
                </w:tcPr>
                <w:p w14:paraId="2E67DE1B">
                  <w:pPr>
                    <w:pStyle w:val="38"/>
                    <w:rPr>
                      <w:color w:val="000000" w:themeColor="text1"/>
                      <w:szCs w:val="21"/>
                      <w:u w:val="none"/>
                      <w14:textFill>
                        <w14:solidFill>
                          <w14:schemeClr w14:val="tx1"/>
                        </w14:solidFill>
                      </w14:textFill>
                    </w:rPr>
                  </w:pPr>
                </w:p>
              </w:tc>
              <w:tc>
                <w:tcPr>
                  <w:tcW w:w="3156" w:type="pct"/>
                  <w:gridSpan w:val="4"/>
                  <w:tcBorders>
                    <w:left w:val="single" w:color="auto" w:sz="6" w:space="0"/>
                  </w:tcBorders>
                  <w:vAlign w:val="center"/>
                </w:tcPr>
                <w:p w14:paraId="23046EE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NOx</w:t>
                  </w:r>
                </w:p>
              </w:tc>
              <w:tc>
                <w:tcPr>
                  <w:tcW w:w="510" w:type="pct"/>
                  <w:shd w:val="clear" w:color="auto" w:fill="auto"/>
                  <w:vAlign w:val="center"/>
                </w:tcPr>
                <w:p w14:paraId="071BF0EC">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0.055</w:t>
                  </w:r>
                </w:p>
              </w:tc>
            </w:tr>
            <w:tr w14:paraId="46DD133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3" w:type="pct"/>
                  <w:gridSpan w:val="3"/>
                  <w:vMerge w:val="continue"/>
                  <w:tcBorders>
                    <w:right w:val="single" w:color="auto" w:sz="6" w:space="0"/>
                  </w:tcBorders>
                  <w:vAlign w:val="center"/>
                </w:tcPr>
                <w:p w14:paraId="2AEBD424">
                  <w:pPr>
                    <w:pStyle w:val="38"/>
                    <w:rPr>
                      <w:color w:val="000000" w:themeColor="text1"/>
                      <w:szCs w:val="21"/>
                      <w:u w:val="none"/>
                      <w14:textFill>
                        <w14:solidFill>
                          <w14:schemeClr w14:val="tx1"/>
                        </w14:solidFill>
                      </w14:textFill>
                    </w:rPr>
                  </w:pPr>
                </w:p>
              </w:tc>
              <w:tc>
                <w:tcPr>
                  <w:tcW w:w="5760" w:type="dxa"/>
                  <w:gridSpan w:val="4"/>
                  <w:tcBorders>
                    <w:left w:val="single" w:color="auto" w:sz="6" w:space="0"/>
                  </w:tcBorders>
                  <w:vAlign w:val="center"/>
                </w:tcPr>
                <w:p w14:paraId="31D57E54">
                  <w:pPr>
                    <w:pStyle w:val="38"/>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931" w:type="dxa"/>
                  <w:shd w:val="clear" w:color="auto" w:fill="auto"/>
                  <w:vAlign w:val="center"/>
                </w:tcPr>
                <w:p w14:paraId="5B5F5830">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0.009</w:t>
                  </w:r>
                </w:p>
              </w:tc>
            </w:tr>
            <w:tr w14:paraId="775343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3" w:type="pct"/>
                  <w:gridSpan w:val="3"/>
                  <w:vMerge w:val="continue"/>
                  <w:tcBorders>
                    <w:right w:val="single" w:color="auto" w:sz="6" w:space="0"/>
                  </w:tcBorders>
                  <w:vAlign w:val="center"/>
                </w:tcPr>
                <w:p w14:paraId="5A067749">
                  <w:pPr>
                    <w:pStyle w:val="38"/>
                    <w:rPr>
                      <w:color w:val="000000" w:themeColor="text1"/>
                      <w:szCs w:val="21"/>
                      <w:u w:val="none"/>
                      <w14:textFill>
                        <w14:solidFill>
                          <w14:schemeClr w14:val="tx1"/>
                        </w14:solidFill>
                      </w14:textFill>
                    </w:rPr>
                  </w:pPr>
                </w:p>
              </w:tc>
              <w:tc>
                <w:tcPr>
                  <w:tcW w:w="5760" w:type="dxa"/>
                  <w:gridSpan w:val="4"/>
                  <w:tcBorders>
                    <w:left w:val="single" w:color="auto" w:sz="6" w:space="0"/>
                  </w:tcBorders>
                  <w:vAlign w:val="center"/>
                </w:tcPr>
                <w:p w14:paraId="2422FC88">
                  <w:pPr>
                    <w:pStyle w:val="38"/>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931" w:type="dxa"/>
                  <w:shd w:val="clear" w:color="auto" w:fill="auto"/>
                  <w:vAlign w:val="center"/>
                </w:tcPr>
                <w:p w14:paraId="7428A005">
                  <w:pPr>
                    <w:keepNext w:val="0"/>
                    <w:keepLines w:val="0"/>
                    <w:pageBreakBefore w:val="0"/>
                    <w:kinsoku/>
                    <w:wordWrap/>
                    <w:overflowPunct/>
                    <w:topLinePunct w:val="0"/>
                    <w:autoSpaceDE/>
                    <w:autoSpaceDN/>
                    <w:bidi w:val="0"/>
                    <w:spacing w:line="240" w:lineRule="auto"/>
                    <w:jc w:val="center"/>
                    <w:textAlignment w:val="auto"/>
                    <w:outlineLvl w:val="9"/>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0.0003</w:t>
                  </w:r>
                </w:p>
              </w:tc>
            </w:tr>
          </w:tbl>
          <w:p w14:paraId="6607DABB">
            <w:pPr>
              <w:widowControl/>
              <w:adjustRightInd w:val="0"/>
              <w:snapToGrid w:val="0"/>
              <w:spacing w:line="360" w:lineRule="auto"/>
              <w:ind w:firstLine="482"/>
              <w:jc w:val="center"/>
              <w:rPr>
                <w:b/>
                <w:color w:val="000000" w:themeColor="text1"/>
                <w:sz w:val="24"/>
                <w:szCs w:val="24"/>
                <w:u w:val="none"/>
                <w14:textFill>
                  <w14:solidFill>
                    <w14:schemeClr w14:val="tx1"/>
                  </w14:solidFill>
                </w14:textFill>
              </w:rPr>
            </w:pPr>
            <w:r>
              <w:rPr>
                <w:b/>
                <w:color w:val="000000" w:themeColor="text1"/>
                <w:sz w:val="24"/>
                <w:szCs w:val="24"/>
                <w:u w:val="none"/>
                <w14:textFill>
                  <w14:solidFill>
                    <w14:schemeClr w14:val="tx1"/>
                  </w14:solidFill>
                </w14:textFill>
              </w:rPr>
              <w:t>表4-</w:t>
            </w:r>
            <w:r>
              <w:rPr>
                <w:rFonts w:hint="eastAsia"/>
                <w:b/>
                <w:color w:val="000000" w:themeColor="text1"/>
                <w:sz w:val="24"/>
                <w:szCs w:val="24"/>
                <w:u w:val="none"/>
                <w:lang w:val="en-US" w:eastAsia="zh-CN"/>
                <w14:textFill>
                  <w14:solidFill>
                    <w14:schemeClr w14:val="tx1"/>
                  </w14:solidFill>
                </w14:textFill>
              </w:rPr>
              <w:t>5</w:t>
            </w:r>
            <w:r>
              <w:rPr>
                <w:rFonts w:hint="eastAsia"/>
                <w:b/>
                <w:color w:val="000000" w:themeColor="text1"/>
                <w:sz w:val="24"/>
                <w:szCs w:val="24"/>
                <w:u w:val="none"/>
                <w14:textFill>
                  <w14:solidFill>
                    <w14:schemeClr w14:val="tx1"/>
                  </w14:solidFill>
                </w14:textFill>
              </w:rPr>
              <w:t xml:space="preserve">  </w:t>
            </w:r>
            <w:r>
              <w:rPr>
                <w:b/>
                <w:color w:val="000000" w:themeColor="text1"/>
                <w:sz w:val="24"/>
                <w:szCs w:val="24"/>
                <w:u w:val="none"/>
                <w14:textFill>
                  <w14:solidFill>
                    <w14:schemeClr w14:val="tx1"/>
                  </w14:solidFill>
                </w14:textFill>
              </w:rPr>
              <w:t>工程大气污染物年排放量核算表</w:t>
            </w:r>
          </w:p>
          <w:tbl>
            <w:tblPr>
              <w:tblStyle w:val="20"/>
              <w:tblW w:w="4992"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25"/>
              <w:gridCol w:w="4376"/>
              <w:gridCol w:w="3891"/>
            </w:tblGrid>
            <w:tr w14:paraId="611FA90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1060F240">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序号</w:t>
                  </w:r>
                </w:p>
              </w:tc>
              <w:tc>
                <w:tcPr>
                  <w:tcW w:w="2380" w:type="pct"/>
                  <w:vAlign w:val="center"/>
                </w:tcPr>
                <w:p w14:paraId="13B3B005">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污染物</w:t>
                  </w:r>
                </w:p>
              </w:tc>
              <w:tc>
                <w:tcPr>
                  <w:tcW w:w="2116" w:type="pct"/>
                  <w:vAlign w:val="center"/>
                </w:tcPr>
                <w:p w14:paraId="26CFA00D">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年排放量（t/a）</w:t>
                  </w:r>
                </w:p>
              </w:tc>
            </w:tr>
            <w:tr w14:paraId="54DC22A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6C24A0C7">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w:t>
                  </w:r>
                </w:p>
              </w:tc>
              <w:tc>
                <w:tcPr>
                  <w:tcW w:w="4376" w:type="dxa"/>
                  <w:shd w:val="clear" w:color="auto" w:fill="auto"/>
                  <w:vAlign w:val="center"/>
                </w:tcPr>
                <w:p w14:paraId="42FD3C9F">
                  <w:pPr>
                    <w:jc w:val="center"/>
                    <w:outlineLvl w:val="0"/>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3891" w:type="dxa"/>
                  <w:vAlign w:val="center"/>
                </w:tcPr>
                <w:p w14:paraId="3A0BC864">
                  <w:pPr>
                    <w:keepNext w:val="0"/>
                    <w:keepLines w:val="0"/>
                    <w:widowControl/>
                    <w:suppressLineNumbers w:val="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0.021</w:t>
                  </w:r>
                </w:p>
              </w:tc>
            </w:tr>
            <w:tr w14:paraId="36D8B62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74B8B526">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2</w:t>
                  </w:r>
                </w:p>
              </w:tc>
              <w:tc>
                <w:tcPr>
                  <w:tcW w:w="4376" w:type="dxa"/>
                  <w:shd w:val="clear" w:color="auto" w:fill="auto"/>
                  <w:vAlign w:val="center"/>
                </w:tcPr>
                <w:p w14:paraId="557F96E4">
                  <w:pPr>
                    <w:jc w:val="center"/>
                    <w:outlineLvl w:val="0"/>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3891" w:type="dxa"/>
                  <w:vAlign w:val="center"/>
                </w:tcPr>
                <w:p w14:paraId="2BD90AB7">
                  <w:pPr>
                    <w:keepNext w:val="0"/>
                    <w:keepLines w:val="0"/>
                    <w:widowControl/>
                    <w:suppressLineNumbers w:val="0"/>
                    <w:jc w:val="center"/>
                    <w:textAlignment w:val="center"/>
                    <w:rPr>
                      <w:rFonts w:hint="default" w:eastAsia="宋体"/>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0.067</w:t>
                  </w:r>
                </w:p>
              </w:tc>
            </w:tr>
            <w:tr w14:paraId="4097139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2B42F4FA">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3</w:t>
                  </w:r>
                </w:p>
              </w:tc>
              <w:tc>
                <w:tcPr>
                  <w:tcW w:w="4376" w:type="dxa"/>
                  <w:shd w:val="clear" w:color="auto" w:fill="auto"/>
                  <w:vAlign w:val="center"/>
                </w:tcPr>
                <w:p w14:paraId="510DC291">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颗粒物</w:t>
                  </w:r>
                </w:p>
              </w:tc>
              <w:tc>
                <w:tcPr>
                  <w:tcW w:w="3891" w:type="dxa"/>
                  <w:shd w:val="clear" w:color="auto" w:fill="auto"/>
                  <w:vAlign w:val="center"/>
                </w:tcPr>
                <w:p w14:paraId="6DC1865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0.025</w:t>
                  </w:r>
                </w:p>
              </w:tc>
            </w:tr>
            <w:tr w14:paraId="14A8612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1EFEBAD8">
                  <w:pPr>
                    <w:pStyle w:val="38"/>
                    <w:rPr>
                      <w:rFonts w:hint="eastAsia"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4</w:t>
                  </w:r>
                </w:p>
              </w:tc>
              <w:tc>
                <w:tcPr>
                  <w:tcW w:w="4376" w:type="dxa"/>
                  <w:shd w:val="clear" w:color="auto" w:fill="auto"/>
                  <w:vAlign w:val="center"/>
                </w:tcPr>
                <w:p w14:paraId="44759B8B">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3891" w:type="dxa"/>
                  <w:shd w:val="clear" w:color="auto" w:fill="auto"/>
                  <w:vAlign w:val="center"/>
                </w:tcPr>
                <w:p w14:paraId="39E6BFF5">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0.00502</w:t>
                  </w:r>
                </w:p>
              </w:tc>
            </w:tr>
            <w:tr w14:paraId="161B278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6132ACD9">
                  <w:pPr>
                    <w:pStyle w:val="38"/>
                    <w:rPr>
                      <w:rFonts w:hint="eastAsia"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5</w:t>
                  </w:r>
                </w:p>
              </w:tc>
              <w:tc>
                <w:tcPr>
                  <w:tcW w:w="4376" w:type="dxa"/>
                  <w:shd w:val="clear" w:color="auto" w:fill="auto"/>
                  <w:vAlign w:val="center"/>
                </w:tcPr>
                <w:p w14:paraId="192892B5">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eastAsia"/>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NOx</w:t>
                  </w:r>
                </w:p>
              </w:tc>
              <w:tc>
                <w:tcPr>
                  <w:tcW w:w="3891" w:type="dxa"/>
                  <w:shd w:val="clear" w:color="auto" w:fill="auto"/>
                  <w:vAlign w:val="center"/>
                </w:tcPr>
                <w:p w14:paraId="342912B6">
                  <w:pPr>
                    <w:keepNext w:val="0"/>
                    <w:keepLines w:val="0"/>
                    <w:widowControl/>
                    <w:suppressLineNumbers w:val="0"/>
                    <w:jc w:val="center"/>
                    <w:textAlignment w:val="cente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0.09</w:t>
                  </w:r>
                </w:p>
              </w:tc>
            </w:tr>
            <w:tr w14:paraId="351EB6D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23E9AD4E">
                  <w:pPr>
                    <w:pStyle w:val="38"/>
                    <w:rPr>
                      <w:rFonts w:hint="default"/>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6</w:t>
                  </w:r>
                </w:p>
              </w:tc>
              <w:tc>
                <w:tcPr>
                  <w:tcW w:w="4376" w:type="dxa"/>
                  <w:shd w:val="clear" w:color="auto" w:fill="auto"/>
                  <w:vAlign w:val="center"/>
                </w:tcPr>
                <w:p w14:paraId="6137EBC2">
                  <w:pPr>
                    <w:pStyle w:val="38"/>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3891" w:type="dxa"/>
                  <w:shd w:val="clear" w:color="auto" w:fill="auto"/>
                  <w:vAlign w:val="center"/>
                </w:tcPr>
                <w:p w14:paraId="0C942B3A">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i w:val="0"/>
                      <w:iCs w:val="0"/>
                      <w:color w:val="000000"/>
                      <w:kern w:val="0"/>
                      <w:sz w:val="21"/>
                      <w:szCs w:val="21"/>
                      <w:u w:val="none"/>
                      <w:lang w:val="en-US" w:eastAsia="zh-CN" w:bidi="ar"/>
                    </w:rPr>
                  </w:pPr>
                  <w:r>
                    <w:rPr>
                      <w:rFonts w:hint="eastAsia"/>
                      <w:color w:val="000000" w:themeColor="text1"/>
                      <w:sz w:val="21"/>
                      <w:szCs w:val="21"/>
                      <w:u w:val="none"/>
                      <w:lang w:val="en-US" w:eastAsia="zh-CN"/>
                      <w14:textFill>
                        <w14:solidFill>
                          <w14:schemeClr w14:val="tx1"/>
                        </w14:solidFill>
                      </w14:textFill>
                    </w:rPr>
                    <w:t>0.009</w:t>
                  </w:r>
                </w:p>
              </w:tc>
            </w:tr>
            <w:tr w14:paraId="524319C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3" w:type="pct"/>
                  <w:vAlign w:val="center"/>
                </w:tcPr>
                <w:p w14:paraId="3BC3EB6D">
                  <w:pPr>
                    <w:pStyle w:val="38"/>
                    <w:rPr>
                      <w:rFonts w:hint="default"/>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7</w:t>
                  </w:r>
                </w:p>
              </w:tc>
              <w:tc>
                <w:tcPr>
                  <w:tcW w:w="4376" w:type="dxa"/>
                  <w:shd w:val="clear" w:color="auto" w:fill="auto"/>
                  <w:vAlign w:val="center"/>
                </w:tcPr>
                <w:p w14:paraId="114030D9">
                  <w:pPr>
                    <w:pStyle w:val="38"/>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3891" w:type="dxa"/>
                  <w:shd w:val="clear" w:color="auto" w:fill="auto"/>
                  <w:vAlign w:val="center"/>
                </w:tcPr>
                <w:p w14:paraId="084E097E">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i w:val="0"/>
                      <w:iCs w:val="0"/>
                      <w:color w:val="000000"/>
                      <w:kern w:val="0"/>
                      <w:sz w:val="21"/>
                      <w:szCs w:val="21"/>
                      <w:u w:val="none"/>
                      <w:lang w:val="en-US" w:eastAsia="zh-CN" w:bidi="ar"/>
                    </w:rPr>
                  </w:pPr>
                  <w:r>
                    <w:rPr>
                      <w:rFonts w:hint="eastAsia"/>
                      <w:color w:val="000000" w:themeColor="text1"/>
                      <w:sz w:val="21"/>
                      <w:szCs w:val="21"/>
                      <w:u w:val="none"/>
                      <w:lang w:val="en-US" w:eastAsia="zh-CN"/>
                      <w14:textFill>
                        <w14:solidFill>
                          <w14:schemeClr w14:val="tx1"/>
                        </w14:solidFill>
                      </w14:textFill>
                    </w:rPr>
                    <w:t>0.0003</w:t>
                  </w:r>
                </w:p>
              </w:tc>
            </w:tr>
          </w:tbl>
          <w:p w14:paraId="24842285">
            <w:pPr>
              <w:tabs>
                <w:tab w:val="left" w:pos="1081"/>
              </w:tabs>
              <w:adjustRightInd w:val="0"/>
              <w:snapToGrid w:val="0"/>
              <w:spacing w:line="360" w:lineRule="auto"/>
              <w:ind w:firstLine="480" w:firstLineChars="200"/>
              <w:rPr>
                <w:color w:val="000000" w:themeColor="text1"/>
                <w:sz w:val="24"/>
                <w:szCs w:val="24"/>
                <w:u w:val="none"/>
                <w14:textFill>
                  <w14:solidFill>
                    <w14:schemeClr w14:val="tx1"/>
                  </w14:solidFill>
                </w14:textFill>
              </w:rPr>
            </w:pPr>
            <w:r>
              <w:rPr>
                <w:rFonts w:hint="eastAsia"/>
                <w:color w:val="000000" w:themeColor="text1"/>
                <w:sz w:val="24"/>
                <w:szCs w:val="24"/>
                <w:u w:val="none"/>
                <w:lang w:val="en-US" w:eastAsia="zh-CN"/>
                <w14:textFill>
                  <w14:solidFill>
                    <w14:schemeClr w14:val="tx1"/>
                  </w14:solidFill>
                </w14:textFill>
              </w:rPr>
              <w:t>1.3</w:t>
            </w:r>
            <w:r>
              <w:rPr>
                <w:color w:val="000000" w:themeColor="text1"/>
                <w:sz w:val="24"/>
                <w:szCs w:val="24"/>
                <w:u w:val="none"/>
                <w14:textFill>
                  <w14:solidFill>
                    <w14:schemeClr w14:val="tx1"/>
                  </w14:solidFill>
                </w14:textFill>
              </w:rPr>
              <w:t>项目有组织排放口详细参数</w:t>
            </w:r>
          </w:p>
          <w:p w14:paraId="23307CFE">
            <w:pPr>
              <w:widowControl/>
              <w:adjustRightInd w:val="0"/>
              <w:snapToGrid w:val="0"/>
              <w:spacing w:line="360" w:lineRule="auto"/>
              <w:ind w:firstLine="482"/>
              <w:jc w:val="center"/>
              <w:rPr>
                <w:b/>
                <w:color w:val="000000" w:themeColor="text1"/>
                <w:sz w:val="24"/>
                <w:szCs w:val="24"/>
                <w:u w:val="none"/>
                <w14:textFill>
                  <w14:solidFill>
                    <w14:schemeClr w14:val="tx1"/>
                  </w14:solidFill>
                </w14:textFill>
              </w:rPr>
            </w:pPr>
            <w:r>
              <w:rPr>
                <w:b/>
                <w:color w:val="000000" w:themeColor="text1"/>
                <w:sz w:val="24"/>
                <w:szCs w:val="24"/>
                <w:u w:val="none"/>
                <w14:textFill>
                  <w14:solidFill>
                    <w14:schemeClr w14:val="tx1"/>
                  </w14:solidFill>
                </w14:textFill>
              </w:rPr>
              <w:t>表4-</w:t>
            </w:r>
            <w:r>
              <w:rPr>
                <w:rFonts w:hint="eastAsia"/>
                <w:b/>
                <w:color w:val="000000" w:themeColor="text1"/>
                <w:sz w:val="24"/>
                <w:szCs w:val="24"/>
                <w:u w:val="none"/>
                <w:lang w:val="en-US" w:eastAsia="zh-CN"/>
                <w14:textFill>
                  <w14:solidFill>
                    <w14:schemeClr w14:val="tx1"/>
                  </w14:solidFill>
                </w14:textFill>
              </w:rPr>
              <w:t>6</w:t>
            </w:r>
            <w:r>
              <w:rPr>
                <w:rFonts w:hint="eastAsia"/>
                <w:b/>
                <w:color w:val="000000" w:themeColor="text1"/>
                <w:sz w:val="24"/>
                <w:szCs w:val="24"/>
                <w:u w:val="none"/>
                <w14:textFill>
                  <w14:solidFill>
                    <w14:schemeClr w14:val="tx1"/>
                  </w14:solidFill>
                </w14:textFill>
              </w:rPr>
              <w:t xml:space="preserve">  </w:t>
            </w:r>
            <w:r>
              <w:rPr>
                <w:b/>
                <w:color w:val="000000" w:themeColor="text1"/>
                <w:sz w:val="24"/>
                <w:szCs w:val="24"/>
                <w:u w:val="none"/>
                <w14:textFill>
                  <w14:solidFill>
                    <w14:schemeClr w14:val="tx1"/>
                  </w14:solidFill>
                </w14:textFill>
              </w:rPr>
              <w:t>项目有组织排放口参数一览表</w:t>
            </w:r>
          </w:p>
          <w:tbl>
            <w:tblPr>
              <w:tblStyle w:val="20"/>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45"/>
              <w:gridCol w:w="907"/>
              <w:gridCol w:w="459"/>
              <w:gridCol w:w="459"/>
              <w:gridCol w:w="925"/>
              <w:gridCol w:w="1535"/>
              <w:gridCol w:w="1437"/>
              <w:gridCol w:w="752"/>
              <w:gridCol w:w="743"/>
              <w:gridCol w:w="687"/>
              <w:gridCol w:w="457"/>
            </w:tblGrid>
            <w:tr w14:paraId="7A2113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59" w:type="pct"/>
                  <w:vMerge w:val="restart"/>
                  <w:vAlign w:val="center"/>
                </w:tcPr>
                <w:p w14:paraId="7F90D423">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工序</w:t>
                  </w:r>
                </w:p>
              </w:tc>
              <w:tc>
                <w:tcPr>
                  <w:tcW w:w="492" w:type="pct"/>
                  <w:vMerge w:val="restart"/>
                  <w:vAlign w:val="center"/>
                </w:tcPr>
                <w:p w14:paraId="03F86CB3">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编号</w:t>
                  </w:r>
                </w:p>
              </w:tc>
              <w:tc>
                <w:tcPr>
                  <w:tcW w:w="249" w:type="pct"/>
                  <w:vMerge w:val="restart"/>
                  <w:vAlign w:val="center"/>
                </w:tcPr>
                <w:p w14:paraId="513DE1C4">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排放口名称</w:t>
                  </w:r>
                </w:p>
              </w:tc>
              <w:tc>
                <w:tcPr>
                  <w:tcW w:w="249" w:type="pct"/>
                  <w:vMerge w:val="restart"/>
                  <w:vAlign w:val="center"/>
                </w:tcPr>
                <w:p w14:paraId="4F85B83A">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排放口类型</w:t>
                  </w:r>
                </w:p>
              </w:tc>
              <w:tc>
                <w:tcPr>
                  <w:tcW w:w="502" w:type="pct"/>
                  <w:vMerge w:val="restart"/>
                  <w:vAlign w:val="center"/>
                </w:tcPr>
                <w:p w14:paraId="365B2B41">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排气筒温度（℃）</w:t>
                  </w:r>
                </w:p>
              </w:tc>
              <w:tc>
                <w:tcPr>
                  <w:tcW w:w="1613" w:type="pct"/>
                  <w:gridSpan w:val="2"/>
                  <w:vAlign w:val="center"/>
                </w:tcPr>
                <w:p w14:paraId="7321BA72">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排气筒底部中心坐标</w:t>
                  </w:r>
                </w:p>
              </w:tc>
              <w:tc>
                <w:tcPr>
                  <w:tcW w:w="408" w:type="pct"/>
                  <w:vMerge w:val="restart"/>
                  <w:vAlign w:val="center"/>
                </w:tcPr>
                <w:p w14:paraId="6905B3A0">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排气筒高度（m）</w:t>
                  </w:r>
                </w:p>
              </w:tc>
              <w:tc>
                <w:tcPr>
                  <w:tcW w:w="403" w:type="pct"/>
                  <w:vMerge w:val="restart"/>
                  <w:vAlign w:val="center"/>
                </w:tcPr>
                <w:p w14:paraId="04B034FA">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排气筒出口内径/m</w:t>
                  </w:r>
                </w:p>
              </w:tc>
              <w:tc>
                <w:tcPr>
                  <w:tcW w:w="373" w:type="pct"/>
                  <w:vMerge w:val="restart"/>
                  <w:vAlign w:val="center"/>
                </w:tcPr>
                <w:p w14:paraId="635FCE9F">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年排放小时数/h</w:t>
                  </w:r>
                </w:p>
              </w:tc>
              <w:tc>
                <w:tcPr>
                  <w:tcW w:w="248" w:type="pct"/>
                  <w:vMerge w:val="restart"/>
                  <w:vAlign w:val="center"/>
                </w:tcPr>
                <w:p w14:paraId="3DC72ECD">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排放工况</w:t>
                  </w:r>
                </w:p>
              </w:tc>
            </w:tr>
            <w:tr w14:paraId="65ED15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59" w:type="pct"/>
                  <w:vMerge w:val="continue"/>
                  <w:vAlign w:val="center"/>
                </w:tcPr>
                <w:p w14:paraId="211A89A9">
                  <w:pPr>
                    <w:tabs>
                      <w:tab w:val="left" w:pos="1081"/>
                    </w:tabs>
                    <w:adjustRightInd w:val="0"/>
                    <w:snapToGrid w:val="0"/>
                    <w:jc w:val="center"/>
                    <w:rPr>
                      <w:color w:val="000000" w:themeColor="text1"/>
                      <w:szCs w:val="21"/>
                      <w:highlight w:val="none"/>
                      <w:u w:val="none"/>
                      <w14:textFill>
                        <w14:solidFill>
                          <w14:schemeClr w14:val="tx1"/>
                        </w14:solidFill>
                      </w14:textFill>
                    </w:rPr>
                  </w:pPr>
                </w:p>
              </w:tc>
              <w:tc>
                <w:tcPr>
                  <w:tcW w:w="492" w:type="pct"/>
                  <w:vMerge w:val="continue"/>
                  <w:vAlign w:val="center"/>
                </w:tcPr>
                <w:p w14:paraId="706F3A36">
                  <w:pPr>
                    <w:tabs>
                      <w:tab w:val="left" w:pos="1081"/>
                    </w:tabs>
                    <w:adjustRightInd w:val="0"/>
                    <w:snapToGrid w:val="0"/>
                    <w:jc w:val="center"/>
                    <w:rPr>
                      <w:color w:val="000000" w:themeColor="text1"/>
                      <w:szCs w:val="21"/>
                      <w:highlight w:val="none"/>
                      <w:u w:val="none"/>
                      <w14:textFill>
                        <w14:solidFill>
                          <w14:schemeClr w14:val="tx1"/>
                        </w14:solidFill>
                      </w14:textFill>
                    </w:rPr>
                  </w:pPr>
                </w:p>
              </w:tc>
              <w:tc>
                <w:tcPr>
                  <w:tcW w:w="249" w:type="pct"/>
                  <w:vMerge w:val="continue"/>
                  <w:vAlign w:val="center"/>
                </w:tcPr>
                <w:p w14:paraId="3841AD14">
                  <w:pPr>
                    <w:tabs>
                      <w:tab w:val="left" w:pos="1081"/>
                    </w:tabs>
                    <w:adjustRightInd w:val="0"/>
                    <w:snapToGrid w:val="0"/>
                    <w:jc w:val="center"/>
                    <w:rPr>
                      <w:color w:val="000000" w:themeColor="text1"/>
                      <w:szCs w:val="21"/>
                      <w:highlight w:val="none"/>
                      <w:u w:val="none"/>
                      <w14:textFill>
                        <w14:solidFill>
                          <w14:schemeClr w14:val="tx1"/>
                        </w14:solidFill>
                      </w14:textFill>
                    </w:rPr>
                  </w:pPr>
                </w:p>
              </w:tc>
              <w:tc>
                <w:tcPr>
                  <w:tcW w:w="249" w:type="pct"/>
                  <w:vMerge w:val="continue"/>
                  <w:vAlign w:val="center"/>
                </w:tcPr>
                <w:p w14:paraId="7EF1861D">
                  <w:pPr>
                    <w:tabs>
                      <w:tab w:val="left" w:pos="1081"/>
                    </w:tabs>
                    <w:adjustRightInd w:val="0"/>
                    <w:snapToGrid w:val="0"/>
                    <w:jc w:val="center"/>
                    <w:rPr>
                      <w:color w:val="000000" w:themeColor="text1"/>
                      <w:szCs w:val="21"/>
                      <w:highlight w:val="none"/>
                      <w:u w:val="none"/>
                      <w14:textFill>
                        <w14:solidFill>
                          <w14:schemeClr w14:val="tx1"/>
                        </w14:solidFill>
                      </w14:textFill>
                    </w:rPr>
                  </w:pPr>
                </w:p>
              </w:tc>
              <w:tc>
                <w:tcPr>
                  <w:tcW w:w="502" w:type="pct"/>
                  <w:vMerge w:val="continue"/>
                  <w:vAlign w:val="center"/>
                </w:tcPr>
                <w:p w14:paraId="0ED503EB">
                  <w:pPr>
                    <w:tabs>
                      <w:tab w:val="left" w:pos="1081"/>
                    </w:tabs>
                    <w:adjustRightInd w:val="0"/>
                    <w:snapToGrid w:val="0"/>
                    <w:jc w:val="center"/>
                    <w:rPr>
                      <w:color w:val="000000" w:themeColor="text1"/>
                      <w:szCs w:val="21"/>
                      <w:highlight w:val="none"/>
                      <w:u w:val="none"/>
                      <w14:textFill>
                        <w14:solidFill>
                          <w14:schemeClr w14:val="tx1"/>
                        </w14:solidFill>
                      </w14:textFill>
                    </w:rPr>
                  </w:pPr>
                </w:p>
              </w:tc>
              <w:tc>
                <w:tcPr>
                  <w:tcW w:w="833" w:type="pct"/>
                  <w:vAlign w:val="center"/>
                </w:tcPr>
                <w:p w14:paraId="7117363D">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X</w:t>
                  </w:r>
                </w:p>
              </w:tc>
              <w:tc>
                <w:tcPr>
                  <w:tcW w:w="780" w:type="pct"/>
                  <w:vAlign w:val="center"/>
                </w:tcPr>
                <w:p w14:paraId="424B4676">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Y</w:t>
                  </w:r>
                </w:p>
              </w:tc>
              <w:tc>
                <w:tcPr>
                  <w:tcW w:w="408" w:type="pct"/>
                  <w:vMerge w:val="continue"/>
                  <w:vAlign w:val="center"/>
                </w:tcPr>
                <w:p w14:paraId="4822BBC1">
                  <w:pPr>
                    <w:tabs>
                      <w:tab w:val="left" w:pos="1081"/>
                    </w:tabs>
                    <w:adjustRightInd w:val="0"/>
                    <w:snapToGrid w:val="0"/>
                    <w:jc w:val="center"/>
                    <w:rPr>
                      <w:color w:val="000000" w:themeColor="text1"/>
                      <w:szCs w:val="21"/>
                      <w:highlight w:val="none"/>
                      <w:u w:val="none"/>
                      <w14:textFill>
                        <w14:solidFill>
                          <w14:schemeClr w14:val="tx1"/>
                        </w14:solidFill>
                      </w14:textFill>
                    </w:rPr>
                  </w:pPr>
                </w:p>
              </w:tc>
              <w:tc>
                <w:tcPr>
                  <w:tcW w:w="403" w:type="pct"/>
                  <w:vMerge w:val="continue"/>
                  <w:vAlign w:val="center"/>
                </w:tcPr>
                <w:p w14:paraId="4934BE22">
                  <w:pPr>
                    <w:tabs>
                      <w:tab w:val="left" w:pos="1081"/>
                    </w:tabs>
                    <w:adjustRightInd w:val="0"/>
                    <w:snapToGrid w:val="0"/>
                    <w:jc w:val="center"/>
                    <w:rPr>
                      <w:color w:val="000000" w:themeColor="text1"/>
                      <w:szCs w:val="21"/>
                      <w:highlight w:val="none"/>
                      <w:u w:val="none"/>
                      <w14:textFill>
                        <w14:solidFill>
                          <w14:schemeClr w14:val="tx1"/>
                        </w14:solidFill>
                      </w14:textFill>
                    </w:rPr>
                  </w:pPr>
                </w:p>
              </w:tc>
              <w:tc>
                <w:tcPr>
                  <w:tcW w:w="373" w:type="pct"/>
                  <w:vMerge w:val="continue"/>
                  <w:vAlign w:val="center"/>
                </w:tcPr>
                <w:p w14:paraId="7A452E08">
                  <w:pPr>
                    <w:tabs>
                      <w:tab w:val="left" w:pos="1081"/>
                    </w:tabs>
                    <w:adjustRightInd w:val="0"/>
                    <w:snapToGrid w:val="0"/>
                    <w:jc w:val="center"/>
                    <w:rPr>
                      <w:color w:val="000000" w:themeColor="text1"/>
                      <w:szCs w:val="21"/>
                      <w:highlight w:val="none"/>
                      <w:u w:val="none"/>
                      <w14:textFill>
                        <w14:solidFill>
                          <w14:schemeClr w14:val="tx1"/>
                        </w14:solidFill>
                      </w14:textFill>
                    </w:rPr>
                  </w:pPr>
                </w:p>
              </w:tc>
              <w:tc>
                <w:tcPr>
                  <w:tcW w:w="248" w:type="pct"/>
                  <w:vMerge w:val="continue"/>
                  <w:vAlign w:val="center"/>
                </w:tcPr>
                <w:p w14:paraId="19EDAA6E">
                  <w:pPr>
                    <w:tabs>
                      <w:tab w:val="left" w:pos="1081"/>
                    </w:tabs>
                    <w:adjustRightInd w:val="0"/>
                    <w:snapToGrid w:val="0"/>
                    <w:jc w:val="center"/>
                    <w:rPr>
                      <w:color w:val="000000" w:themeColor="text1"/>
                      <w:szCs w:val="21"/>
                      <w:highlight w:val="none"/>
                      <w:u w:val="none"/>
                      <w14:textFill>
                        <w14:solidFill>
                          <w14:schemeClr w14:val="tx1"/>
                        </w14:solidFill>
                      </w14:textFill>
                    </w:rPr>
                  </w:pPr>
                </w:p>
              </w:tc>
            </w:tr>
            <w:tr w14:paraId="7592E0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59" w:type="pct"/>
                  <w:vAlign w:val="center"/>
                </w:tcPr>
                <w:p w14:paraId="7F2DD3FD">
                  <w:pPr>
                    <w:jc w:val="center"/>
                    <w:rPr>
                      <w:color w:val="000000" w:themeColor="text1"/>
                      <w:szCs w:val="21"/>
                      <w:highlight w:val="none"/>
                      <w:u w:val="none"/>
                      <w14:textFill>
                        <w14:solidFill>
                          <w14:schemeClr w14:val="tx1"/>
                        </w14:solidFill>
                      </w14:textFill>
                    </w:rPr>
                  </w:pPr>
                  <w:r>
                    <w:rPr>
                      <w:rFonts w:hint="default"/>
                      <w:color w:val="000000" w:themeColor="text1"/>
                      <w:sz w:val="21"/>
                      <w:szCs w:val="21"/>
                      <w:highlight w:val="none"/>
                      <w:u w:val="none"/>
                      <w:lang w:val="en-US" w:eastAsia="zh-CN"/>
                      <w14:textFill>
                        <w14:solidFill>
                          <w14:schemeClr w14:val="tx1"/>
                        </w14:solidFill>
                      </w14:textFill>
                    </w:rPr>
                    <w:t>熟化废气</w:t>
                  </w:r>
                </w:p>
              </w:tc>
              <w:tc>
                <w:tcPr>
                  <w:tcW w:w="492" w:type="pct"/>
                  <w:vAlign w:val="center"/>
                </w:tcPr>
                <w:p w14:paraId="1FCFF34F">
                  <w:pPr>
                    <w:pStyle w:val="38"/>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DA001</w:t>
                  </w:r>
                </w:p>
              </w:tc>
              <w:tc>
                <w:tcPr>
                  <w:tcW w:w="249" w:type="pct"/>
                  <w:vAlign w:val="center"/>
                </w:tcPr>
                <w:p w14:paraId="1FEE9116">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1#排气口</w:t>
                  </w:r>
                </w:p>
              </w:tc>
              <w:tc>
                <w:tcPr>
                  <w:tcW w:w="249" w:type="pct"/>
                  <w:vAlign w:val="center"/>
                </w:tcPr>
                <w:p w14:paraId="6C7D0570">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一般排放口</w:t>
                  </w:r>
                </w:p>
              </w:tc>
              <w:tc>
                <w:tcPr>
                  <w:tcW w:w="502" w:type="pct"/>
                  <w:vAlign w:val="center"/>
                </w:tcPr>
                <w:p w14:paraId="45564AD9">
                  <w:pPr>
                    <w:tabs>
                      <w:tab w:val="left" w:pos="1081"/>
                    </w:tabs>
                    <w:adjustRightInd w:val="0"/>
                    <w:snapToGrid w:val="0"/>
                    <w:jc w:val="center"/>
                    <w:rPr>
                      <w:rFonts w:hint="default" w:eastAsia="宋体"/>
                      <w:color w:val="000000" w:themeColor="text1"/>
                      <w:szCs w:val="21"/>
                      <w:highlight w:val="none"/>
                      <w:u w:val="none"/>
                      <w:lang w:val="en-US" w:eastAsia="zh-CN"/>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50</w:t>
                  </w:r>
                </w:p>
              </w:tc>
              <w:tc>
                <w:tcPr>
                  <w:tcW w:w="833" w:type="pct"/>
                  <w:vAlign w:val="center"/>
                </w:tcPr>
                <w:p w14:paraId="1F0C6C22">
                  <w:pPr>
                    <w:tabs>
                      <w:tab w:val="left" w:pos="1081"/>
                    </w:tabs>
                    <w:adjustRightInd w:val="0"/>
                    <w:snapToGrid w:val="0"/>
                    <w:jc w:val="center"/>
                    <w:rPr>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112.18852734</w:t>
                  </w:r>
                </w:p>
              </w:tc>
              <w:tc>
                <w:tcPr>
                  <w:tcW w:w="780" w:type="pct"/>
                  <w:vAlign w:val="center"/>
                </w:tcPr>
                <w:p w14:paraId="5A11AB20">
                  <w:pPr>
                    <w:tabs>
                      <w:tab w:val="left" w:pos="1081"/>
                    </w:tabs>
                    <w:adjustRightInd w:val="0"/>
                    <w:snapToGrid w:val="0"/>
                    <w:jc w:val="center"/>
                    <w:rPr>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33.01172752</w:t>
                  </w:r>
                </w:p>
              </w:tc>
              <w:tc>
                <w:tcPr>
                  <w:tcW w:w="408" w:type="pct"/>
                  <w:vAlign w:val="center"/>
                </w:tcPr>
                <w:p w14:paraId="5235AF02">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15</w:t>
                  </w:r>
                </w:p>
              </w:tc>
              <w:tc>
                <w:tcPr>
                  <w:tcW w:w="403" w:type="pct"/>
                  <w:vAlign w:val="center"/>
                </w:tcPr>
                <w:p w14:paraId="3349B558">
                  <w:pPr>
                    <w:tabs>
                      <w:tab w:val="left" w:pos="1081"/>
                    </w:tabs>
                    <w:adjustRightInd w:val="0"/>
                    <w:snapToGrid w:val="0"/>
                    <w:jc w:val="center"/>
                    <w:rPr>
                      <w:rFonts w:hint="default" w:eastAsia="宋体"/>
                      <w:color w:val="000000" w:themeColor="text1"/>
                      <w:szCs w:val="21"/>
                      <w:highlight w:val="none"/>
                      <w:u w:val="none"/>
                      <w:lang w:val="en-US" w:eastAsia="zh-CN"/>
                      <w14:textFill>
                        <w14:solidFill>
                          <w14:schemeClr w14:val="tx1"/>
                        </w14:solidFill>
                      </w14:textFill>
                    </w:rPr>
                  </w:pPr>
                  <w:r>
                    <w:rPr>
                      <w:color w:val="000000" w:themeColor="text1"/>
                      <w:szCs w:val="21"/>
                      <w:highlight w:val="none"/>
                      <w:u w:val="none"/>
                      <w14:textFill>
                        <w14:solidFill>
                          <w14:schemeClr w14:val="tx1"/>
                        </w14:solidFill>
                      </w14:textFill>
                    </w:rPr>
                    <w:t>0.</w:t>
                  </w:r>
                  <w:r>
                    <w:rPr>
                      <w:rFonts w:hint="eastAsia"/>
                      <w:color w:val="000000" w:themeColor="text1"/>
                      <w:szCs w:val="21"/>
                      <w:highlight w:val="none"/>
                      <w:u w:val="none"/>
                      <w:lang w:val="en-US" w:eastAsia="zh-CN"/>
                      <w14:textFill>
                        <w14:solidFill>
                          <w14:schemeClr w14:val="tx1"/>
                        </w14:solidFill>
                      </w14:textFill>
                    </w:rPr>
                    <w:t>3</w:t>
                  </w:r>
                </w:p>
              </w:tc>
              <w:tc>
                <w:tcPr>
                  <w:tcW w:w="373" w:type="pct"/>
                  <w:vAlign w:val="center"/>
                </w:tcPr>
                <w:p w14:paraId="7861DAE0">
                  <w:pPr>
                    <w:tabs>
                      <w:tab w:val="left" w:pos="1081"/>
                    </w:tabs>
                    <w:adjustRightInd w:val="0"/>
                    <w:snapToGrid w:val="0"/>
                    <w:jc w:val="center"/>
                    <w:rPr>
                      <w:rFonts w:hint="default"/>
                      <w:color w:val="000000" w:themeColor="text1"/>
                      <w:szCs w:val="21"/>
                      <w:highlight w:val="none"/>
                      <w:u w:val="none"/>
                      <w:lang w:val="en-US"/>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600</w:t>
                  </w:r>
                </w:p>
              </w:tc>
              <w:tc>
                <w:tcPr>
                  <w:tcW w:w="248" w:type="pct"/>
                  <w:vAlign w:val="center"/>
                </w:tcPr>
                <w:p w14:paraId="7A87E37D">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正常</w:t>
                  </w:r>
                </w:p>
              </w:tc>
            </w:tr>
            <w:tr w14:paraId="114D0B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59" w:type="pct"/>
                  <w:shd w:val="clear" w:color="auto" w:fill="auto"/>
                  <w:vAlign w:val="center"/>
                </w:tcPr>
                <w:p w14:paraId="577F0471">
                  <w:pPr>
                    <w:jc w:val="center"/>
                    <w:outlineLvl w:val="0"/>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color w:val="000000" w:themeColor="text1"/>
                      <w:sz w:val="21"/>
                      <w:szCs w:val="21"/>
                      <w:highlight w:val="none"/>
                      <w:u w:val="none"/>
                      <w:lang w:val="en-US" w:eastAsia="zh-CN"/>
                      <w14:textFill>
                        <w14:solidFill>
                          <w14:schemeClr w14:val="tx1"/>
                        </w14:solidFill>
                      </w14:textFill>
                    </w:rPr>
                    <w:t>熟化废气</w:t>
                  </w:r>
                </w:p>
              </w:tc>
              <w:tc>
                <w:tcPr>
                  <w:tcW w:w="492" w:type="pct"/>
                  <w:vAlign w:val="center"/>
                </w:tcPr>
                <w:p w14:paraId="783B080E">
                  <w:pPr>
                    <w:pStyle w:val="38"/>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DA00</w:t>
                  </w:r>
                  <w:r>
                    <w:rPr>
                      <w:rFonts w:hint="eastAsia"/>
                      <w:color w:val="000000" w:themeColor="text1"/>
                      <w:szCs w:val="21"/>
                      <w:highlight w:val="none"/>
                      <w:u w:val="none"/>
                      <w14:textFill>
                        <w14:solidFill>
                          <w14:schemeClr w14:val="tx1"/>
                        </w14:solidFill>
                      </w14:textFill>
                    </w:rPr>
                    <w:t>2</w:t>
                  </w:r>
                </w:p>
              </w:tc>
              <w:tc>
                <w:tcPr>
                  <w:tcW w:w="249" w:type="pct"/>
                  <w:vAlign w:val="center"/>
                </w:tcPr>
                <w:p w14:paraId="2D9C430A">
                  <w:pPr>
                    <w:tabs>
                      <w:tab w:val="left" w:pos="1081"/>
                    </w:tabs>
                    <w:adjustRightInd w:val="0"/>
                    <w:snapToGrid w:val="0"/>
                    <w:jc w:val="center"/>
                    <w:rPr>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2</w:t>
                  </w:r>
                  <w:r>
                    <w:rPr>
                      <w:color w:val="000000" w:themeColor="text1"/>
                      <w:szCs w:val="21"/>
                      <w:highlight w:val="none"/>
                      <w:u w:val="none"/>
                      <w14:textFill>
                        <w14:solidFill>
                          <w14:schemeClr w14:val="tx1"/>
                        </w14:solidFill>
                      </w14:textFill>
                    </w:rPr>
                    <w:t>#排气口</w:t>
                  </w:r>
                </w:p>
              </w:tc>
              <w:tc>
                <w:tcPr>
                  <w:tcW w:w="249" w:type="pct"/>
                  <w:vAlign w:val="center"/>
                </w:tcPr>
                <w:p w14:paraId="1B54926F">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一般排放口</w:t>
                  </w:r>
                </w:p>
              </w:tc>
              <w:tc>
                <w:tcPr>
                  <w:tcW w:w="502" w:type="pct"/>
                  <w:vAlign w:val="center"/>
                </w:tcPr>
                <w:p w14:paraId="6EB00BE0">
                  <w:pPr>
                    <w:tabs>
                      <w:tab w:val="left" w:pos="1081"/>
                    </w:tabs>
                    <w:adjustRightInd w:val="0"/>
                    <w:snapToGrid w:val="0"/>
                    <w:jc w:val="center"/>
                    <w:rPr>
                      <w:rFonts w:hint="default" w:eastAsia="宋体"/>
                      <w:color w:val="000000" w:themeColor="text1"/>
                      <w:szCs w:val="21"/>
                      <w:highlight w:val="none"/>
                      <w:u w:val="none"/>
                      <w:lang w:val="en-US" w:eastAsia="zh-CN"/>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50</w:t>
                  </w:r>
                </w:p>
              </w:tc>
              <w:tc>
                <w:tcPr>
                  <w:tcW w:w="1535" w:type="dxa"/>
                  <w:vAlign w:val="center"/>
                </w:tcPr>
                <w:p w14:paraId="43AF8B7D">
                  <w:pPr>
                    <w:tabs>
                      <w:tab w:val="left" w:pos="1081"/>
                    </w:tabs>
                    <w:adjustRightInd w:val="0"/>
                    <w:snapToGrid w:val="0"/>
                    <w:jc w:val="center"/>
                    <w:rPr>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112.18873341</w:t>
                  </w:r>
                </w:p>
              </w:tc>
              <w:tc>
                <w:tcPr>
                  <w:tcW w:w="1437" w:type="dxa"/>
                  <w:vAlign w:val="center"/>
                </w:tcPr>
                <w:p w14:paraId="7169ECDC">
                  <w:pPr>
                    <w:tabs>
                      <w:tab w:val="left" w:pos="1081"/>
                    </w:tabs>
                    <w:adjustRightInd w:val="0"/>
                    <w:snapToGrid w:val="0"/>
                    <w:jc w:val="center"/>
                    <w:rPr>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33.01201298</w:t>
                  </w:r>
                </w:p>
              </w:tc>
              <w:tc>
                <w:tcPr>
                  <w:tcW w:w="408" w:type="pct"/>
                  <w:vAlign w:val="center"/>
                </w:tcPr>
                <w:p w14:paraId="21FC89E0">
                  <w:pPr>
                    <w:tabs>
                      <w:tab w:val="left" w:pos="1081"/>
                    </w:tabs>
                    <w:adjustRightInd w:val="0"/>
                    <w:snapToGrid w:val="0"/>
                    <w:jc w:val="center"/>
                    <w:rPr>
                      <w:rFonts w:hint="eastAsia" w:eastAsia="宋体"/>
                      <w:color w:val="000000" w:themeColor="text1"/>
                      <w:szCs w:val="21"/>
                      <w:highlight w:val="none"/>
                      <w:u w:val="none"/>
                      <w:lang w:eastAsia="zh-CN"/>
                      <w14:textFill>
                        <w14:solidFill>
                          <w14:schemeClr w14:val="tx1"/>
                        </w14:solidFill>
                      </w14:textFill>
                    </w:rPr>
                  </w:pPr>
                  <w:r>
                    <w:rPr>
                      <w:color w:val="000000" w:themeColor="text1"/>
                      <w:szCs w:val="21"/>
                      <w:highlight w:val="none"/>
                      <w:u w:val="none"/>
                      <w14:textFill>
                        <w14:solidFill>
                          <w14:schemeClr w14:val="tx1"/>
                        </w14:solidFill>
                      </w14:textFill>
                    </w:rPr>
                    <w:t>15</w:t>
                  </w:r>
                </w:p>
              </w:tc>
              <w:tc>
                <w:tcPr>
                  <w:tcW w:w="403" w:type="pct"/>
                  <w:vAlign w:val="center"/>
                </w:tcPr>
                <w:p w14:paraId="3FD409A1">
                  <w:pPr>
                    <w:tabs>
                      <w:tab w:val="left" w:pos="1081"/>
                    </w:tabs>
                    <w:adjustRightInd w:val="0"/>
                    <w:snapToGrid w:val="0"/>
                    <w:jc w:val="center"/>
                    <w:rPr>
                      <w:rFonts w:hint="default" w:eastAsia="宋体"/>
                      <w:color w:val="000000" w:themeColor="text1"/>
                      <w:szCs w:val="21"/>
                      <w:highlight w:val="none"/>
                      <w:u w:val="none"/>
                      <w:lang w:val="en-US" w:eastAsia="zh-CN"/>
                      <w14:textFill>
                        <w14:solidFill>
                          <w14:schemeClr w14:val="tx1"/>
                        </w14:solidFill>
                      </w14:textFill>
                    </w:rPr>
                  </w:pPr>
                  <w:r>
                    <w:rPr>
                      <w:color w:val="000000" w:themeColor="text1"/>
                      <w:szCs w:val="21"/>
                      <w:highlight w:val="none"/>
                      <w:u w:val="none"/>
                      <w14:textFill>
                        <w14:solidFill>
                          <w14:schemeClr w14:val="tx1"/>
                        </w14:solidFill>
                      </w14:textFill>
                    </w:rPr>
                    <w:t>0.</w:t>
                  </w:r>
                  <w:r>
                    <w:rPr>
                      <w:rFonts w:hint="eastAsia"/>
                      <w:color w:val="000000" w:themeColor="text1"/>
                      <w:szCs w:val="21"/>
                      <w:highlight w:val="none"/>
                      <w:u w:val="none"/>
                      <w:lang w:val="en-US" w:eastAsia="zh-CN"/>
                      <w14:textFill>
                        <w14:solidFill>
                          <w14:schemeClr w14:val="tx1"/>
                        </w14:solidFill>
                      </w14:textFill>
                    </w:rPr>
                    <w:t>3</w:t>
                  </w:r>
                </w:p>
              </w:tc>
              <w:tc>
                <w:tcPr>
                  <w:tcW w:w="373" w:type="pct"/>
                  <w:vAlign w:val="center"/>
                </w:tcPr>
                <w:p w14:paraId="75C43A6A">
                  <w:pPr>
                    <w:tabs>
                      <w:tab w:val="left" w:pos="1081"/>
                    </w:tabs>
                    <w:adjustRightInd w:val="0"/>
                    <w:snapToGrid w:val="0"/>
                    <w:jc w:val="center"/>
                    <w:rPr>
                      <w:rFonts w:hint="default"/>
                      <w:color w:val="000000" w:themeColor="text1"/>
                      <w:szCs w:val="21"/>
                      <w:highlight w:val="none"/>
                      <w:u w:val="none"/>
                      <w:lang w:val="en-US"/>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600</w:t>
                  </w:r>
                </w:p>
              </w:tc>
              <w:tc>
                <w:tcPr>
                  <w:tcW w:w="248" w:type="pct"/>
                  <w:vAlign w:val="center"/>
                </w:tcPr>
                <w:p w14:paraId="5D48DE9D">
                  <w:pPr>
                    <w:tabs>
                      <w:tab w:val="left" w:pos="1081"/>
                    </w:tabs>
                    <w:adjustRightInd w:val="0"/>
                    <w:snapToGrid w:val="0"/>
                    <w:jc w:val="center"/>
                    <w:rPr>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正常</w:t>
                  </w:r>
                </w:p>
              </w:tc>
            </w:tr>
            <w:tr w14:paraId="4FDF3F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59" w:type="pct"/>
                  <w:shd w:val="clear" w:color="auto" w:fill="auto"/>
                  <w:vAlign w:val="center"/>
                </w:tcPr>
                <w:p w14:paraId="3C508DDA">
                  <w:pPr>
                    <w:jc w:val="center"/>
                    <w:outlineLvl w:val="0"/>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color w:val="000000" w:themeColor="text1"/>
                      <w:sz w:val="21"/>
                      <w:szCs w:val="21"/>
                      <w:highlight w:val="none"/>
                      <w:u w:val="none"/>
                      <w:lang w:val="en-US" w:eastAsia="zh-CN"/>
                      <w14:textFill>
                        <w14:solidFill>
                          <w14:schemeClr w14:val="tx1"/>
                        </w14:solidFill>
                      </w14:textFill>
                    </w:rPr>
                    <w:t>熟化废气</w:t>
                  </w:r>
                </w:p>
              </w:tc>
              <w:tc>
                <w:tcPr>
                  <w:tcW w:w="492" w:type="pct"/>
                  <w:vAlign w:val="center"/>
                </w:tcPr>
                <w:p w14:paraId="71BE8704">
                  <w:pPr>
                    <w:pStyle w:val="38"/>
                    <w:rPr>
                      <w:rFonts w:hint="eastAsia" w:eastAsia="宋体"/>
                      <w:color w:val="000000" w:themeColor="text1"/>
                      <w:szCs w:val="21"/>
                      <w:highlight w:val="none"/>
                      <w:u w:val="none"/>
                      <w:lang w:val="en-US" w:eastAsia="zh-CN"/>
                      <w14:textFill>
                        <w14:solidFill>
                          <w14:schemeClr w14:val="tx1"/>
                        </w14:solidFill>
                      </w14:textFill>
                    </w:rPr>
                  </w:pPr>
                  <w:r>
                    <w:rPr>
                      <w:color w:val="000000" w:themeColor="text1"/>
                      <w:szCs w:val="21"/>
                      <w:highlight w:val="none"/>
                      <w:u w:val="none"/>
                      <w14:textFill>
                        <w14:solidFill>
                          <w14:schemeClr w14:val="tx1"/>
                        </w14:solidFill>
                      </w14:textFill>
                    </w:rPr>
                    <w:t>DA00</w:t>
                  </w:r>
                  <w:r>
                    <w:rPr>
                      <w:rFonts w:hint="eastAsia"/>
                      <w:color w:val="000000" w:themeColor="text1"/>
                      <w:szCs w:val="21"/>
                      <w:highlight w:val="none"/>
                      <w:u w:val="none"/>
                      <w:lang w:val="en-US" w:eastAsia="zh-CN"/>
                      <w14:textFill>
                        <w14:solidFill>
                          <w14:schemeClr w14:val="tx1"/>
                        </w14:solidFill>
                      </w14:textFill>
                    </w:rPr>
                    <w:t>3</w:t>
                  </w:r>
                </w:p>
              </w:tc>
              <w:tc>
                <w:tcPr>
                  <w:tcW w:w="249" w:type="pct"/>
                  <w:vAlign w:val="center"/>
                </w:tcPr>
                <w:p w14:paraId="404738C7">
                  <w:pPr>
                    <w:tabs>
                      <w:tab w:val="left" w:pos="1081"/>
                    </w:tabs>
                    <w:adjustRightInd w:val="0"/>
                    <w:snapToGrid w:val="0"/>
                    <w:jc w:val="center"/>
                    <w:rPr>
                      <w:rFonts w:hint="eastAsia"/>
                      <w:color w:val="000000" w:themeColor="text1"/>
                      <w:szCs w:val="21"/>
                      <w:highlight w:val="none"/>
                      <w:u w:val="none"/>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3</w:t>
                  </w:r>
                  <w:r>
                    <w:rPr>
                      <w:color w:val="000000" w:themeColor="text1"/>
                      <w:szCs w:val="21"/>
                      <w:highlight w:val="none"/>
                      <w:u w:val="none"/>
                      <w14:textFill>
                        <w14:solidFill>
                          <w14:schemeClr w14:val="tx1"/>
                        </w14:solidFill>
                      </w14:textFill>
                    </w:rPr>
                    <w:t>#排气口</w:t>
                  </w:r>
                </w:p>
              </w:tc>
              <w:tc>
                <w:tcPr>
                  <w:tcW w:w="249" w:type="pct"/>
                  <w:vAlign w:val="center"/>
                </w:tcPr>
                <w:p w14:paraId="2D6F32EB">
                  <w:pPr>
                    <w:adjustRightInd w:val="0"/>
                    <w:snapToGrid w:val="0"/>
                    <w:jc w:val="center"/>
                    <w:rPr>
                      <w:rFonts w:hint="eastAsia"/>
                      <w:color w:val="000000" w:themeColor="text1"/>
                      <w:szCs w:val="21"/>
                      <w:highlight w:val="none"/>
                      <w:u w:val="none"/>
                      <w:lang w:val="en-US" w:eastAsia="zh-CN"/>
                      <w14:textFill>
                        <w14:solidFill>
                          <w14:schemeClr w14:val="tx1"/>
                        </w14:solidFill>
                      </w14:textFill>
                    </w:rPr>
                  </w:pPr>
                  <w:r>
                    <w:rPr>
                      <w:color w:val="000000" w:themeColor="text1"/>
                      <w:szCs w:val="21"/>
                      <w:highlight w:val="none"/>
                      <w:u w:val="none"/>
                      <w14:textFill>
                        <w14:solidFill>
                          <w14:schemeClr w14:val="tx1"/>
                        </w14:solidFill>
                      </w14:textFill>
                    </w:rPr>
                    <w:t>一般排放口</w:t>
                  </w:r>
                </w:p>
              </w:tc>
              <w:tc>
                <w:tcPr>
                  <w:tcW w:w="502" w:type="pct"/>
                  <w:vAlign w:val="center"/>
                </w:tcPr>
                <w:p w14:paraId="40E98017">
                  <w:pPr>
                    <w:tabs>
                      <w:tab w:val="left" w:pos="1081"/>
                    </w:tabs>
                    <w:adjustRightInd w:val="0"/>
                    <w:snapToGrid w:val="0"/>
                    <w:jc w:val="center"/>
                    <w:rPr>
                      <w:rFonts w:hint="default"/>
                      <w:color w:val="000000" w:themeColor="text1"/>
                      <w:szCs w:val="21"/>
                      <w:highlight w:val="none"/>
                      <w:u w:val="none"/>
                      <w:lang w:val="en-US" w:eastAsia="zh-CN"/>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50</w:t>
                  </w:r>
                </w:p>
              </w:tc>
              <w:tc>
                <w:tcPr>
                  <w:tcW w:w="1535" w:type="dxa"/>
                  <w:vAlign w:val="center"/>
                </w:tcPr>
                <w:p w14:paraId="644E1A86">
                  <w:pPr>
                    <w:tabs>
                      <w:tab w:val="left" w:pos="1081"/>
                    </w:tabs>
                    <w:adjustRightInd w:val="0"/>
                    <w:snapToGrid w:val="0"/>
                    <w:jc w:val="center"/>
                    <w:rPr>
                      <w:rFonts w:hint="eastAsia"/>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112.18878693</w:t>
                  </w:r>
                </w:p>
              </w:tc>
              <w:tc>
                <w:tcPr>
                  <w:tcW w:w="1437" w:type="dxa"/>
                  <w:vAlign w:val="center"/>
                </w:tcPr>
                <w:p w14:paraId="7676E950">
                  <w:pPr>
                    <w:tabs>
                      <w:tab w:val="left" w:pos="1081"/>
                    </w:tabs>
                    <w:adjustRightInd w:val="0"/>
                    <w:snapToGrid w:val="0"/>
                    <w:jc w:val="center"/>
                    <w:rPr>
                      <w:rFonts w:hint="eastAsia"/>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33.01200838</w:t>
                  </w:r>
                </w:p>
              </w:tc>
              <w:tc>
                <w:tcPr>
                  <w:tcW w:w="408" w:type="pct"/>
                  <w:vAlign w:val="center"/>
                </w:tcPr>
                <w:p w14:paraId="1B85C234">
                  <w:pPr>
                    <w:tabs>
                      <w:tab w:val="left" w:pos="1081"/>
                    </w:tabs>
                    <w:adjustRightInd w:val="0"/>
                    <w:snapToGrid w:val="0"/>
                    <w:jc w:val="center"/>
                    <w:rPr>
                      <w:rFonts w:hint="eastAsia"/>
                      <w:color w:val="000000" w:themeColor="text1"/>
                      <w:szCs w:val="21"/>
                      <w:highlight w:val="none"/>
                      <w:u w:val="none"/>
                      <w:lang w:val="en-US" w:eastAsia="zh-CN"/>
                      <w14:textFill>
                        <w14:solidFill>
                          <w14:schemeClr w14:val="tx1"/>
                        </w14:solidFill>
                      </w14:textFill>
                    </w:rPr>
                  </w:pPr>
                  <w:r>
                    <w:rPr>
                      <w:color w:val="000000" w:themeColor="text1"/>
                      <w:szCs w:val="21"/>
                      <w:highlight w:val="none"/>
                      <w:u w:val="none"/>
                      <w14:textFill>
                        <w14:solidFill>
                          <w14:schemeClr w14:val="tx1"/>
                        </w14:solidFill>
                      </w14:textFill>
                    </w:rPr>
                    <w:t>15</w:t>
                  </w:r>
                </w:p>
              </w:tc>
              <w:tc>
                <w:tcPr>
                  <w:tcW w:w="403" w:type="pct"/>
                  <w:vAlign w:val="center"/>
                </w:tcPr>
                <w:p w14:paraId="7271E443">
                  <w:pPr>
                    <w:tabs>
                      <w:tab w:val="left" w:pos="1081"/>
                    </w:tabs>
                    <w:adjustRightInd w:val="0"/>
                    <w:snapToGrid w:val="0"/>
                    <w:jc w:val="center"/>
                    <w:rPr>
                      <w:color w:val="000000" w:themeColor="text1"/>
                      <w:szCs w:val="21"/>
                      <w:highlight w:val="none"/>
                      <w:u w:val="none"/>
                      <w14:textFill>
                        <w14:solidFill>
                          <w14:schemeClr w14:val="tx1"/>
                        </w14:solidFill>
                      </w14:textFill>
                    </w:rPr>
                  </w:pPr>
                  <w:r>
                    <w:rPr>
                      <w:color w:val="000000" w:themeColor="text1"/>
                      <w:szCs w:val="21"/>
                      <w:highlight w:val="none"/>
                      <w:u w:val="none"/>
                      <w14:textFill>
                        <w14:solidFill>
                          <w14:schemeClr w14:val="tx1"/>
                        </w14:solidFill>
                      </w14:textFill>
                    </w:rPr>
                    <w:t>0.</w:t>
                  </w:r>
                  <w:r>
                    <w:rPr>
                      <w:rFonts w:hint="eastAsia"/>
                      <w:color w:val="000000" w:themeColor="text1"/>
                      <w:szCs w:val="21"/>
                      <w:highlight w:val="none"/>
                      <w:u w:val="none"/>
                      <w:lang w:val="en-US" w:eastAsia="zh-CN"/>
                      <w14:textFill>
                        <w14:solidFill>
                          <w14:schemeClr w14:val="tx1"/>
                        </w14:solidFill>
                      </w14:textFill>
                    </w:rPr>
                    <w:t>3</w:t>
                  </w:r>
                </w:p>
              </w:tc>
              <w:tc>
                <w:tcPr>
                  <w:tcW w:w="373" w:type="pct"/>
                  <w:vAlign w:val="center"/>
                </w:tcPr>
                <w:p w14:paraId="69CC1144">
                  <w:pPr>
                    <w:tabs>
                      <w:tab w:val="left" w:pos="1081"/>
                    </w:tabs>
                    <w:adjustRightInd w:val="0"/>
                    <w:snapToGrid w:val="0"/>
                    <w:jc w:val="center"/>
                    <w:rPr>
                      <w:rFonts w:hint="eastAsia"/>
                      <w:color w:val="000000" w:themeColor="text1"/>
                      <w:szCs w:val="21"/>
                      <w:highlight w:val="none"/>
                      <w:u w:val="none"/>
                      <w:lang w:val="en-US" w:eastAsia="zh-CN"/>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600</w:t>
                  </w:r>
                </w:p>
              </w:tc>
              <w:tc>
                <w:tcPr>
                  <w:tcW w:w="248" w:type="pct"/>
                  <w:vAlign w:val="center"/>
                </w:tcPr>
                <w:p w14:paraId="699B3462">
                  <w:pPr>
                    <w:tabs>
                      <w:tab w:val="left" w:pos="1081"/>
                    </w:tabs>
                    <w:adjustRightInd w:val="0"/>
                    <w:snapToGrid w:val="0"/>
                    <w:jc w:val="center"/>
                    <w:rPr>
                      <w:rFonts w:hint="eastAsia"/>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正常</w:t>
                  </w:r>
                </w:p>
              </w:tc>
            </w:tr>
            <w:tr w14:paraId="2D190B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59" w:type="pct"/>
                  <w:shd w:val="clear" w:color="auto" w:fill="auto"/>
                  <w:vAlign w:val="center"/>
                </w:tcPr>
                <w:p w14:paraId="3114DE41">
                  <w:pPr>
                    <w:jc w:val="center"/>
                    <w:outlineLvl w:val="0"/>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天然气蒸汽发生器废气</w:t>
                  </w:r>
                </w:p>
              </w:tc>
              <w:tc>
                <w:tcPr>
                  <w:tcW w:w="492" w:type="pct"/>
                  <w:vAlign w:val="center"/>
                </w:tcPr>
                <w:p w14:paraId="24A06068">
                  <w:pPr>
                    <w:pStyle w:val="38"/>
                    <w:rPr>
                      <w:rFonts w:hint="eastAsia" w:eastAsia="宋体"/>
                      <w:color w:val="000000" w:themeColor="text1"/>
                      <w:szCs w:val="21"/>
                      <w:highlight w:val="none"/>
                      <w:u w:val="none"/>
                      <w:lang w:val="en-US" w:eastAsia="zh-CN"/>
                      <w14:textFill>
                        <w14:solidFill>
                          <w14:schemeClr w14:val="tx1"/>
                        </w14:solidFill>
                      </w14:textFill>
                    </w:rPr>
                  </w:pPr>
                  <w:r>
                    <w:rPr>
                      <w:color w:val="000000" w:themeColor="text1"/>
                      <w:szCs w:val="21"/>
                      <w:highlight w:val="none"/>
                      <w:u w:val="none"/>
                      <w14:textFill>
                        <w14:solidFill>
                          <w14:schemeClr w14:val="tx1"/>
                        </w14:solidFill>
                      </w14:textFill>
                    </w:rPr>
                    <w:t>DA00</w:t>
                  </w:r>
                  <w:r>
                    <w:rPr>
                      <w:rFonts w:hint="eastAsia"/>
                      <w:color w:val="000000" w:themeColor="text1"/>
                      <w:szCs w:val="21"/>
                      <w:highlight w:val="none"/>
                      <w:u w:val="none"/>
                      <w:lang w:val="en-US" w:eastAsia="zh-CN"/>
                      <w14:textFill>
                        <w14:solidFill>
                          <w14:schemeClr w14:val="tx1"/>
                        </w14:solidFill>
                      </w14:textFill>
                    </w:rPr>
                    <w:t>4</w:t>
                  </w:r>
                </w:p>
              </w:tc>
              <w:tc>
                <w:tcPr>
                  <w:tcW w:w="249" w:type="pct"/>
                  <w:vAlign w:val="center"/>
                </w:tcPr>
                <w:p w14:paraId="4545BFA9">
                  <w:pPr>
                    <w:tabs>
                      <w:tab w:val="left" w:pos="1081"/>
                    </w:tabs>
                    <w:adjustRightInd w:val="0"/>
                    <w:snapToGrid w:val="0"/>
                    <w:jc w:val="center"/>
                    <w:rPr>
                      <w:rFonts w:hint="eastAsia"/>
                      <w:color w:val="000000" w:themeColor="text1"/>
                      <w:szCs w:val="21"/>
                      <w:highlight w:val="none"/>
                      <w:u w:val="none"/>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4</w:t>
                  </w:r>
                  <w:r>
                    <w:rPr>
                      <w:color w:val="000000" w:themeColor="text1"/>
                      <w:szCs w:val="21"/>
                      <w:highlight w:val="none"/>
                      <w:u w:val="none"/>
                      <w14:textFill>
                        <w14:solidFill>
                          <w14:schemeClr w14:val="tx1"/>
                        </w14:solidFill>
                      </w14:textFill>
                    </w:rPr>
                    <w:t>#排气口</w:t>
                  </w:r>
                </w:p>
              </w:tc>
              <w:tc>
                <w:tcPr>
                  <w:tcW w:w="249" w:type="pct"/>
                  <w:vAlign w:val="center"/>
                </w:tcPr>
                <w:p w14:paraId="5E78100F">
                  <w:pPr>
                    <w:adjustRightInd w:val="0"/>
                    <w:snapToGrid w:val="0"/>
                    <w:jc w:val="center"/>
                    <w:rPr>
                      <w:rFonts w:hint="eastAsia"/>
                      <w:color w:val="000000" w:themeColor="text1"/>
                      <w:szCs w:val="21"/>
                      <w:highlight w:val="none"/>
                      <w:u w:val="none"/>
                      <w:lang w:val="en-US" w:eastAsia="zh-CN"/>
                      <w14:textFill>
                        <w14:solidFill>
                          <w14:schemeClr w14:val="tx1"/>
                        </w14:solidFill>
                      </w14:textFill>
                    </w:rPr>
                  </w:pPr>
                  <w:r>
                    <w:rPr>
                      <w:color w:val="000000" w:themeColor="text1"/>
                      <w:szCs w:val="21"/>
                      <w:highlight w:val="none"/>
                      <w:u w:val="none"/>
                      <w14:textFill>
                        <w14:solidFill>
                          <w14:schemeClr w14:val="tx1"/>
                        </w14:solidFill>
                      </w14:textFill>
                    </w:rPr>
                    <w:t>一般排放口</w:t>
                  </w:r>
                </w:p>
              </w:tc>
              <w:tc>
                <w:tcPr>
                  <w:tcW w:w="502" w:type="pct"/>
                  <w:vAlign w:val="center"/>
                </w:tcPr>
                <w:p w14:paraId="76B6AC5E">
                  <w:pPr>
                    <w:tabs>
                      <w:tab w:val="left" w:pos="1081"/>
                    </w:tabs>
                    <w:adjustRightInd w:val="0"/>
                    <w:snapToGrid w:val="0"/>
                    <w:jc w:val="center"/>
                    <w:rPr>
                      <w:rFonts w:hint="default"/>
                      <w:color w:val="000000" w:themeColor="text1"/>
                      <w:szCs w:val="21"/>
                      <w:highlight w:val="none"/>
                      <w:u w:val="none"/>
                      <w:lang w:val="en-US" w:eastAsia="zh-CN"/>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50</w:t>
                  </w:r>
                </w:p>
              </w:tc>
              <w:tc>
                <w:tcPr>
                  <w:tcW w:w="833" w:type="pct"/>
                  <w:vAlign w:val="center"/>
                </w:tcPr>
                <w:p w14:paraId="7298CAAB">
                  <w:pPr>
                    <w:tabs>
                      <w:tab w:val="left" w:pos="1081"/>
                    </w:tabs>
                    <w:adjustRightInd w:val="0"/>
                    <w:snapToGrid w:val="0"/>
                    <w:jc w:val="center"/>
                    <w:rPr>
                      <w:rFonts w:hint="eastAsia"/>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112.18868522</w:t>
                  </w:r>
                </w:p>
              </w:tc>
              <w:tc>
                <w:tcPr>
                  <w:tcW w:w="780" w:type="pct"/>
                  <w:vAlign w:val="center"/>
                </w:tcPr>
                <w:p w14:paraId="4C193269">
                  <w:pPr>
                    <w:tabs>
                      <w:tab w:val="left" w:pos="1081"/>
                    </w:tabs>
                    <w:adjustRightInd w:val="0"/>
                    <w:snapToGrid w:val="0"/>
                    <w:jc w:val="center"/>
                    <w:rPr>
                      <w:rFonts w:hint="eastAsia"/>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33.01173173</w:t>
                  </w:r>
                </w:p>
              </w:tc>
              <w:tc>
                <w:tcPr>
                  <w:tcW w:w="408" w:type="pct"/>
                  <w:vAlign w:val="center"/>
                </w:tcPr>
                <w:p w14:paraId="23E37E2D">
                  <w:pPr>
                    <w:tabs>
                      <w:tab w:val="left" w:pos="1081"/>
                    </w:tabs>
                    <w:adjustRightInd w:val="0"/>
                    <w:snapToGrid w:val="0"/>
                    <w:jc w:val="center"/>
                    <w:rPr>
                      <w:rFonts w:hint="default"/>
                      <w:color w:val="000000" w:themeColor="text1"/>
                      <w:szCs w:val="21"/>
                      <w:highlight w:val="none"/>
                      <w:u w:val="none"/>
                      <w:lang w:val="en-US" w:eastAsia="zh-CN"/>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8</w:t>
                  </w:r>
                </w:p>
              </w:tc>
              <w:tc>
                <w:tcPr>
                  <w:tcW w:w="403" w:type="pct"/>
                  <w:vAlign w:val="center"/>
                </w:tcPr>
                <w:p w14:paraId="277DEAE4">
                  <w:pPr>
                    <w:tabs>
                      <w:tab w:val="left" w:pos="1081"/>
                    </w:tabs>
                    <w:adjustRightInd w:val="0"/>
                    <w:snapToGrid w:val="0"/>
                    <w:jc w:val="center"/>
                    <w:rPr>
                      <w:rFonts w:hint="default" w:eastAsia="宋体"/>
                      <w:color w:val="000000" w:themeColor="text1"/>
                      <w:szCs w:val="21"/>
                      <w:highlight w:val="none"/>
                      <w:u w:val="none"/>
                      <w:lang w:val="en-US" w:eastAsia="zh-CN"/>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0.2</w:t>
                  </w:r>
                </w:p>
              </w:tc>
              <w:tc>
                <w:tcPr>
                  <w:tcW w:w="373" w:type="pct"/>
                  <w:vAlign w:val="center"/>
                </w:tcPr>
                <w:p w14:paraId="2783F326">
                  <w:pPr>
                    <w:tabs>
                      <w:tab w:val="left" w:pos="1081"/>
                    </w:tabs>
                    <w:adjustRightInd w:val="0"/>
                    <w:snapToGrid w:val="0"/>
                    <w:jc w:val="center"/>
                    <w:rPr>
                      <w:rFonts w:hint="default"/>
                      <w:color w:val="000000" w:themeColor="text1"/>
                      <w:szCs w:val="21"/>
                      <w:highlight w:val="none"/>
                      <w:u w:val="none"/>
                      <w:lang w:val="en-US" w:eastAsia="zh-CN"/>
                      <w14:textFill>
                        <w14:solidFill>
                          <w14:schemeClr w14:val="tx1"/>
                        </w14:solidFill>
                      </w14:textFill>
                    </w:rPr>
                  </w:pPr>
                  <w:r>
                    <w:rPr>
                      <w:rFonts w:hint="eastAsia"/>
                      <w:color w:val="000000" w:themeColor="text1"/>
                      <w:szCs w:val="21"/>
                      <w:highlight w:val="none"/>
                      <w:u w:val="none"/>
                      <w:lang w:val="en-US" w:eastAsia="zh-CN"/>
                      <w14:textFill>
                        <w14:solidFill>
                          <w14:schemeClr w14:val="tx1"/>
                        </w14:solidFill>
                      </w14:textFill>
                    </w:rPr>
                    <w:t>800</w:t>
                  </w:r>
                </w:p>
              </w:tc>
              <w:tc>
                <w:tcPr>
                  <w:tcW w:w="248" w:type="pct"/>
                  <w:vAlign w:val="center"/>
                </w:tcPr>
                <w:p w14:paraId="379C38CF">
                  <w:pPr>
                    <w:tabs>
                      <w:tab w:val="left" w:pos="1081"/>
                    </w:tabs>
                    <w:adjustRightInd w:val="0"/>
                    <w:snapToGrid w:val="0"/>
                    <w:jc w:val="center"/>
                    <w:rPr>
                      <w:rFonts w:hint="eastAsia"/>
                      <w:color w:val="000000" w:themeColor="text1"/>
                      <w:szCs w:val="21"/>
                      <w:highlight w:val="none"/>
                      <w:u w:val="none"/>
                      <w14:textFill>
                        <w14:solidFill>
                          <w14:schemeClr w14:val="tx1"/>
                        </w14:solidFill>
                      </w14:textFill>
                    </w:rPr>
                  </w:pPr>
                  <w:r>
                    <w:rPr>
                      <w:rFonts w:hint="eastAsia"/>
                      <w:color w:val="000000" w:themeColor="text1"/>
                      <w:szCs w:val="21"/>
                      <w:highlight w:val="none"/>
                      <w:u w:val="none"/>
                      <w14:textFill>
                        <w14:solidFill>
                          <w14:schemeClr w14:val="tx1"/>
                        </w14:solidFill>
                      </w14:textFill>
                    </w:rPr>
                    <w:t>正常</w:t>
                  </w:r>
                </w:p>
              </w:tc>
            </w:tr>
          </w:tbl>
          <w:p w14:paraId="37EE9857">
            <w:pPr>
              <w:adjustRightInd w:val="0"/>
              <w:snapToGrid w:val="0"/>
              <w:spacing w:line="360" w:lineRule="auto"/>
              <w:ind w:firstLine="480" w:firstLineChars="200"/>
              <w:rPr>
                <w:bCs/>
                <w:color w:val="000000" w:themeColor="text1"/>
                <w:sz w:val="24"/>
                <w:szCs w:val="24"/>
                <w:u w:val="none"/>
                <w14:textFill>
                  <w14:solidFill>
                    <w14:schemeClr w14:val="tx1"/>
                  </w14:solidFill>
                </w14:textFill>
              </w:rPr>
            </w:pPr>
            <w:r>
              <w:rPr>
                <w:rFonts w:hint="eastAsia"/>
                <w:bCs/>
                <w:color w:val="000000" w:themeColor="text1"/>
                <w:sz w:val="24"/>
                <w:szCs w:val="24"/>
                <w:u w:val="none"/>
                <w:lang w:val="en-US" w:eastAsia="zh-CN"/>
                <w14:textFill>
                  <w14:solidFill>
                    <w14:schemeClr w14:val="tx1"/>
                  </w14:solidFill>
                </w14:textFill>
              </w:rPr>
              <w:t>1.4</w:t>
            </w:r>
            <w:r>
              <w:rPr>
                <w:bCs/>
                <w:color w:val="000000" w:themeColor="text1"/>
                <w:sz w:val="24"/>
                <w:szCs w:val="24"/>
                <w:u w:val="none"/>
                <w14:textFill>
                  <w14:solidFill>
                    <w14:schemeClr w14:val="tx1"/>
                  </w14:solidFill>
                </w14:textFill>
              </w:rPr>
              <w:t>废气监测计划</w:t>
            </w:r>
          </w:p>
          <w:p w14:paraId="53A4A6EA">
            <w:pPr>
              <w:adjustRightInd w:val="0"/>
              <w:snapToGrid w:val="0"/>
              <w:spacing w:line="360" w:lineRule="auto"/>
              <w:ind w:firstLine="480" w:firstLineChars="200"/>
              <w:rPr>
                <w:color w:val="000000" w:themeColor="text1"/>
                <w:kern w:val="0"/>
                <w:sz w:val="24"/>
                <w:u w:val="none"/>
                <w14:textFill>
                  <w14:solidFill>
                    <w14:schemeClr w14:val="tx1"/>
                  </w14:solidFill>
                </w14:textFill>
              </w:rPr>
            </w:pPr>
            <w:r>
              <w:rPr>
                <w:color w:val="000000" w:themeColor="text1"/>
                <w:kern w:val="0"/>
                <w:sz w:val="24"/>
                <w:u w:val="none"/>
                <w14:textFill>
                  <w14:solidFill>
                    <w14:schemeClr w14:val="tx1"/>
                  </w14:solidFill>
                </w14:textFill>
              </w:rPr>
              <w:t>依据</w:t>
            </w:r>
            <w:r>
              <w:rPr>
                <w:rFonts w:hint="eastAsia"/>
                <w:b w:val="0"/>
                <w:bCs/>
                <w:color w:val="auto"/>
                <w:sz w:val="24"/>
                <w:u w:val="none" w:color="auto"/>
                <w:lang w:eastAsia="zh-CN"/>
              </w:rPr>
              <w:t>《排污单位自行监测技术指南 食品制造》（HJ 1084-2020）、《排污单位自行监测技术指南 火力发电及锅炉》（HJ820-2017）</w:t>
            </w:r>
            <w:r>
              <w:rPr>
                <w:rFonts w:hint="eastAsia"/>
                <w:bCs/>
                <w:i w:val="0"/>
                <w:iCs w:val="0"/>
                <w:color w:val="auto"/>
                <w:sz w:val="24"/>
                <w:u w:val="none" w:color="auto"/>
                <w:lang w:val="en-US" w:eastAsia="zh-CN"/>
              </w:rPr>
              <w:t>中废气排放监测要求，本项目废气监测计划见下表。</w:t>
            </w:r>
            <w:r>
              <w:rPr>
                <w:color w:val="000000" w:themeColor="text1"/>
                <w:kern w:val="0"/>
                <w:sz w:val="24"/>
                <w:u w:val="none"/>
                <w14:textFill>
                  <w14:solidFill>
                    <w14:schemeClr w14:val="tx1"/>
                  </w14:solidFill>
                </w14:textFill>
              </w:rPr>
              <w:t>对项目营运期制定自行监测计划，企业自行监测污染源监测计划详见下表，当发生污染事故时，应根据具体情况相应增加监测频率，并进行追踪监测。</w:t>
            </w:r>
          </w:p>
          <w:p w14:paraId="58954487">
            <w:pPr>
              <w:widowControl/>
              <w:adjustRightInd w:val="0"/>
              <w:snapToGrid w:val="0"/>
              <w:spacing w:line="360" w:lineRule="auto"/>
              <w:ind w:firstLine="482"/>
              <w:jc w:val="center"/>
              <w:rPr>
                <w:b/>
                <w:color w:val="000000" w:themeColor="text1"/>
                <w:sz w:val="24"/>
                <w:szCs w:val="24"/>
                <w:u w:val="none"/>
                <w14:textFill>
                  <w14:solidFill>
                    <w14:schemeClr w14:val="tx1"/>
                  </w14:solidFill>
                </w14:textFill>
              </w:rPr>
            </w:pPr>
            <w:r>
              <w:rPr>
                <w:b/>
                <w:color w:val="000000" w:themeColor="text1"/>
                <w:sz w:val="24"/>
                <w:szCs w:val="24"/>
                <w:u w:val="none"/>
                <w14:textFill>
                  <w14:solidFill>
                    <w14:schemeClr w14:val="tx1"/>
                  </w14:solidFill>
                </w14:textFill>
              </w:rPr>
              <w:t>表4-</w:t>
            </w:r>
            <w:r>
              <w:rPr>
                <w:rFonts w:hint="eastAsia"/>
                <w:b/>
                <w:color w:val="000000" w:themeColor="text1"/>
                <w:sz w:val="24"/>
                <w:szCs w:val="24"/>
                <w:u w:val="none"/>
                <w:lang w:val="en-US" w:eastAsia="zh-CN"/>
                <w14:textFill>
                  <w14:solidFill>
                    <w14:schemeClr w14:val="tx1"/>
                  </w14:solidFill>
                </w14:textFill>
              </w:rPr>
              <w:t>7</w:t>
            </w:r>
            <w:r>
              <w:rPr>
                <w:rFonts w:hint="eastAsia"/>
                <w:b/>
                <w:color w:val="000000" w:themeColor="text1"/>
                <w:sz w:val="24"/>
                <w:szCs w:val="24"/>
                <w:u w:val="none"/>
                <w14:textFill>
                  <w14:solidFill>
                    <w14:schemeClr w14:val="tx1"/>
                  </w14:solidFill>
                </w14:textFill>
              </w:rPr>
              <w:t xml:space="preserve">  </w:t>
            </w:r>
            <w:r>
              <w:rPr>
                <w:b/>
                <w:color w:val="000000" w:themeColor="text1"/>
                <w:sz w:val="24"/>
                <w:szCs w:val="24"/>
                <w:u w:val="none"/>
                <w14:textFill>
                  <w14:solidFill>
                    <w14:schemeClr w14:val="tx1"/>
                  </w14:solidFill>
                </w14:textFill>
              </w:rPr>
              <w:t>项目废气监测计划一览表</w:t>
            </w:r>
          </w:p>
          <w:tbl>
            <w:tblPr>
              <w:tblStyle w:val="20"/>
              <w:tblW w:w="495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18"/>
              <w:gridCol w:w="654"/>
              <w:gridCol w:w="1381"/>
              <w:gridCol w:w="1445"/>
              <w:gridCol w:w="1226"/>
              <w:gridCol w:w="3708"/>
            </w:tblGrid>
            <w:tr w14:paraId="3E0704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51" w:type="pct"/>
                  <w:gridSpan w:val="2"/>
                  <w:tcBorders>
                    <w:right w:val="single" w:color="auto" w:sz="4" w:space="0"/>
                  </w:tcBorders>
                  <w:vAlign w:val="center"/>
                </w:tcPr>
                <w:p w14:paraId="0076E5CE">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项目</w:t>
                  </w:r>
                </w:p>
              </w:tc>
              <w:tc>
                <w:tcPr>
                  <w:tcW w:w="756" w:type="pct"/>
                  <w:tcBorders>
                    <w:left w:val="single" w:color="auto" w:sz="4" w:space="0"/>
                    <w:bottom w:val="single" w:color="auto" w:sz="4" w:space="0"/>
                  </w:tcBorders>
                  <w:vAlign w:val="center"/>
                </w:tcPr>
                <w:p w14:paraId="677285C4">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监测点位</w:t>
                  </w:r>
                </w:p>
              </w:tc>
              <w:tc>
                <w:tcPr>
                  <w:tcW w:w="791" w:type="pct"/>
                  <w:vAlign w:val="center"/>
                </w:tcPr>
                <w:p w14:paraId="62EA4996">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监测因子</w:t>
                  </w:r>
                </w:p>
              </w:tc>
              <w:tc>
                <w:tcPr>
                  <w:tcW w:w="671" w:type="pct"/>
                  <w:vAlign w:val="center"/>
                </w:tcPr>
                <w:p w14:paraId="15AEED49">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监测频次</w:t>
                  </w:r>
                </w:p>
              </w:tc>
              <w:tc>
                <w:tcPr>
                  <w:tcW w:w="2030" w:type="pct"/>
                  <w:vAlign w:val="center"/>
                </w:tcPr>
                <w:p w14:paraId="032A6E39">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执行标准</w:t>
                  </w:r>
                </w:p>
              </w:tc>
            </w:tr>
            <w:tr w14:paraId="76A688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restart"/>
                  <w:tcBorders>
                    <w:right w:val="single" w:color="auto" w:sz="4" w:space="0"/>
                  </w:tcBorders>
                  <w:vAlign w:val="center"/>
                </w:tcPr>
                <w:p w14:paraId="7DFA77D0">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废气</w:t>
                  </w:r>
                </w:p>
              </w:tc>
              <w:tc>
                <w:tcPr>
                  <w:tcW w:w="357" w:type="pct"/>
                  <w:vMerge w:val="restart"/>
                  <w:tcBorders>
                    <w:left w:val="single" w:color="auto" w:sz="4" w:space="0"/>
                    <w:right w:val="single" w:color="auto" w:sz="4" w:space="0"/>
                  </w:tcBorders>
                  <w:vAlign w:val="center"/>
                </w:tcPr>
                <w:p w14:paraId="4B57E1C2">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有组织</w:t>
                  </w:r>
                </w:p>
              </w:tc>
              <w:tc>
                <w:tcPr>
                  <w:tcW w:w="756" w:type="pct"/>
                  <w:vMerge w:val="restart"/>
                  <w:tcBorders>
                    <w:top w:val="single" w:color="auto" w:sz="4" w:space="0"/>
                    <w:left w:val="single" w:color="auto" w:sz="4" w:space="0"/>
                  </w:tcBorders>
                  <w:vAlign w:val="center"/>
                </w:tcPr>
                <w:p w14:paraId="71503993">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DA001</w:t>
                  </w:r>
                </w:p>
              </w:tc>
              <w:tc>
                <w:tcPr>
                  <w:tcW w:w="791" w:type="pct"/>
                  <w:vAlign w:val="center"/>
                </w:tcPr>
                <w:p w14:paraId="3E758EB9">
                  <w:pPr>
                    <w:pStyle w:val="38"/>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671" w:type="pct"/>
                  <w:vAlign w:val="center"/>
                </w:tcPr>
                <w:p w14:paraId="58C26CAA">
                  <w:pPr>
                    <w:jc w:val="center"/>
                    <w:rPr>
                      <w:b/>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2030" w:type="pct"/>
                  <w:shd w:val="clear" w:color="auto" w:fill="auto"/>
                  <w:vAlign w:val="center"/>
                </w:tcPr>
                <w:p w14:paraId="22564C73">
                  <w:pPr>
                    <w:keepNext w:val="0"/>
                    <w:keepLines w:val="0"/>
                    <w:pageBreakBefore w:val="0"/>
                    <w:widowControl w:val="0"/>
                    <w:kinsoku/>
                    <w:wordWrap/>
                    <w:overflowPunct/>
                    <w:topLinePunct w:val="0"/>
                    <w:autoSpaceDE/>
                    <w:autoSpaceDN/>
                    <w:bidi w:val="0"/>
                    <w:jc w:val="center"/>
                    <w:textAlignment w:val="auto"/>
                    <w:outlineLvl w:val="9"/>
                    <w:rPr>
                      <w:rFonts w:hint="eastAsia" w:ascii="Times New Roman" w:hAnsi="Times New Roman" w:eastAsia="宋体" w:cs="Times New Roman"/>
                      <w:color w:val="000000"/>
                      <w:kern w:val="2"/>
                      <w:sz w:val="21"/>
                      <w:szCs w:val="21"/>
                      <w:lang w:val="en-US" w:eastAsia="zh-CN" w:bidi="ar-SA"/>
                    </w:rPr>
                  </w:pPr>
                  <w:r>
                    <w:rPr>
                      <w:rFonts w:hint="eastAsia"/>
                      <w:color w:val="000000" w:themeColor="text1"/>
                      <w:sz w:val="21"/>
                      <w:szCs w:val="21"/>
                      <w14:textFill>
                        <w14:solidFill>
                          <w14:schemeClr w14:val="tx1"/>
                        </w14:solidFill>
                      </w14:textFill>
                    </w:rPr>
                    <w:t>《餐饮业油烟污染物排放标准》（DB41/1604-2018）</w:t>
                  </w:r>
                </w:p>
              </w:tc>
            </w:tr>
            <w:tr w14:paraId="3F61E8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26153023">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right w:val="single" w:color="auto" w:sz="4" w:space="0"/>
                  </w:tcBorders>
                  <w:vAlign w:val="center"/>
                </w:tcPr>
                <w:p w14:paraId="2BF33B5B">
                  <w:pPr>
                    <w:jc w:val="center"/>
                    <w:rPr>
                      <w:color w:val="000000" w:themeColor="text1"/>
                      <w:szCs w:val="21"/>
                      <w:u w:val="none"/>
                      <w14:textFill>
                        <w14:solidFill>
                          <w14:schemeClr w14:val="tx1"/>
                        </w14:solidFill>
                      </w14:textFill>
                    </w:rPr>
                  </w:pPr>
                </w:p>
              </w:tc>
              <w:tc>
                <w:tcPr>
                  <w:tcW w:w="756" w:type="pct"/>
                  <w:vMerge w:val="continue"/>
                  <w:tcBorders>
                    <w:left w:val="single" w:color="auto" w:sz="4" w:space="0"/>
                  </w:tcBorders>
                  <w:vAlign w:val="center"/>
                </w:tcPr>
                <w:p w14:paraId="075E084F">
                  <w:pPr>
                    <w:pStyle w:val="38"/>
                    <w:rPr>
                      <w:color w:val="000000" w:themeColor="text1"/>
                      <w:szCs w:val="21"/>
                      <w:u w:val="none"/>
                      <w14:textFill>
                        <w14:solidFill>
                          <w14:schemeClr w14:val="tx1"/>
                        </w14:solidFill>
                      </w14:textFill>
                    </w:rPr>
                  </w:pPr>
                </w:p>
              </w:tc>
              <w:tc>
                <w:tcPr>
                  <w:tcW w:w="791" w:type="pct"/>
                  <w:vAlign w:val="center"/>
                </w:tcPr>
                <w:p w14:paraId="446DC9A4">
                  <w:pPr>
                    <w:pStyle w:val="38"/>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671" w:type="pct"/>
                  <w:vAlign w:val="center"/>
                </w:tcPr>
                <w:p w14:paraId="76AF282F">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2030" w:type="pct"/>
                  <w:shd w:val="clear" w:color="auto" w:fill="auto"/>
                  <w:vAlign w:val="center"/>
                </w:tcPr>
                <w:p w14:paraId="0FB0AAC2">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《餐饮业油烟污染物排放标准》（DB41/1604-2018）</w:t>
                  </w:r>
                </w:p>
              </w:tc>
            </w:tr>
            <w:tr w14:paraId="096413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07431293">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right w:val="single" w:color="auto" w:sz="4" w:space="0"/>
                  </w:tcBorders>
                  <w:vAlign w:val="center"/>
                </w:tcPr>
                <w:p w14:paraId="16E854D0">
                  <w:pPr>
                    <w:jc w:val="center"/>
                    <w:rPr>
                      <w:color w:val="000000" w:themeColor="text1"/>
                      <w:szCs w:val="21"/>
                      <w:u w:val="none"/>
                      <w14:textFill>
                        <w14:solidFill>
                          <w14:schemeClr w14:val="tx1"/>
                        </w14:solidFill>
                      </w14:textFill>
                    </w:rPr>
                  </w:pPr>
                </w:p>
              </w:tc>
              <w:tc>
                <w:tcPr>
                  <w:tcW w:w="756" w:type="pct"/>
                  <w:vMerge w:val="restart"/>
                  <w:tcBorders>
                    <w:left w:val="single" w:color="auto" w:sz="4" w:space="0"/>
                  </w:tcBorders>
                  <w:vAlign w:val="center"/>
                </w:tcPr>
                <w:p w14:paraId="471DC186">
                  <w:pPr>
                    <w:pStyle w:val="38"/>
                    <w:rPr>
                      <w:rFonts w:hint="eastAsia" w:eastAsia="宋体"/>
                      <w:color w:val="000000" w:themeColor="text1"/>
                      <w:szCs w:val="21"/>
                      <w:u w:val="none"/>
                      <w:lang w:val="en-US" w:eastAsia="zh-CN"/>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lang w:val="en-US" w:eastAsia="zh-CN"/>
                      <w14:textFill>
                        <w14:solidFill>
                          <w14:schemeClr w14:val="tx1"/>
                        </w14:solidFill>
                      </w14:textFill>
                    </w:rPr>
                    <w:t>2</w:t>
                  </w:r>
                </w:p>
              </w:tc>
              <w:tc>
                <w:tcPr>
                  <w:tcW w:w="791" w:type="pct"/>
                  <w:vAlign w:val="center"/>
                </w:tcPr>
                <w:p w14:paraId="49CF0A39">
                  <w:pPr>
                    <w:pStyle w:val="38"/>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671" w:type="pct"/>
                  <w:vAlign w:val="center"/>
                </w:tcPr>
                <w:p w14:paraId="0566EF38">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2030" w:type="pct"/>
                  <w:shd w:val="clear" w:color="auto" w:fill="auto"/>
                  <w:vAlign w:val="center"/>
                </w:tcPr>
                <w:p w14:paraId="7C121950">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《餐饮业油烟污染物排放标准》（DB41/1604-2018）</w:t>
                  </w:r>
                </w:p>
              </w:tc>
            </w:tr>
            <w:tr w14:paraId="0C4958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2905A106">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right w:val="single" w:color="auto" w:sz="4" w:space="0"/>
                  </w:tcBorders>
                  <w:vAlign w:val="center"/>
                </w:tcPr>
                <w:p w14:paraId="5A9C9709">
                  <w:pPr>
                    <w:jc w:val="center"/>
                    <w:rPr>
                      <w:color w:val="000000" w:themeColor="text1"/>
                      <w:szCs w:val="21"/>
                      <w:u w:val="none"/>
                      <w14:textFill>
                        <w14:solidFill>
                          <w14:schemeClr w14:val="tx1"/>
                        </w14:solidFill>
                      </w14:textFill>
                    </w:rPr>
                  </w:pPr>
                </w:p>
              </w:tc>
              <w:tc>
                <w:tcPr>
                  <w:tcW w:w="756" w:type="pct"/>
                  <w:vMerge w:val="continue"/>
                  <w:tcBorders>
                    <w:left w:val="single" w:color="auto" w:sz="4" w:space="0"/>
                  </w:tcBorders>
                  <w:vAlign w:val="center"/>
                </w:tcPr>
                <w:p w14:paraId="74E81B78">
                  <w:pPr>
                    <w:pStyle w:val="38"/>
                    <w:rPr>
                      <w:color w:val="000000" w:themeColor="text1"/>
                      <w:szCs w:val="21"/>
                      <w:u w:val="none"/>
                      <w14:textFill>
                        <w14:solidFill>
                          <w14:schemeClr w14:val="tx1"/>
                        </w14:solidFill>
                      </w14:textFill>
                    </w:rPr>
                  </w:pPr>
                </w:p>
              </w:tc>
              <w:tc>
                <w:tcPr>
                  <w:tcW w:w="791" w:type="pct"/>
                  <w:vAlign w:val="center"/>
                </w:tcPr>
                <w:p w14:paraId="487AA5FF">
                  <w:pPr>
                    <w:pStyle w:val="38"/>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671" w:type="pct"/>
                  <w:vAlign w:val="center"/>
                </w:tcPr>
                <w:p w14:paraId="20703684">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2030" w:type="pct"/>
                  <w:shd w:val="clear" w:color="auto" w:fill="auto"/>
                  <w:vAlign w:val="center"/>
                </w:tcPr>
                <w:p w14:paraId="5207558E">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《餐饮业油烟污染物排放标准》（DB41/1604-2018）</w:t>
                  </w:r>
                </w:p>
              </w:tc>
            </w:tr>
            <w:tr w14:paraId="493E331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47B08C7C">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right w:val="single" w:color="auto" w:sz="4" w:space="0"/>
                  </w:tcBorders>
                  <w:vAlign w:val="center"/>
                </w:tcPr>
                <w:p w14:paraId="269E59B0">
                  <w:pPr>
                    <w:jc w:val="center"/>
                    <w:rPr>
                      <w:color w:val="000000" w:themeColor="text1"/>
                      <w:szCs w:val="21"/>
                      <w:u w:val="none"/>
                      <w14:textFill>
                        <w14:solidFill>
                          <w14:schemeClr w14:val="tx1"/>
                        </w14:solidFill>
                      </w14:textFill>
                    </w:rPr>
                  </w:pPr>
                </w:p>
              </w:tc>
              <w:tc>
                <w:tcPr>
                  <w:tcW w:w="756" w:type="pct"/>
                  <w:vMerge w:val="restart"/>
                  <w:tcBorders>
                    <w:left w:val="single" w:color="auto" w:sz="4" w:space="0"/>
                  </w:tcBorders>
                  <w:vAlign w:val="center"/>
                </w:tcPr>
                <w:p w14:paraId="44077BEF">
                  <w:pPr>
                    <w:pStyle w:val="38"/>
                    <w:rPr>
                      <w:rFonts w:hint="eastAsia" w:eastAsia="宋体"/>
                      <w:color w:val="000000" w:themeColor="text1"/>
                      <w:szCs w:val="21"/>
                      <w:u w:val="none"/>
                      <w:lang w:val="en-US" w:eastAsia="zh-CN"/>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lang w:val="en-US" w:eastAsia="zh-CN"/>
                      <w14:textFill>
                        <w14:solidFill>
                          <w14:schemeClr w14:val="tx1"/>
                        </w14:solidFill>
                      </w14:textFill>
                    </w:rPr>
                    <w:t>3</w:t>
                  </w:r>
                </w:p>
              </w:tc>
              <w:tc>
                <w:tcPr>
                  <w:tcW w:w="791" w:type="pct"/>
                  <w:vAlign w:val="center"/>
                </w:tcPr>
                <w:p w14:paraId="3EFFF2EB">
                  <w:pPr>
                    <w:pStyle w:val="38"/>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671" w:type="pct"/>
                  <w:vAlign w:val="center"/>
                </w:tcPr>
                <w:p w14:paraId="484182B3">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2030" w:type="pct"/>
                  <w:shd w:val="clear" w:color="auto" w:fill="auto"/>
                  <w:vAlign w:val="center"/>
                </w:tcPr>
                <w:p w14:paraId="648ED0C9">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《餐饮业油烟污染物排放标准》（DB41/1604-2018）</w:t>
                  </w:r>
                </w:p>
              </w:tc>
            </w:tr>
            <w:tr w14:paraId="0A8FFF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391C6496">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right w:val="single" w:color="auto" w:sz="4" w:space="0"/>
                  </w:tcBorders>
                  <w:vAlign w:val="center"/>
                </w:tcPr>
                <w:p w14:paraId="37262D4A">
                  <w:pPr>
                    <w:jc w:val="center"/>
                    <w:rPr>
                      <w:color w:val="000000" w:themeColor="text1"/>
                      <w:szCs w:val="21"/>
                      <w:u w:val="none"/>
                      <w14:textFill>
                        <w14:solidFill>
                          <w14:schemeClr w14:val="tx1"/>
                        </w14:solidFill>
                      </w14:textFill>
                    </w:rPr>
                  </w:pPr>
                </w:p>
              </w:tc>
              <w:tc>
                <w:tcPr>
                  <w:tcW w:w="756" w:type="pct"/>
                  <w:vMerge w:val="continue"/>
                  <w:tcBorders>
                    <w:left w:val="single" w:color="auto" w:sz="4" w:space="0"/>
                  </w:tcBorders>
                  <w:vAlign w:val="center"/>
                </w:tcPr>
                <w:p w14:paraId="519B50D7">
                  <w:pPr>
                    <w:pStyle w:val="38"/>
                    <w:rPr>
                      <w:color w:val="000000" w:themeColor="text1"/>
                      <w:szCs w:val="21"/>
                      <w:u w:val="none"/>
                      <w14:textFill>
                        <w14:solidFill>
                          <w14:schemeClr w14:val="tx1"/>
                        </w14:solidFill>
                      </w14:textFill>
                    </w:rPr>
                  </w:pPr>
                </w:p>
              </w:tc>
              <w:tc>
                <w:tcPr>
                  <w:tcW w:w="791" w:type="pct"/>
                  <w:vAlign w:val="center"/>
                </w:tcPr>
                <w:p w14:paraId="77E54433">
                  <w:pPr>
                    <w:pStyle w:val="38"/>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671" w:type="pct"/>
                  <w:vAlign w:val="center"/>
                </w:tcPr>
                <w:p w14:paraId="73E8B9BD">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2030" w:type="pct"/>
                  <w:shd w:val="clear" w:color="auto" w:fill="auto"/>
                  <w:vAlign w:val="center"/>
                </w:tcPr>
                <w:p w14:paraId="2028BBD0">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《餐饮业油烟污染物排放标准》（DB41/1604-2018）</w:t>
                  </w:r>
                </w:p>
              </w:tc>
            </w:tr>
            <w:tr w14:paraId="5841A5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7A88517D">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right w:val="single" w:color="auto" w:sz="4" w:space="0"/>
                  </w:tcBorders>
                  <w:vAlign w:val="center"/>
                </w:tcPr>
                <w:p w14:paraId="3807FFF8">
                  <w:pPr>
                    <w:jc w:val="center"/>
                    <w:rPr>
                      <w:color w:val="000000" w:themeColor="text1"/>
                      <w:szCs w:val="21"/>
                      <w:u w:val="none"/>
                      <w14:textFill>
                        <w14:solidFill>
                          <w14:schemeClr w14:val="tx1"/>
                        </w14:solidFill>
                      </w14:textFill>
                    </w:rPr>
                  </w:pPr>
                </w:p>
              </w:tc>
              <w:tc>
                <w:tcPr>
                  <w:tcW w:w="756" w:type="pct"/>
                  <w:vMerge w:val="restart"/>
                  <w:tcBorders>
                    <w:left w:val="single" w:color="auto" w:sz="4" w:space="0"/>
                  </w:tcBorders>
                  <w:vAlign w:val="center"/>
                </w:tcPr>
                <w:p w14:paraId="2EF3C2E9">
                  <w:pPr>
                    <w:jc w:val="center"/>
                    <w:rPr>
                      <w:rFonts w:hint="eastAsia" w:eastAsia="宋体"/>
                      <w:color w:val="000000" w:themeColor="text1"/>
                      <w:szCs w:val="21"/>
                      <w:u w:val="none"/>
                      <w:lang w:val="en-US" w:eastAsia="zh-CN"/>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lang w:val="en-US" w:eastAsia="zh-CN"/>
                      <w14:textFill>
                        <w14:solidFill>
                          <w14:schemeClr w14:val="tx1"/>
                        </w14:solidFill>
                      </w14:textFill>
                    </w:rPr>
                    <w:t>4</w:t>
                  </w:r>
                </w:p>
              </w:tc>
              <w:tc>
                <w:tcPr>
                  <w:tcW w:w="791" w:type="pct"/>
                  <w:vMerge w:val="restart"/>
                  <w:vAlign w:val="center"/>
                </w:tcPr>
                <w:p w14:paraId="789039E9">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颗粒物</w:t>
                  </w:r>
                </w:p>
              </w:tc>
              <w:tc>
                <w:tcPr>
                  <w:tcW w:w="671" w:type="pct"/>
                  <w:vMerge w:val="restart"/>
                  <w:vAlign w:val="center"/>
                </w:tcPr>
                <w:p w14:paraId="22B86F16">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1次/年</w:t>
                  </w:r>
                </w:p>
              </w:tc>
              <w:tc>
                <w:tcPr>
                  <w:tcW w:w="2030" w:type="pct"/>
                  <w:shd w:val="clear" w:color="auto" w:fill="auto"/>
                  <w:vAlign w:val="center"/>
                </w:tcPr>
                <w:p w14:paraId="585F1064">
                  <w:pPr>
                    <w:jc w:val="center"/>
                    <w:rPr>
                      <w:rFonts w:hint="default" w:ascii="Times New Roman" w:hAnsi="Times New Roman" w:eastAsia="宋体" w:cs="Times New Roman"/>
                      <w:color w:val="auto"/>
                      <w:kern w:val="2"/>
                      <w:sz w:val="21"/>
                      <w:szCs w:val="21"/>
                      <w:u w:val="none"/>
                      <w:lang w:val="en-US" w:eastAsia="zh-CN" w:bidi="ar-SA"/>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278481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58EAC87A">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right w:val="single" w:color="auto" w:sz="4" w:space="0"/>
                  </w:tcBorders>
                  <w:vAlign w:val="center"/>
                </w:tcPr>
                <w:p w14:paraId="3955426C">
                  <w:pPr>
                    <w:jc w:val="center"/>
                    <w:rPr>
                      <w:color w:val="000000" w:themeColor="text1"/>
                      <w:szCs w:val="21"/>
                      <w:u w:val="none"/>
                      <w14:textFill>
                        <w14:solidFill>
                          <w14:schemeClr w14:val="tx1"/>
                        </w14:solidFill>
                      </w14:textFill>
                    </w:rPr>
                  </w:pPr>
                </w:p>
              </w:tc>
              <w:tc>
                <w:tcPr>
                  <w:tcW w:w="756" w:type="pct"/>
                  <w:vMerge w:val="continue"/>
                  <w:tcBorders>
                    <w:left w:val="single" w:color="auto" w:sz="4" w:space="0"/>
                  </w:tcBorders>
                  <w:vAlign w:val="center"/>
                </w:tcPr>
                <w:p w14:paraId="1BD11E99">
                  <w:pPr>
                    <w:jc w:val="center"/>
                    <w:rPr>
                      <w:color w:val="000000" w:themeColor="text1"/>
                      <w:szCs w:val="21"/>
                      <w:u w:val="none"/>
                      <w14:textFill>
                        <w14:solidFill>
                          <w14:schemeClr w14:val="tx1"/>
                        </w14:solidFill>
                      </w14:textFill>
                    </w:rPr>
                  </w:pPr>
                </w:p>
              </w:tc>
              <w:tc>
                <w:tcPr>
                  <w:tcW w:w="791" w:type="pct"/>
                  <w:vMerge w:val="continue"/>
                  <w:vAlign w:val="center"/>
                </w:tcPr>
                <w:p w14:paraId="69E43D75">
                  <w:pPr>
                    <w:pStyle w:val="38"/>
                    <w:rPr>
                      <w:color w:val="000000" w:themeColor="text1"/>
                      <w:szCs w:val="21"/>
                      <w:u w:val="none"/>
                      <w14:textFill>
                        <w14:solidFill>
                          <w14:schemeClr w14:val="tx1"/>
                        </w14:solidFill>
                      </w14:textFill>
                    </w:rPr>
                  </w:pPr>
                </w:p>
              </w:tc>
              <w:tc>
                <w:tcPr>
                  <w:tcW w:w="671" w:type="pct"/>
                  <w:vMerge w:val="continue"/>
                  <w:tcBorders>
                    <w:bottom w:val="single" w:color="auto" w:sz="4" w:space="0"/>
                  </w:tcBorders>
                  <w:vAlign w:val="center"/>
                </w:tcPr>
                <w:p w14:paraId="1CD673BA">
                  <w:pPr>
                    <w:jc w:val="center"/>
                    <w:rPr>
                      <w:color w:val="000000" w:themeColor="text1"/>
                      <w:szCs w:val="21"/>
                      <w:u w:val="none"/>
                      <w14:textFill>
                        <w14:solidFill>
                          <w14:schemeClr w14:val="tx1"/>
                        </w14:solidFill>
                      </w14:textFill>
                    </w:rPr>
                  </w:pPr>
                </w:p>
              </w:tc>
              <w:tc>
                <w:tcPr>
                  <w:tcW w:w="2030" w:type="pct"/>
                  <w:shd w:val="clear" w:color="auto" w:fill="auto"/>
                  <w:vAlign w:val="center"/>
                </w:tcPr>
                <w:p w14:paraId="40CD8AA5">
                  <w:pPr>
                    <w:adjustRightInd w:val="0"/>
                    <w:snapToGrid w:val="0"/>
                    <w:jc w:val="center"/>
                    <w:rPr>
                      <w:rFonts w:hint="default" w:ascii="Times New Roman" w:hAnsi="Times New Roman" w:eastAsia="宋体" w:cs="Times New Roman"/>
                      <w:color w:val="auto"/>
                      <w:kern w:val="2"/>
                      <w:sz w:val="21"/>
                      <w:szCs w:val="21"/>
                      <w:u w:val="none"/>
                      <w:lang w:val="en-US" w:eastAsia="zh-CN" w:bidi="ar-SA"/>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545F3E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314958E8">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right w:val="single" w:color="auto" w:sz="4" w:space="0"/>
                  </w:tcBorders>
                  <w:vAlign w:val="center"/>
                </w:tcPr>
                <w:p w14:paraId="511A053A">
                  <w:pPr>
                    <w:jc w:val="center"/>
                    <w:rPr>
                      <w:color w:val="000000" w:themeColor="text1"/>
                      <w:szCs w:val="21"/>
                      <w:u w:val="none"/>
                      <w14:textFill>
                        <w14:solidFill>
                          <w14:schemeClr w14:val="tx1"/>
                        </w14:solidFill>
                      </w14:textFill>
                    </w:rPr>
                  </w:pPr>
                </w:p>
              </w:tc>
              <w:tc>
                <w:tcPr>
                  <w:tcW w:w="756" w:type="pct"/>
                  <w:vMerge w:val="continue"/>
                  <w:tcBorders>
                    <w:left w:val="single" w:color="auto" w:sz="4" w:space="0"/>
                  </w:tcBorders>
                  <w:vAlign w:val="center"/>
                </w:tcPr>
                <w:p w14:paraId="5D5AAE4F">
                  <w:pPr>
                    <w:jc w:val="center"/>
                    <w:rPr>
                      <w:color w:val="000000" w:themeColor="text1"/>
                      <w:szCs w:val="21"/>
                      <w:u w:val="none"/>
                      <w14:textFill>
                        <w14:solidFill>
                          <w14:schemeClr w14:val="tx1"/>
                        </w14:solidFill>
                      </w14:textFill>
                    </w:rPr>
                  </w:pPr>
                </w:p>
              </w:tc>
              <w:tc>
                <w:tcPr>
                  <w:tcW w:w="791" w:type="pct"/>
                  <w:vMerge w:val="restart"/>
                  <w:vAlign w:val="center"/>
                </w:tcPr>
                <w:p w14:paraId="2649D913">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671" w:type="pct"/>
                  <w:vMerge w:val="restart"/>
                  <w:vAlign w:val="center"/>
                </w:tcPr>
                <w:p w14:paraId="2B4E7F57">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1次/年</w:t>
                  </w:r>
                </w:p>
              </w:tc>
              <w:tc>
                <w:tcPr>
                  <w:tcW w:w="2030" w:type="pct"/>
                  <w:shd w:val="clear" w:color="auto" w:fill="auto"/>
                  <w:vAlign w:val="center"/>
                </w:tcPr>
                <w:p w14:paraId="0D440D6A">
                  <w:pPr>
                    <w:jc w:val="center"/>
                    <w:rPr>
                      <w:rFonts w:hint="default" w:ascii="Times New Roman" w:hAnsi="Times New Roman" w:eastAsia="宋体" w:cs="Times New Roman"/>
                      <w:color w:val="auto"/>
                      <w:kern w:val="2"/>
                      <w:sz w:val="21"/>
                      <w:szCs w:val="21"/>
                      <w:u w:val="none"/>
                      <w:lang w:val="en-US" w:eastAsia="zh-CN" w:bidi="ar-SA"/>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5148E9B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3808003D">
                  <w:pPr>
                    <w:spacing w:before="60" w:after="60"/>
                    <w:jc w:val="center"/>
                  </w:pPr>
                </w:p>
              </w:tc>
              <w:tc>
                <w:tcPr>
                  <w:tcW w:w="357" w:type="pct"/>
                  <w:vMerge w:val="continue"/>
                  <w:tcBorders>
                    <w:left w:val="single" w:color="auto" w:sz="4" w:space="0"/>
                    <w:right w:val="single" w:color="auto" w:sz="4" w:space="0"/>
                  </w:tcBorders>
                  <w:vAlign w:val="center"/>
                </w:tcPr>
                <w:p w14:paraId="74BB4D93">
                  <w:pPr>
                    <w:spacing w:before="60" w:after="60"/>
                    <w:jc w:val="center"/>
                  </w:pPr>
                </w:p>
              </w:tc>
              <w:tc>
                <w:tcPr>
                  <w:tcW w:w="756" w:type="pct"/>
                  <w:vMerge w:val="continue"/>
                  <w:tcBorders>
                    <w:left w:val="single" w:color="auto" w:sz="4" w:space="0"/>
                  </w:tcBorders>
                  <w:vAlign w:val="center"/>
                </w:tcPr>
                <w:p w14:paraId="236BA736">
                  <w:pPr>
                    <w:spacing w:before="60" w:after="60"/>
                    <w:jc w:val="center"/>
                  </w:pPr>
                </w:p>
              </w:tc>
              <w:tc>
                <w:tcPr>
                  <w:tcW w:w="791" w:type="pct"/>
                  <w:vMerge w:val="continue"/>
                  <w:vAlign w:val="center"/>
                </w:tcPr>
                <w:p w14:paraId="3367260C">
                  <w:pPr>
                    <w:spacing w:before="60" w:after="60"/>
                    <w:jc w:val="center"/>
                  </w:pPr>
                </w:p>
              </w:tc>
              <w:tc>
                <w:tcPr>
                  <w:tcW w:w="671" w:type="pct"/>
                  <w:vMerge w:val="continue"/>
                  <w:tcBorders>
                    <w:bottom w:val="single" w:color="auto" w:sz="4" w:space="0"/>
                  </w:tcBorders>
                  <w:vAlign w:val="center"/>
                </w:tcPr>
                <w:p w14:paraId="1E9B8F00">
                  <w:pPr>
                    <w:spacing w:before="60" w:after="60"/>
                    <w:jc w:val="center"/>
                  </w:pPr>
                </w:p>
              </w:tc>
              <w:tc>
                <w:tcPr>
                  <w:tcW w:w="2030" w:type="pct"/>
                  <w:shd w:val="clear" w:color="auto" w:fill="auto"/>
                  <w:vAlign w:val="center"/>
                </w:tcPr>
                <w:p w14:paraId="4FB41F4D">
                  <w:pPr>
                    <w:adjustRightInd w:val="0"/>
                    <w:snapToGrid w:val="0"/>
                    <w:jc w:val="center"/>
                    <w:rPr>
                      <w:rFonts w:hint="default" w:ascii="Times New Roman" w:hAnsi="Times New Roman" w:eastAsia="宋体" w:cs="Times New Roman"/>
                      <w:color w:val="auto"/>
                      <w:kern w:val="2"/>
                      <w:sz w:val="21"/>
                      <w:szCs w:val="21"/>
                      <w:u w:val="none"/>
                      <w:lang w:val="en-US" w:eastAsia="zh-CN" w:bidi="ar-SA"/>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5B75BC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3C6C2004">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right w:val="single" w:color="auto" w:sz="4" w:space="0"/>
                  </w:tcBorders>
                  <w:vAlign w:val="center"/>
                </w:tcPr>
                <w:p w14:paraId="754C73F8">
                  <w:pPr>
                    <w:jc w:val="center"/>
                    <w:rPr>
                      <w:color w:val="000000" w:themeColor="text1"/>
                      <w:szCs w:val="21"/>
                      <w:u w:val="none"/>
                      <w14:textFill>
                        <w14:solidFill>
                          <w14:schemeClr w14:val="tx1"/>
                        </w14:solidFill>
                      </w14:textFill>
                    </w:rPr>
                  </w:pPr>
                </w:p>
              </w:tc>
              <w:tc>
                <w:tcPr>
                  <w:tcW w:w="756" w:type="pct"/>
                  <w:vMerge w:val="continue"/>
                  <w:tcBorders>
                    <w:left w:val="single" w:color="auto" w:sz="4" w:space="0"/>
                  </w:tcBorders>
                  <w:vAlign w:val="center"/>
                </w:tcPr>
                <w:p w14:paraId="33097C33">
                  <w:pPr>
                    <w:jc w:val="center"/>
                    <w:rPr>
                      <w:color w:val="000000" w:themeColor="text1"/>
                      <w:szCs w:val="21"/>
                      <w:u w:val="none"/>
                      <w14:textFill>
                        <w14:solidFill>
                          <w14:schemeClr w14:val="tx1"/>
                        </w14:solidFill>
                      </w14:textFill>
                    </w:rPr>
                  </w:pPr>
                </w:p>
              </w:tc>
              <w:tc>
                <w:tcPr>
                  <w:tcW w:w="791" w:type="pct"/>
                  <w:vMerge w:val="restart"/>
                  <w:vAlign w:val="center"/>
                </w:tcPr>
                <w:p w14:paraId="5A61AE98">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NO</w:t>
                  </w:r>
                  <w:r>
                    <w:rPr>
                      <w:rFonts w:hint="eastAsia"/>
                      <w:color w:val="000000" w:themeColor="text1"/>
                      <w:szCs w:val="21"/>
                      <w:u w:val="none"/>
                      <w:vertAlign w:val="subscript"/>
                      <w14:textFill>
                        <w14:solidFill>
                          <w14:schemeClr w14:val="tx1"/>
                        </w14:solidFill>
                      </w14:textFill>
                    </w:rPr>
                    <w:t>X</w:t>
                  </w:r>
                </w:p>
              </w:tc>
              <w:tc>
                <w:tcPr>
                  <w:tcW w:w="671" w:type="pct"/>
                  <w:vMerge w:val="restart"/>
                  <w:vAlign w:val="center"/>
                </w:tcPr>
                <w:p w14:paraId="014B5DBD">
                  <w:pPr>
                    <w:jc w:val="center"/>
                    <w:rPr>
                      <w:rFonts w:hint="eastAsia" w:eastAsia="宋体"/>
                      <w:color w:val="000000" w:themeColor="text1"/>
                      <w:szCs w:val="21"/>
                      <w:u w:val="none"/>
                      <w:lang w:eastAsia="zh-CN"/>
                      <w14:textFill>
                        <w14:solidFill>
                          <w14:schemeClr w14:val="tx1"/>
                        </w14:solidFill>
                      </w14:textFill>
                    </w:rPr>
                  </w:pPr>
                  <w:r>
                    <w:rPr>
                      <w:color w:val="000000" w:themeColor="text1"/>
                      <w:szCs w:val="21"/>
                      <w:u w:val="none"/>
                      <w14:textFill>
                        <w14:solidFill>
                          <w14:schemeClr w14:val="tx1"/>
                        </w14:solidFill>
                      </w14:textFill>
                    </w:rPr>
                    <w:t>1</w:t>
                  </w:r>
                  <w:r>
                    <w:rPr>
                      <w:rFonts w:hint="eastAsia"/>
                      <w:color w:val="000000" w:themeColor="text1"/>
                      <w:szCs w:val="21"/>
                      <w:u w:val="none"/>
                      <w14:textFill>
                        <w14:solidFill>
                          <w14:schemeClr w14:val="tx1"/>
                        </w14:solidFill>
                      </w14:textFill>
                    </w:rPr>
                    <w:t>次</w:t>
                  </w:r>
                  <w:r>
                    <w:rPr>
                      <w:color w:val="000000" w:themeColor="text1"/>
                      <w:szCs w:val="21"/>
                      <w:u w:val="none"/>
                      <w14:textFill>
                        <w14:solidFill>
                          <w14:schemeClr w14:val="tx1"/>
                        </w14:solidFill>
                      </w14:textFill>
                    </w:rPr>
                    <w:t>/</w:t>
                  </w:r>
                  <w:r>
                    <w:rPr>
                      <w:rFonts w:hint="eastAsia"/>
                      <w:color w:val="000000" w:themeColor="text1"/>
                      <w:szCs w:val="21"/>
                      <w:u w:val="none"/>
                      <w:lang w:val="en-US" w:eastAsia="zh-CN"/>
                      <w14:textFill>
                        <w14:solidFill>
                          <w14:schemeClr w14:val="tx1"/>
                        </w14:solidFill>
                      </w14:textFill>
                    </w:rPr>
                    <w:t>月</w:t>
                  </w:r>
                </w:p>
              </w:tc>
              <w:tc>
                <w:tcPr>
                  <w:tcW w:w="2030" w:type="pct"/>
                  <w:shd w:val="clear" w:color="auto" w:fill="auto"/>
                  <w:vAlign w:val="center"/>
                </w:tcPr>
                <w:p w14:paraId="1193B94F">
                  <w:pPr>
                    <w:jc w:val="center"/>
                    <w:rPr>
                      <w:rFonts w:hint="default" w:ascii="Times New Roman" w:hAnsi="Times New Roman" w:eastAsia="宋体" w:cs="Times New Roman"/>
                      <w:color w:val="auto"/>
                      <w:kern w:val="2"/>
                      <w:sz w:val="21"/>
                      <w:szCs w:val="21"/>
                      <w:u w:val="none"/>
                      <w:lang w:val="en-US" w:eastAsia="zh-CN" w:bidi="ar-SA"/>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4EB52B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079F476A">
                  <w:pPr>
                    <w:spacing w:before="60" w:after="60"/>
                    <w:jc w:val="center"/>
                  </w:pPr>
                </w:p>
              </w:tc>
              <w:tc>
                <w:tcPr>
                  <w:tcW w:w="357" w:type="pct"/>
                  <w:vMerge w:val="continue"/>
                  <w:tcBorders>
                    <w:left w:val="single" w:color="auto" w:sz="4" w:space="0"/>
                    <w:right w:val="single" w:color="auto" w:sz="4" w:space="0"/>
                  </w:tcBorders>
                  <w:vAlign w:val="center"/>
                </w:tcPr>
                <w:p w14:paraId="562EBEC3">
                  <w:pPr>
                    <w:spacing w:before="60" w:after="60"/>
                    <w:jc w:val="center"/>
                  </w:pPr>
                </w:p>
              </w:tc>
              <w:tc>
                <w:tcPr>
                  <w:tcW w:w="756" w:type="pct"/>
                  <w:vMerge w:val="continue"/>
                  <w:tcBorders>
                    <w:left w:val="single" w:color="auto" w:sz="4" w:space="0"/>
                  </w:tcBorders>
                  <w:vAlign w:val="center"/>
                </w:tcPr>
                <w:p w14:paraId="55B643A9">
                  <w:pPr>
                    <w:spacing w:before="60" w:after="60"/>
                    <w:jc w:val="center"/>
                  </w:pPr>
                </w:p>
              </w:tc>
              <w:tc>
                <w:tcPr>
                  <w:tcW w:w="791" w:type="pct"/>
                  <w:vMerge w:val="continue"/>
                  <w:vAlign w:val="center"/>
                </w:tcPr>
                <w:p w14:paraId="73A682E4">
                  <w:pPr>
                    <w:spacing w:before="60" w:after="60"/>
                    <w:jc w:val="center"/>
                  </w:pPr>
                </w:p>
              </w:tc>
              <w:tc>
                <w:tcPr>
                  <w:tcW w:w="671" w:type="pct"/>
                  <w:vMerge w:val="continue"/>
                  <w:tcBorders>
                    <w:bottom w:val="single" w:color="auto" w:sz="4" w:space="0"/>
                  </w:tcBorders>
                  <w:vAlign w:val="center"/>
                </w:tcPr>
                <w:p w14:paraId="138C43A8">
                  <w:pPr>
                    <w:spacing w:before="60" w:after="60"/>
                    <w:jc w:val="center"/>
                  </w:pPr>
                </w:p>
              </w:tc>
              <w:tc>
                <w:tcPr>
                  <w:tcW w:w="2030" w:type="pct"/>
                  <w:shd w:val="clear" w:color="auto" w:fill="auto"/>
                  <w:vAlign w:val="center"/>
                </w:tcPr>
                <w:p w14:paraId="222A8B63">
                  <w:pPr>
                    <w:adjustRightInd w:val="0"/>
                    <w:snapToGrid w:val="0"/>
                    <w:jc w:val="center"/>
                    <w:rPr>
                      <w:rFonts w:hint="default" w:ascii="Times New Roman" w:hAnsi="Times New Roman" w:eastAsia="宋体" w:cs="Times New Roman"/>
                      <w:color w:val="auto"/>
                      <w:kern w:val="2"/>
                      <w:sz w:val="21"/>
                      <w:szCs w:val="21"/>
                      <w:u w:val="none"/>
                      <w:lang w:val="en-US" w:eastAsia="zh-CN" w:bidi="ar-SA"/>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1E0251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5C5FBB99">
                  <w:pPr>
                    <w:jc w:val="center"/>
                    <w:rPr>
                      <w:color w:val="000000" w:themeColor="text1"/>
                      <w:szCs w:val="21"/>
                      <w:u w:val="none"/>
                      <w14:textFill>
                        <w14:solidFill>
                          <w14:schemeClr w14:val="tx1"/>
                        </w14:solidFill>
                      </w14:textFill>
                    </w:rPr>
                  </w:pPr>
                </w:p>
              </w:tc>
              <w:tc>
                <w:tcPr>
                  <w:tcW w:w="357" w:type="pct"/>
                  <w:vMerge w:val="restart"/>
                  <w:tcBorders>
                    <w:top w:val="single" w:color="auto" w:sz="4" w:space="0"/>
                    <w:left w:val="single" w:color="auto" w:sz="4" w:space="0"/>
                  </w:tcBorders>
                  <w:vAlign w:val="center"/>
                </w:tcPr>
                <w:p w14:paraId="682370AC">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无组织</w:t>
                  </w:r>
                </w:p>
              </w:tc>
              <w:tc>
                <w:tcPr>
                  <w:tcW w:w="756" w:type="pct"/>
                  <w:vMerge w:val="restart"/>
                  <w:vAlign w:val="center"/>
                </w:tcPr>
                <w:p w14:paraId="3753E4B7">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厂界</w:t>
                  </w:r>
                </w:p>
              </w:tc>
              <w:tc>
                <w:tcPr>
                  <w:tcW w:w="791" w:type="pct"/>
                  <w:vAlign w:val="center"/>
                </w:tcPr>
                <w:p w14:paraId="187C63F3">
                  <w:pPr>
                    <w:pStyle w:val="38"/>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671" w:type="pct"/>
                  <w:vAlign w:val="center"/>
                </w:tcPr>
                <w:p w14:paraId="5A91A85C">
                  <w:pPr>
                    <w:jc w:val="center"/>
                    <w:rPr>
                      <w:rFonts w:hint="eastAsia" w:eastAsia="宋体"/>
                      <w:bCs/>
                      <w:color w:val="000000" w:themeColor="text1"/>
                      <w:szCs w:val="21"/>
                      <w:u w:val="none"/>
                      <w:lang w:eastAsia="zh-CN"/>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2030" w:type="pct"/>
                  <w:tcBorders>
                    <w:top w:val="single" w:color="auto" w:sz="4" w:space="0"/>
                    <w:bottom w:val="single" w:color="auto" w:sz="4" w:space="0"/>
                  </w:tcBorders>
                  <w:shd w:val="clear" w:color="auto" w:fill="auto"/>
                  <w:vAlign w:val="center"/>
                </w:tcPr>
                <w:p w14:paraId="4A5659B7">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w:t>
                  </w:r>
                </w:p>
              </w:tc>
            </w:tr>
            <w:tr w14:paraId="5D8DA5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491808D9">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tcBorders>
                  <w:vAlign w:val="center"/>
                </w:tcPr>
                <w:p w14:paraId="1295A83F">
                  <w:pPr>
                    <w:jc w:val="center"/>
                    <w:rPr>
                      <w:color w:val="000000" w:themeColor="text1"/>
                      <w:szCs w:val="21"/>
                      <w:u w:val="none"/>
                      <w14:textFill>
                        <w14:solidFill>
                          <w14:schemeClr w14:val="tx1"/>
                        </w14:solidFill>
                      </w14:textFill>
                    </w:rPr>
                  </w:pPr>
                </w:p>
              </w:tc>
              <w:tc>
                <w:tcPr>
                  <w:tcW w:w="756" w:type="pct"/>
                  <w:vMerge w:val="continue"/>
                  <w:vAlign w:val="center"/>
                </w:tcPr>
                <w:p w14:paraId="4223835D">
                  <w:pPr>
                    <w:jc w:val="center"/>
                    <w:rPr>
                      <w:color w:val="000000" w:themeColor="text1"/>
                      <w:szCs w:val="21"/>
                      <w:u w:val="none"/>
                      <w14:textFill>
                        <w14:solidFill>
                          <w14:schemeClr w14:val="tx1"/>
                        </w14:solidFill>
                      </w14:textFill>
                    </w:rPr>
                  </w:pPr>
                </w:p>
              </w:tc>
              <w:tc>
                <w:tcPr>
                  <w:tcW w:w="791" w:type="pct"/>
                  <w:vAlign w:val="center"/>
                </w:tcPr>
                <w:p w14:paraId="7816EE45">
                  <w:pPr>
                    <w:pStyle w:val="38"/>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671" w:type="pct"/>
                  <w:vAlign w:val="center"/>
                </w:tcPr>
                <w:p w14:paraId="5C53D171">
                  <w:pPr>
                    <w:jc w:val="center"/>
                    <w:rPr>
                      <w:color w:val="000000" w:themeColor="text1"/>
                      <w:kern w:val="0"/>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2030" w:type="pct"/>
                  <w:tcBorders>
                    <w:top w:val="single" w:color="auto" w:sz="4" w:space="0"/>
                    <w:bottom w:val="single" w:color="auto" w:sz="4" w:space="0"/>
                  </w:tcBorders>
                  <w:shd w:val="clear" w:color="auto" w:fill="auto"/>
                  <w:vAlign w:val="center"/>
                </w:tcPr>
                <w:p w14:paraId="3625091B">
                  <w:pPr>
                    <w:keepNext w:val="0"/>
                    <w:keepLines w:val="0"/>
                    <w:pageBreakBefore w:val="0"/>
                    <w:widowControl w:val="0"/>
                    <w:kinsoku/>
                    <w:wordWrap/>
                    <w:overflowPunct/>
                    <w:topLinePunct w:val="0"/>
                    <w:autoSpaceDE/>
                    <w:autoSpaceDN/>
                    <w:bidi w:val="0"/>
                    <w:jc w:val="center"/>
                    <w:textAlignment w:val="auto"/>
                    <w:outlineLvl w:val="9"/>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14:paraId="5822738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5F1F0575">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tcBorders>
                  <w:vAlign w:val="center"/>
                </w:tcPr>
                <w:p w14:paraId="4D6D760D">
                  <w:pPr>
                    <w:jc w:val="center"/>
                    <w:rPr>
                      <w:color w:val="000000" w:themeColor="text1"/>
                      <w:szCs w:val="21"/>
                      <w:u w:val="none"/>
                      <w14:textFill>
                        <w14:solidFill>
                          <w14:schemeClr w14:val="tx1"/>
                        </w14:solidFill>
                      </w14:textFill>
                    </w:rPr>
                  </w:pPr>
                </w:p>
              </w:tc>
              <w:tc>
                <w:tcPr>
                  <w:tcW w:w="756" w:type="pct"/>
                  <w:vMerge w:val="continue"/>
                  <w:vAlign w:val="center"/>
                </w:tcPr>
                <w:p w14:paraId="48AB85F4">
                  <w:pPr>
                    <w:jc w:val="center"/>
                    <w:rPr>
                      <w:color w:val="000000" w:themeColor="text1"/>
                      <w:szCs w:val="21"/>
                      <w:u w:val="none"/>
                      <w14:textFill>
                        <w14:solidFill>
                          <w14:schemeClr w14:val="tx1"/>
                        </w14:solidFill>
                      </w14:textFill>
                    </w:rPr>
                  </w:pPr>
                </w:p>
              </w:tc>
              <w:tc>
                <w:tcPr>
                  <w:tcW w:w="791" w:type="pct"/>
                  <w:vAlign w:val="center"/>
                </w:tcPr>
                <w:p w14:paraId="7CE4C6D8">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颗粒物</w:t>
                  </w:r>
                </w:p>
              </w:tc>
              <w:tc>
                <w:tcPr>
                  <w:tcW w:w="671" w:type="pct"/>
                  <w:vAlign w:val="center"/>
                </w:tcPr>
                <w:p w14:paraId="0CA3CB15">
                  <w:pPr>
                    <w:jc w:val="center"/>
                    <w:rPr>
                      <w:color w:val="000000" w:themeColor="text1"/>
                      <w:kern w:val="0"/>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2030" w:type="pct"/>
                  <w:tcBorders>
                    <w:top w:val="single" w:color="auto" w:sz="4" w:space="0"/>
                    <w:bottom w:val="single" w:color="auto" w:sz="4" w:space="0"/>
                  </w:tcBorders>
                  <w:shd w:val="clear" w:color="auto" w:fill="auto"/>
                  <w:vAlign w:val="center"/>
                </w:tcPr>
                <w:p w14:paraId="0249D6F1">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0017B1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16A6109E">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tcBorders>
                  <w:vAlign w:val="center"/>
                </w:tcPr>
                <w:p w14:paraId="7B593902">
                  <w:pPr>
                    <w:jc w:val="center"/>
                    <w:rPr>
                      <w:color w:val="000000" w:themeColor="text1"/>
                      <w:szCs w:val="21"/>
                      <w:u w:val="none"/>
                      <w14:textFill>
                        <w14:solidFill>
                          <w14:schemeClr w14:val="tx1"/>
                        </w14:solidFill>
                      </w14:textFill>
                    </w:rPr>
                  </w:pPr>
                </w:p>
              </w:tc>
              <w:tc>
                <w:tcPr>
                  <w:tcW w:w="756" w:type="pct"/>
                  <w:vMerge w:val="continue"/>
                  <w:vAlign w:val="center"/>
                </w:tcPr>
                <w:p w14:paraId="151FE7C3">
                  <w:pPr>
                    <w:jc w:val="center"/>
                    <w:rPr>
                      <w:color w:val="000000" w:themeColor="text1"/>
                      <w:szCs w:val="21"/>
                      <w:u w:val="none"/>
                      <w14:textFill>
                        <w14:solidFill>
                          <w14:schemeClr w14:val="tx1"/>
                        </w14:solidFill>
                      </w14:textFill>
                    </w:rPr>
                  </w:pPr>
                </w:p>
              </w:tc>
              <w:tc>
                <w:tcPr>
                  <w:tcW w:w="791" w:type="pct"/>
                  <w:vAlign w:val="center"/>
                </w:tcPr>
                <w:p w14:paraId="442D85B1">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671" w:type="pct"/>
                  <w:vAlign w:val="center"/>
                </w:tcPr>
                <w:p w14:paraId="739B664E">
                  <w:pPr>
                    <w:jc w:val="center"/>
                    <w:rPr>
                      <w:color w:val="000000" w:themeColor="text1"/>
                      <w:kern w:val="0"/>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2030" w:type="pct"/>
                  <w:tcBorders>
                    <w:top w:val="single" w:color="auto" w:sz="4" w:space="0"/>
                    <w:bottom w:val="single" w:color="auto" w:sz="4" w:space="0"/>
                  </w:tcBorders>
                  <w:shd w:val="clear" w:color="auto" w:fill="auto"/>
                  <w:vAlign w:val="center"/>
                </w:tcPr>
                <w:p w14:paraId="1CC2C36B">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0C96B3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143773E6">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tcBorders>
                  <w:vAlign w:val="center"/>
                </w:tcPr>
                <w:p w14:paraId="2415EA82">
                  <w:pPr>
                    <w:jc w:val="center"/>
                    <w:rPr>
                      <w:color w:val="000000" w:themeColor="text1"/>
                      <w:szCs w:val="21"/>
                      <w:u w:val="none"/>
                      <w14:textFill>
                        <w14:solidFill>
                          <w14:schemeClr w14:val="tx1"/>
                        </w14:solidFill>
                      </w14:textFill>
                    </w:rPr>
                  </w:pPr>
                </w:p>
              </w:tc>
              <w:tc>
                <w:tcPr>
                  <w:tcW w:w="756" w:type="pct"/>
                  <w:vMerge w:val="continue"/>
                  <w:vAlign w:val="center"/>
                </w:tcPr>
                <w:p w14:paraId="1D69A736">
                  <w:pPr>
                    <w:jc w:val="center"/>
                    <w:rPr>
                      <w:color w:val="000000" w:themeColor="text1"/>
                      <w:szCs w:val="21"/>
                      <w:u w:val="none"/>
                      <w14:textFill>
                        <w14:solidFill>
                          <w14:schemeClr w14:val="tx1"/>
                        </w14:solidFill>
                      </w14:textFill>
                    </w:rPr>
                  </w:pPr>
                </w:p>
              </w:tc>
              <w:tc>
                <w:tcPr>
                  <w:tcW w:w="791" w:type="pct"/>
                  <w:vAlign w:val="center"/>
                </w:tcPr>
                <w:p w14:paraId="5B453B79">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NO</w:t>
                  </w:r>
                  <w:r>
                    <w:rPr>
                      <w:rFonts w:hint="eastAsia"/>
                      <w:color w:val="000000" w:themeColor="text1"/>
                      <w:szCs w:val="21"/>
                      <w:u w:val="none"/>
                      <w:vertAlign w:val="subscript"/>
                      <w14:textFill>
                        <w14:solidFill>
                          <w14:schemeClr w14:val="tx1"/>
                        </w14:solidFill>
                      </w14:textFill>
                    </w:rPr>
                    <w:t>X</w:t>
                  </w:r>
                </w:p>
              </w:tc>
              <w:tc>
                <w:tcPr>
                  <w:tcW w:w="671" w:type="pct"/>
                  <w:vAlign w:val="center"/>
                </w:tcPr>
                <w:p w14:paraId="2C3918BE">
                  <w:pPr>
                    <w:jc w:val="center"/>
                    <w:rPr>
                      <w:color w:val="000000" w:themeColor="text1"/>
                      <w:kern w:val="0"/>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2030" w:type="pct"/>
                  <w:tcBorders>
                    <w:top w:val="single" w:color="auto" w:sz="4" w:space="0"/>
                    <w:bottom w:val="single" w:color="auto" w:sz="4" w:space="0"/>
                  </w:tcBorders>
                  <w:shd w:val="clear" w:color="auto" w:fill="auto"/>
                  <w:vAlign w:val="center"/>
                </w:tcPr>
                <w:p w14:paraId="6E6CBAF6">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52CA22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93" w:type="pct"/>
                  <w:vMerge w:val="continue"/>
                  <w:tcBorders>
                    <w:right w:val="single" w:color="auto" w:sz="4" w:space="0"/>
                  </w:tcBorders>
                  <w:vAlign w:val="center"/>
                </w:tcPr>
                <w:p w14:paraId="748FD093">
                  <w:pPr>
                    <w:jc w:val="center"/>
                    <w:rPr>
                      <w:color w:val="000000" w:themeColor="text1"/>
                      <w:szCs w:val="21"/>
                      <w:u w:val="none"/>
                      <w14:textFill>
                        <w14:solidFill>
                          <w14:schemeClr w14:val="tx1"/>
                        </w14:solidFill>
                      </w14:textFill>
                    </w:rPr>
                  </w:pPr>
                </w:p>
              </w:tc>
              <w:tc>
                <w:tcPr>
                  <w:tcW w:w="357" w:type="pct"/>
                  <w:vMerge w:val="continue"/>
                  <w:tcBorders>
                    <w:left w:val="single" w:color="auto" w:sz="4" w:space="0"/>
                  </w:tcBorders>
                  <w:vAlign w:val="center"/>
                </w:tcPr>
                <w:p w14:paraId="74D16456">
                  <w:pPr>
                    <w:jc w:val="center"/>
                    <w:rPr>
                      <w:color w:val="000000" w:themeColor="text1"/>
                      <w:szCs w:val="21"/>
                      <w:u w:val="none"/>
                      <w14:textFill>
                        <w14:solidFill>
                          <w14:schemeClr w14:val="tx1"/>
                        </w14:solidFill>
                      </w14:textFill>
                    </w:rPr>
                  </w:pPr>
                </w:p>
              </w:tc>
              <w:tc>
                <w:tcPr>
                  <w:tcW w:w="756" w:type="pct"/>
                  <w:vMerge w:val="continue"/>
                  <w:vAlign w:val="center"/>
                </w:tcPr>
                <w:p w14:paraId="3ED7DA0D">
                  <w:pPr>
                    <w:jc w:val="center"/>
                    <w:rPr>
                      <w:color w:val="000000" w:themeColor="text1"/>
                      <w:szCs w:val="21"/>
                      <w:u w:val="none"/>
                      <w14:textFill>
                        <w14:solidFill>
                          <w14:schemeClr w14:val="tx1"/>
                        </w14:solidFill>
                      </w14:textFill>
                    </w:rPr>
                  </w:pPr>
                </w:p>
              </w:tc>
              <w:tc>
                <w:tcPr>
                  <w:tcW w:w="791" w:type="pct"/>
                  <w:vAlign w:val="center"/>
                </w:tcPr>
                <w:p w14:paraId="7F0BB185">
                  <w:pPr>
                    <w:jc w:val="center"/>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671" w:type="pct"/>
                  <w:vAlign w:val="center"/>
                </w:tcPr>
                <w:p w14:paraId="1EB7181C">
                  <w:pPr>
                    <w:jc w:val="center"/>
                    <w:rPr>
                      <w:color w:val="000000" w:themeColor="text1"/>
                      <w:kern w:val="0"/>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2030" w:type="pct"/>
                  <w:tcBorders>
                    <w:top w:val="single" w:color="auto" w:sz="4" w:space="0"/>
                    <w:bottom w:val="single" w:color="auto" w:sz="4" w:space="0"/>
                  </w:tcBorders>
                  <w:shd w:val="clear" w:color="auto" w:fill="auto"/>
                  <w:vAlign w:val="center"/>
                </w:tcPr>
                <w:p w14:paraId="6F471316">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《恶臭污染物排放标准》（GB14554-93）中表1标准</w:t>
                  </w:r>
                </w:p>
              </w:tc>
            </w:tr>
          </w:tbl>
          <w:p w14:paraId="4848A9AE">
            <w:pPr>
              <w:adjustRightInd w:val="0"/>
              <w:snapToGrid w:val="0"/>
              <w:spacing w:line="360" w:lineRule="auto"/>
              <w:ind w:firstLine="480" w:firstLineChars="200"/>
              <w:rPr>
                <w:bCs/>
                <w:sz w:val="24"/>
                <w:szCs w:val="24"/>
              </w:rPr>
            </w:pPr>
            <w:r>
              <w:rPr>
                <w:rFonts w:hint="eastAsia"/>
                <w:bCs/>
                <w:sz w:val="24"/>
                <w:szCs w:val="24"/>
                <w:lang w:val="en-US" w:eastAsia="zh-CN"/>
              </w:rPr>
              <w:t>1.5</w:t>
            </w:r>
            <w:r>
              <w:rPr>
                <w:bCs/>
                <w:sz w:val="24"/>
                <w:szCs w:val="24"/>
              </w:rPr>
              <w:t>非正常工况分析</w:t>
            </w:r>
          </w:p>
          <w:p w14:paraId="097E37CA">
            <w:pPr>
              <w:adjustRightInd w:val="0"/>
              <w:snapToGrid w:val="0"/>
              <w:spacing w:line="360" w:lineRule="auto"/>
              <w:ind w:firstLine="480" w:firstLineChars="200"/>
              <w:rPr>
                <w:sz w:val="24"/>
                <w:szCs w:val="24"/>
              </w:rPr>
            </w:pPr>
            <w:r>
              <w:rPr>
                <w:sz w:val="24"/>
                <w:szCs w:val="24"/>
              </w:rPr>
              <w:t>非正常排放是指生产过程中开停（工、炉）、设备检修、工艺设备运转异常等非正常工况下的污染物排放，以及污染物排放控制措施达不到应有效率等情况下的排放。项目环保措施出现异常时，会使污染物处理效率下降。项目非正常工况下大气污染物的排放情况具体见下表。</w:t>
            </w:r>
          </w:p>
          <w:p w14:paraId="42FFEBCF">
            <w:pPr>
              <w:widowControl/>
              <w:adjustRightInd w:val="0"/>
              <w:snapToGrid w:val="0"/>
              <w:spacing w:line="360" w:lineRule="auto"/>
              <w:ind w:firstLine="482"/>
              <w:jc w:val="center"/>
              <w:rPr>
                <w:b/>
                <w:sz w:val="24"/>
                <w:szCs w:val="24"/>
              </w:rPr>
            </w:pPr>
            <w:r>
              <w:rPr>
                <w:b/>
                <w:sz w:val="24"/>
                <w:szCs w:val="24"/>
              </w:rPr>
              <w:t>表4-</w:t>
            </w:r>
            <w:r>
              <w:rPr>
                <w:rFonts w:hint="eastAsia"/>
                <w:b/>
                <w:sz w:val="24"/>
                <w:szCs w:val="24"/>
                <w:lang w:val="en-US" w:eastAsia="zh-CN"/>
              </w:rPr>
              <w:t>8</w:t>
            </w:r>
            <w:r>
              <w:rPr>
                <w:rFonts w:hint="eastAsia"/>
                <w:b/>
                <w:sz w:val="24"/>
                <w:szCs w:val="24"/>
              </w:rPr>
              <w:t xml:space="preserve">  </w:t>
            </w:r>
            <w:r>
              <w:rPr>
                <w:b/>
                <w:sz w:val="24"/>
                <w:szCs w:val="24"/>
              </w:rPr>
              <w:t>非正常工况下废气排放情况一览表</w:t>
            </w:r>
          </w:p>
          <w:tbl>
            <w:tblPr>
              <w:tblStyle w:val="20"/>
              <w:tblW w:w="498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95"/>
              <w:gridCol w:w="923"/>
              <w:gridCol w:w="1166"/>
              <w:gridCol w:w="928"/>
              <w:gridCol w:w="1201"/>
              <w:gridCol w:w="1625"/>
              <w:gridCol w:w="925"/>
              <w:gridCol w:w="671"/>
              <w:gridCol w:w="653"/>
            </w:tblGrid>
            <w:tr w14:paraId="5777A1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restart"/>
                  <w:vAlign w:val="center"/>
                </w:tcPr>
                <w:p w14:paraId="107735DD">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污染源</w:t>
                  </w:r>
                </w:p>
              </w:tc>
              <w:tc>
                <w:tcPr>
                  <w:tcW w:w="502" w:type="pct"/>
                  <w:vMerge w:val="restart"/>
                  <w:vAlign w:val="center"/>
                </w:tcPr>
                <w:p w14:paraId="046E3CAE">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污染物</w:t>
                  </w:r>
                </w:p>
              </w:tc>
              <w:tc>
                <w:tcPr>
                  <w:tcW w:w="634" w:type="pct"/>
                  <w:vMerge w:val="restart"/>
                  <w:vAlign w:val="center"/>
                </w:tcPr>
                <w:p w14:paraId="2A75E62A">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非正常原因</w:t>
                  </w:r>
                </w:p>
              </w:tc>
              <w:tc>
                <w:tcPr>
                  <w:tcW w:w="2042" w:type="pct"/>
                  <w:gridSpan w:val="3"/>
                  <w:tcBorders>
                    <w:right w:val="single" w:color="auto" w:sz="4" w:space="0"/>
                  </w:tcBorders>
                  <w:vAlign w:val="center"/>
                </w:tcPr>
                <w:p w14:paraId="220C2CAA">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非正常排放工况</w:t>
                  </w:r>
                </w:p>
              </w:tc>
              <w:tc>
                <w:tcPr>
                  <w:tcW w:w="868" w:type="pct"/>
                  <w:gridSpan w:val="2"/>
                  <w:vAlign w:val="center"/>
                </w:tcPr>
                <w:p w14:paraId="3F48B5F3">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执行标准</w:t>
                  </w:r>
                </w:p>
              </w:tc>
              <w:tc>
                <w:tcPr>
                  <w:tcW w:w="355" w:type="pct"/>
                  <w:vMerge w:val="restart"/>
                  <w:vAlign w:val="center"/>
                </w:tcPr>
                <w:p w14:paraId="62BF25AE">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达标情况</w:t>
                  </w:r>
                </w:p>
              </w:tc>
            </w:tr>
            <w:tr w14:paraId="344BDC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continue"/>
                  <w:vAlign w:val="center"/>
                </w:tcPr>
                <w:p w14:paraId="174DAF60">
                  <w:pPr>
                    <w:jc w:val="center"/>
                    <w:rPr>
                      <w:color w:val="000000" w:themeColor="text1"/>
                      <w:szCs w:val="21"/>
                      <w:u w:val="none"/>
                      <w:lang w:val="zh-CN"/>
                      <w14:textFill>
                        <w14:solidFill>
                          <w14:schemeClr w14:val="tx1"/>
                        </w14:solidFill>
                      </w14:textFill>
                    </w:rPr>
                  </w:pPr>
                </w:p>
              </w:tc>
              <w:tc>
                <w:tcPr>
                  <w:tcW w:w="502" w:type="pct"/>
                  <w:vMerge w:val="continue"/>
                  <w:vAlign w:val="center"/>
                </w:tcPr>
                <w:p w14:paraId="0AC06C60">
                  <w:pPr>
                    <w:jc w:val="center"/>
                    <w:rPr>
                      <w:color w:val="000000" w:themeColor="text1"/>
                      <w:szCs w:val="21"/>
                      <w:u w:val="none"/>
                      <w:lang w:val="zh-CN"/>
                      <w14:textFill>
                        <w14:solidFill>
                          <w14:schemeClr w14:val="tx1"/>
                        </w14:solidFill>
                      </w14:textFill>
                    </w:rPr>
                  </w:pPr>
                </w:p>
              </w:tc>
              <w:tc>
                <w:tcPr>
                  <w:tcW w:w="634" w:type="pct"/>
                  <w:vMerge w:val="continue"/>
                  <w:vAlign w:val="center"/>
                </w:tcPr>
                <w:p w14:paraId="7A3539D9">
                  <w:pPr>
                    <w:jc w:val="center"/>
                    <w:rPr>
                      <w:color w:val="000000" w:themeColor="text1"/>
                      <w:szCs w:val="21"/>
                      <w:u w:val="none"/>
                      <w:lang w:val="zh-CN"/>
                      <w14:textFill>
                        <w14:solidFill>
                          <w14:schemeClr w14:val="tx1"/>
                        </w14:solidFill>
                      </w14:textFill>
                    </w:rPr>
                  </w:pPr>
                </w:p>
              </w:tc>
              <w:tc>
                <w:tcPr>
                  <w:tcW w:w="505" w:type="pct"/>
                  <w:vAlign w:val="center"/>
                </w:tcPr>
                <w:p w14:paraId="30739F13">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排放</w:t>
                  </w:r>
                </w:p>
                <w:p w14:paraId="697AB3B0">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浓度mg/m</w:t>
                  </w:r>
                  <w:r>
                    <w:rPr>
                      <w:color w:val="000000" w:themeColor="text1"/>
                      <w:szCs w:val="21"/>
                      <w:u w:val="none"/>
                      <w:vertAlign w:val="superscript"/>
                      <w:lang w:val="zh-CN"/>
                      <w14:textFill>
                        <w14:solidFill>
                          <w14:schemeClr w14:val="tx1"/>
                        </w14:solidFill>
                      </w14:textFill>
                    </w:rPr>
                    <w:t>3</w:t>
                  </w:r>
                </w:p>
              </w:tc>
              <w:tc>
                <w:tcPr>
                  <w:tcW w:w="653" w:type="pct"/>
                  <w:vAlign w:val="center"/>
                </w:tcPr>
                <w:p w14:paraId="4A5617F2">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排放速率kg/h</w:t>
                  </w:r>
                </w:p>
              </w:tc>
              <w:tc>
                <w:tcPr>
                  <w:tcW w:w="883" w:type="pct"/>
                  <w:vAlign w:val="center"/>
                </w:tcPr>
                <w:p w14:paraId="61505DFE">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频次及持续时间</w:t>
                  </w:r>
                </w:p>
              </w:tc>
              <w:tc>
                <w:tcPr>
                  <w:tcW w:w="503" w:type="pct"/>
                  <w:vAlign w:val="center"/>
                </w:tcPr>
                <w:p w14:paraId="2B6F4009">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排放</w:t>
                  </w:r>
                </w:p>
                <w:p w14:paraId="620740A0">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浓度mg/m</w:t>
                  </w:r>
                  <w:r>
                    <w:rPr>
                      <w:color w:val="000000" w:themeColor="text1"/>
                      <w:szCs w:val="21"/>
                      <w:u w:val="none"/>
                      <w:vertAlign w:val="superscript"/>
                      <w:lang w:val="zh-CN"/>
                      <w14:textFill>
                        <w14:solidFill>
                          <w14:schemeClr w14:val="tx1"/>
                        </w14:solidFill>
                      </w14:textFill>
                    </w:rPr>
                    <w:t>3</w:t>
                  </w:r>
                </w:p>
              </w:tc>
              <w:tc>
                <w:tcPr>
                  <w:tcW w:w="365" w:type="pct"/>
                  <w:vAlign w:val="center"/>
                </w:tcPr>
                <w:p w14:paraId="76883C16">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排放速率kg/h</w:t>
                  </w:r>
                </w:p>
              </w:tc>
              <w:tc>
                <w:tcPr>
                  <w:tcW w:w="355" w:type="pct"/>
                  <w:vMerge w:val="continue"/>
                  <w:vAlign w:val="center"/>
                </w:tcPr>
                <w:p w14:paraId="601BCE06">
                  <w:pPr>
                    <w:jc w:val="center"/>
                    <w:rPr>
                      <w:color w:val="000000" w:themeColor="text1"/>
                      <w:szCs w:val="21"/>
                      <w:u w:val="none"/>
                      <w:lang w:val="zh-CN"/>
                      <w14:textFill>
                        <w14:solidFill>
                          <w14:schemeClr w14:val="tx1"/>
                        </w14:solidFill>
                      </w14:textFill>
                    </w:rPr>
                  </w:pPr>
                </w:p>
              </w:tc>
            </w:tr>
            <w:tr w14:paraId="5BFC4D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restart"/>
                  <w:vAlign w:val="center"/>
                </w:tcPr>
                <w:p w14:paraId="14B1733D">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DA001</w:t>
                  </w:r>
                </w:p>
              </w:tc>
              <w:tc>
                <w:tcPr>
                  <w:tcW w:w="502" w:type="pct"/>
                  <w:vAlign w:val="center"/>
                </w:tcPr>
                <w:p w14:paraId="564F436B">
                  <w:pPr>
                    <w:jc w:val="center"/>
                    <w:outlineLvl w:val="0"/>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634" w:type="pct"/>
                  <w:vMerge w:val="restart"/>
                  <w:vAlign w:val="center"/>
                </w:tcPr>
                <w:p w14:paraId="7A708227">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废气处理设施故障，按最不利情况，考虑，处理效率为0%</w:t>
                  </w:r>
                </w:p>
              </w:tc>
              <w:tc>
                <w:tcPr>
                  <w:tcW w:w="505" w:type="pct"/>
                  <w:shd w:val="clear" w:color="auto" w:fill="auto"/>
                  <w:vAlign w:val="center"/>
                </w:tcPr>
                <w:p w14:paraId="03204C2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15.333</w:t>
                  </w:r>
                </w:p>
              </w:tc>
              <w:tc>
                <w:tcPr>
                  <w:tcW w:w="653" w:type="pct"/>
                  <w:shd w:val="clear" w:color="auto" w:fill="auto"/>
                  <w:vAlign w:val="center"/>
                </w:tcPr>
                <w:p w14:paraId="2BC94950">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0.077</w:t>
                  </w:r>
                </w:p>
              </w:tc>
              <w:tc>
                <w:tcPr>
                  <w:tcW w:w="883" w:type="pct"/>
                  <w:vAlign w:val="center"/>
                </w:tcPr>
                <w:p w14:paraId="487F6CBF">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503" w:type="pct"/>
                  <w:vAlign w:val="center"/>
                </w:tcPr>
                <w:p w14:paraId="74B5C3DF">
                  <w:pPr>
                    <w:jc w:val="center"/>
                    <w:rPr>
                      <w:rFonts w:hint="default"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w:t>
                  </w:r>
                </w:p>
              </w:tc>
              <w:tc>
                <w:tcPr>
                  <w:tcW w:w="365" w:type="pct"/>
                  <w:vAlign w:val="center"/>
                </w:tcPr>
                <w:p w14:paraId="37CFE383">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w:t>
                  </w:r>
                </w:p>
              </w:tc>
              <w:tc>
                <w:tcPr>
                  <w:tcW w:w="355" w:type="pct"/>
                  <w:vAlign w:val="center"/>
                </w:tcPr>
                <w:p w14:paraId="271A9BA1">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超标</w:t>
                  </w:r>
                </w:p>
              </w:tc>
            </w:tr>
            <w:tr w14:paraId="347E99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continue"/>
                  <w:vAlign w:val="center"/>
                </w:tcPr>
                <w:p w14:paraId="3AC22E5C">
                  <w:pPr>
                    <w:pStyle w:val="38"/>
                    <w:rPr>
                      <w:color w:val="000000" w:themeColor="text1"/>
                      <w:szCs w:val="21"/>
                      <w:u w:val="none"/>
                      <w14:textFill>
                        <w14:solidFill>
                          <w14:schemeClr w14:val="tx1"/>
                        </w14:solidFill>
                      </w14:textFill>
                    </w:rPr>
                  </w:pPr>
                </w:p>
              </w:tc>
              <w:tc>
                <w:tcPr>
                  <w:tcW w:w="502" w:type="pct"/>
                  <w:vAlign w:val="center"/>
                </w:tcPr>
                <w:p w14:paraId="595F862B">
                  <w:pPr>
                    <w:jc w:val="center"/>
                    <w:outlineLvl w:val="0"/>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634" w:type="pct"/>
                  <w:vMerge w:val="continue"/>
                  <w:vAlign w:val="center"/>
                </w:tcPr>
                <w:p w14:paraId="2CF74809">
                  <w:pPr>
                    <w:jc w:val="center"/>
                    <w:rPr>
                      <w:color w:val="000000" w:themeColor="text1"/>
                      <w:szCs w:val="21"/>
                      <w:u w:val="none"/>
                      <w:lang w:val="zh-CN"/>
                      <w14:textFill>
                        <w14:solidFill>
                          <w14:schemeClr w14:val="tx1"/>
                        </w14:solidFill>
                      </w14:textFill>
                    </w:rPr>
                  </w:pPr>
                </w:p>
              </w:tc>
              <w:tc>
                <w:tcPr>
                  <w:tcW w:w="505" w:type="pct"/>
                  <w:shd w:val="clear" w:color="auto" w:fill="auto"/>
                  <w:vAlign w:val="center"/>
                </w:tcPr>
                <w:p w14:paraId="26AB242B">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c>
                <w:tcPr>
                  <w:tcW w:w="653" w:type="pct"/>
                  <w:shd w:val="clear" w:color="auto" w:fill="auto"/>
                  <w:vAlign w:val="center"/>
                </w:tcPr>
                <w:p w14:paraId="56301059">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883" w:type="pct"/>
                  <w:vAlign w:val="center"/>
                </w:tcPr>
                <w:p w14:paraId="1182073D">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503" w:type="pct"/>
                  <w:vAlign w:val="center"/>
                </w:tcPr>
                <w:p w14:paraId="4B70A661">
                  <w:pPr>
                    <w:jc w:val="center"/>
                    <w:rPr>
                      <w:rFonts w:hint="default"/>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10.0</w:t>
                  </w:r>
                </w:p>
              </w:tc>
              <w:tc>
                <w:tcPr>
                  <w:tcW w:w="671" w:type="dxa"/>
                  <w:vAlign w:val="center"/>
                </w:tcPr>
                <w:p w14:paraId="0E98E062">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w:t>
                  </w:r>
                </w:p>
              </w:tc>
              <w:tc>
                <w:tcPr>
                  <w:tcW w:w="653" w:type="dxa"/>
                  <w:vAlign w:val="center"/>
                </w:tcPr>
                <w:p w14:paraId="73154DC6">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未</w:t>
                  </w:r>
                  <w:r>
                    <w:rPr>
                      <w:color w:val="000000" w:themeColor="text1"/>
                      <w:szCs w:val="21"/>
                      <w:u w:val="none"/>
                      <w14:textFill>
                        <w14:solidFill>
                          <w14:schemeClr w14:val="tx1"/>
                        </w14:solidFill>
                      </w14:textFill>
                    </w:rPr>
                    <w:t>超标</w:t>
                  </w:r>
                </w:p>
              </w:tc>
            </w:tr>
            <w:tr w14:paraId="63E289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restart"/>
                  <w:vAlign w:val="center"/>
                </w:tcPr>
                <w:p w14:paraId="1EDEC86A">
                  <w:pPr>
                    <w:pStyle w:val="38"/>
                    <w:rPr>
                      <w:rFonts w:hint="eastAsia" w:eastAsia="宋体"/>
                      <w:color w:val="000000" w:themeColor="text1"/>
                      <w:szCs w:val="21"/>
                      <w:u w:val="none"/>
                      <w:lang w:val="en-US" w:eastAsia="zh-CN"/>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lang w:val="en-US" w:eastAsia="zh-CN"/>
                      <w14:textFill>
                        <w14:solidFill>
                          <w14:schemeClr w14:val="tx1"/>
                        </w14:solidFill>
                      </w14:textFill>
                    </w:rPr>
                    <w:t>2</w:t>
                  </w:r>
                </w:p>
              </w:tc>
              <w:tc>
                <w:tcPr>
                  <w:tcW w:w="502" w:type="pct"/>
                  <w:vAlign w:val="center"/>
                </w:tcPr>
                <w:p w14:paraId="57E0DFA1">
                  <w:pPr>
                    <w:jc w:val="center"/>
                    <w:outlineLvl w:val="0"/>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634" w:type="pct"/>
                  <w:vMerge w:val="continue"/>
                  <w:vAlign w:val="center"/>
                </w:tcPr>
                <w:p w14:paraId="6086A316">
                  <w:pPr>
                    <w:jc w:val="center"/>
                    <w:rPr>
                      <w:color w:val="000000" w:themeColor="text1"/>
                      <w:szCs w:val="21"/>
                      <w:u w:val="none"/>
                      <w:lang w:val="zh-CN"/>
                      <w14:textFill>
                        <w14:solidFill>
                          <w14:schemeClr w14:val="tx1"/>
                        </w14:solidFill>
                      </w14:textFill>
                    </w:rPr>
                  </w:pPr>
                </w:p>
              </w:tc>
              <w:tc>
                <w:tcPr>
                  <w:tcW w:w="505" w:type="pct"/>
                  <w:shd w:val="clear" w:color="auto" w:fill="auto"/>
                  <w:vAlign w:val="center"/>
                </w:tcPr>
                <w:p w14:paraId="60E6A890">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15.333</w:t>
                  </w:r>
                </w:p>
              </w:tc>
              <w:tc>
                <w:tcPr>
                  <w:tcW w:w="653" w:type="pct"/>
                  <w:shd w:val="clear" w:color="auto" w:fill="auto"/>
                  <w:vAlign w:val="center"/>
                </w:tcPr>
                <w:p w14:paraId="12838BBF">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0.077</w:t>
                  </w:r>
                </w:p>
              </w:tc>
              <w:tc>
                <w:tcPr>
                  <w:tcW w:w="883" w:type="pct"/>
                  <w:vAlign w:val="center"/>
                </w:tcPr>
                <w:p w14:paraId="6FCCE892">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925" w:type="dxa"/>
                  <w:vAlign w:val="center"/>
                </w:tcPr>
                <w:p w14:paraId="3FF8D906">
                  <w:pPr>
                    <w:jc w:val="center"/>
                    <w:rPr>
                      <w:rFonts w:hint="eastAsia"/>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w:t>
                  </w:r>
                </w:p>
              </w:tc>
              <w:tc>
                <w:tcPr>
                  <w:tcW w:w="671" w:type="dxa"/>
                  <w:vAlign w:val="center"/>
                </w:tcPr>
                <w:p w14:paraId="0DCC2ED2">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w:t>
                  </w:r>
                </w:p>
              </w:tc>
              <w:tc>
                <w:tcPr>
                  <w:tcW w:w="653" w:type="dxa"/>
                  <w:vAlign w:val="center"/>
                </w:tcPr>
                <w:p w14:paraId="51D8B526">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超标</w:t>
                  </w:r>
                </w:p>
              </w:tc>
            </w:tr>
            <w:tr w14:paraId="0CF9D58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continue"/>
                  <w:vAlign w:val="center"/>
                </w:tcPr>
                <w:p w14:paraId="621F0D4B">
                  <w:pPr>
                    <w:pStyle w:val="38"/>
                    <w:rPr>
                      <w:color w:val="000000" w:themeColor="text1"/>
                      <w:szCs w:val="21"/>
                      <w:u w:val="none"/>
                      <w14:textFill>
                        <w14:solidFill>
                          <w14:schemeClr w14:val="tx1"/>
                        </w14:solidFill>
                      </w14:textFill>
                    </w:rPr>
                  </w:pPr>
                </w:p>
              </w:tc>
              <w:tc>
                <w:tcPr>
                  <w:tcW w:w="502" w:type="pct"/>
                  <w:vAlign w:val="center"/>
                </w:tcPr>
                <w:p w14:paraId="5E9C09EA">
                  <w:pPr>
                    <w:jc w:val="center"/>
                    <w:outlineLvl w:val="0"/>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634" w:type="pct"/>
                  <w:vMerge w:val="continue"/>
                  <w:vAlign w:val="center"/>
                </w:tcPr>
                <w:p w14:paraId="08832F97">
                  <w:pPr>
                    <w:jc w:val="center"/>
                    <w:rPr>
                      <w:color w:val="000000" w:themeColor="text1"/>
                      <w:szCs w:val="21"/>
                      <w:u w:val="none"/>
                      <w:lang w:val="zh-CN"/>
                      <w14:textFill>
                        <w14:solidFill>
                          <w14:schemeClr w14:val="tx1"/>
                        </w14:solidFill>
                      </w14:textFill>
                    </w:rPr>
                  </w:pPr>
                </w:p>
              </w:tc>
              <w:tc>
                <w:tcPr>
                  <w:tcW w:w="505" w:type="pct"/>
                  <w:shd w:val="clear" w:color="auto" w:fill="auto"/>
                  <w:vAlign w:val="center"/>
                </w:tcPr>
                <w:p w14:paraId="0303A17F">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c>
                <w:tcPr>
                  <w:tcW w:w="653" w:type="pct"/>
                  <w:shd w:val="clear" w:color="auto" w:fill="auto"/>
                  <w:vAlign w:val="center"/>
                </w:tcPr>
                <w:p w14:paraId="587A6262">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883" w:type="pct"/>
                  <w:vAlign w:val="center"/>
                </w:tcPr>
                <w:p w14:paraId="32F639A7">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925" w:type="dxa"/>
                  <w:vAlign w:val="center"/>
                </w:tcPr>
                <w:p w14:paraId="46635E55">
                  <w:pPr>
                    <w:jc w:val="center"/>
                    <w:rPr>
                      <w:rFonts w:hint="eastAsia"/>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10.0</w:t>
                  </w:r>
                </w:p>
              </w:tc>
              <w:tc>
                <w:tcPr>
                  <w:tcW w:w="671" w:type="dxa"/>
                  <w:vAlign w:val="center"/>
                </w:tcPr>
                <w:p w14:paraId="425D393F">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w:t>
                  </w:r>
                </w:p>
              </w:tc>
              <w:tc>
                <w:tcPr>
                  <w:tcW w:w="653" w:type="dxa"/>
                  <w:vAlign w:val="center"/>
                </w:tcPr>
                <w:p w14:paraId="06261CDE">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未</w:t>
                  </w:r>
                  <w:r>
                    <w:rPr>
                      <w:color w:val="000000" w:themeColor="text1"/>
                      <w:szCs w:val="21"/>
                      <w:u w:val="none"/>
                      <w14:textFill>
                        <w14:solidFill>
                          <w14:schemeClr w14:val="tx1"/>
                        </w14:solidFill>
                      </w14:textFill>
                    </w:rPr>
                    <w:t>超标</w:t>
                  </w:r>
                </w:p>
              </w:tc>
            </w:tr>
            <w:tr w14:paraId="5E9A84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restart"/>
                  <w:vAlign w:val="center"/>
                </w:tcPr>
                <w:p w14:paraId="50C30528">
                  <w:pPr>
                    <w:pStyle w:val="38"/>
                    <w:rPr>
                      <w:rFonts w:hint="eastAsia" w:eastAsia="宋体"/>
                      <w:color w:val="000000" w:themeColor="text1"/>
                      <w:szCs w:val="21"/>
                      <w:u w:val="none"/>
                      <w:lang w:val="en-US" w:eastAsia="zh-CN"/>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lang w:val="en-US" w:eastAsia="zh-CN"/>
                      <w14:textFill>
                        <w14:solidFill>
                          <w14:schemeClr w14:val="tx1"/>
                        </w14:solidFill>
                      </w14:textFill>
                    </w:rPr>
                    <w:t>3</w:t>
                  </w:r>
                </w:p>
              </w:tc>
              <w:tc>
                <w:tcPr>
                  <w:tcW w:w="502" w:type="pct"/>
                  <w:vAlign w:val="center"/>
                </w:tcPr>
                <w:p w14:paraId="66C5ADAC">
                  <w:pPr>
                    <w:jc w:val="center"/>
                    <w:outlineLvl w:val="0"/>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w:t>
                  </w:r>
                </w:p>
              </w:tc>
              <w:tc>
                <w:tcPr>
                  <w:tcW w:w="634" w:type="pct"/>
                  <w:vMerge w:val="continue"/>
                  <w:vAlign w:val="center"/>
                </w:tcPr>
                <w:p w14:paraId="24BABCE1">
                  <w:pPr>
                    <w:jc w:val="center"/>
                    <w:rPr>
                      <w:color w:val="000000" w:themeColor="text1"/>
                      <w:szCs w:val="21"/>
                      <w:u w:val="none"/>
                      <w:lang w:val="zh-CN"/>
                      <w14:textFill>
                        <w14:solidFill>
                          <w14:schemeClr w14:val="tx1"/>
                        </w14:solidFill>
                      </w14:textFill>
                    </w:rPr>
                  </w:pPr>
                </w:p>
              </w:tc>
              <w:tc>
                <w:tcPr>
                  <w:tcW w:w="505" w:type="pct"/>
                  <w:shd w:val="clear" w:color="auto" w:fill="auto"/>
                  <w:vAlign w:val="center"/>
                </w:tcPr>
                <w:p w14:paraId="01B0AFAA">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15.333</w:t>
                  </w:r>
                </w:p>
              </w:tc>
              <w:tc>
                <w:tcPr>
                  <w:tcW w:w="653" w:type="pct"/>
                  <w:shd w:val="clear" w:color="auto" w:fill="auto"/>
                  <w:vAlign w:val="center"/>
                </w:tcPr>
                <w:p w14:paraId="77044D0B">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0.077</w:t>
                  </w:r>
                </w:p>
              </w:tc>
              <w:tc>
                <w:tcPr>
                  <w:tcW w:w="883" w:type="pct"/>
                  <w:vAlign w:val="center"/>
                </w:tcPr>
                <w:p w14:paraId="1BE0B836">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925" w:type="dxa"/>
                  <w:vAlign w:val="center"/>
                </w:tcPr>
                <w:p w14:paraId="3907D3FA">
                  <w:pPr>
                    <w:jc w:val="center"/>
                    <w:rPr>
                      <w:rFonts w:hint="eastAsia"/>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w:t>
                  </w:r>
                </w:p>
              </w:tc>
              <w:tc>
                <w:tcPr>
                  <w:tcW w:w="671" w:type="dxa"/>
                  <w:vAlign w:val="center"/>
                </w:tcPr>
                <w:p w14:paraId="7DA8C206">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w:t>
                  </w:r>
                </w:p>
              </w:tc>
              <w:tc>
                <w:tcPr>
                  <w:tcW w:w="653" w:type="dxa"/>
                  <w:vAlign w:val="center"/>
                </w:tcPr>
                <w:p w14:paraId="34E169EE">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超标</w:t>
                  </w:r>
                </w:p>
              </w:tc>
            </w:tr>
            <w:tr w14:paraId="1795FE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continue"/>
                  <w:vAlign w:val="center"/>
                </w:tcPr>
                <w:p w14:paraId="0D7B2393">
                  <w:pPr>
                    <w:pStyle w:val="38"/>
                    <w:rPr>
                      <w:color w:val="000000" w:themeColor="text1"/>
                      <w:szCs w:val="21"/>
                      <w:u w:val="none"/>
                      <w14:textFill>
                        <w14:solidFill>
                          <w14:schemeClr w14:val="tx1"/>
                        </w14:solidFill>
                      </w14:textFill>
                    </w:rPr>
                  </w:pPr>
                </w:p>
              </w:tc>
              <w:tc>
                <w:tcPr>
                  <w:tcW w:w="502" w:type="pct"/>
                  <w:vAlign w:val="center"/>
                </w:tcPr>
                <w:p w14:paraId="7D887AEA">
                  <w:pPr>
                    <w:jc w:val="center"/>
                    <w:outlineLvl w:val="0"/>
                    <w:rPr>
                      <w:color w:val="000000" w:themeColor="text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非甲烷总烃</w:t>
                  </w:r>
                </w:p>
              </w:tc>
              <w:tc>
                <w:tcPr>
                  <w:tcW w:w="634" w:type="pct"/>
                  <w:vMerge w:val="continue"/>
                  <w:vAlign w:val="center"/>
                </w:tcPr>
                <w:p w14:paraId="77D59E39">
                  <w:pPr>
                    <w:jc w:val="center"/>
                    <w:rPr>
                      <w:color w:val="000000" w:themeColor="text1"/>
                      <w:szCs w:val="21"/>
                      <w:u w:val="none"/>
                      <w:lang w:val="zh-CN"/>
                      <w14:textFill>
                        <w14:solidFill>
                          <w14:schemeClr w14:val="tx1"/>
                        </w14:solidFill>
                      </w14:textFill>
                    </w:rPr>
                  </w:pPr>
                </w:p>
              </w:tc>
              <w:tc>
                <w:tcPr>
                  <w:tcW w:w="505" w:type="pct"/>
                  <w:shd w:val="clear" w:color="auto" w:fill="auto"/>
                  <w:vAlign w:val="center"/>
                </w:tcPr>
                <w:p w14:paraId="6783C987">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6.667</w:t>
                  </w:r>
                </w:p>
              </w:tc>
              <w:tc>
                <w:tcPr>
                  <w:tcW w:w="653" w:type="pct"/>
                  <w:shd w:val="clear" w:color="auto" w:fill="auto"/>
                  <w:vAlign w:val="center"/>
                </w:tcPr>
                <w:p w14:paraId="2B68296D">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sz w:val="21"/>
                      <w:szCs w:val="21"/>
                      <w:lang w:val="en-US" w:eastAsia="zh-TW"/>
                    </w:rPr>
                  </w:pPr>
                  <w:r>
                    <w:rPr>
                      <w:rFonts w:hint="default" w:ascii="Times New Roman" w:hAnsi="Times New Roman" w:eastAsia="宋体" w:cs="Times New Roman"/>
                      <w:sz w:val="21"/>
                      <w:szCs w:val="21"/>
                      <w:lang w:val="en-US" w:eastAsia="zh-TW"/>
                    </w:rPr>
                    <w:t>0.033</w:t>
                  </w:r>
                </w:p>
              </w:tc>
              <w:tc>
                <w:tcPr>
                  <w:tcW w:w="883" w:type="pct"/>
                  <w:vAlign w:val="center"/>
                </w:tcPr>
                <w:p w14:paraId="4FF3822E">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925" w:type="dxa"/>
                  <w:vAlign w:val="center"/>
                </w:tcPr>
                <w:p w14:paraId="454B71CB">
                  <w:pPr>
                    <w:jc w:val="center"/>
                    <w:rPr>
                      <w:rFonts w:hint="eastAsia"/>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10.0</w:t>
                  </w:r>
                </w:p>
              </w:tc>
              <w:tc>
                <w:tcPr>
                  <w:tcW w:w="671" w:type="dxa"/>
                  <w:vAlign w:val="center"/>
                </w:tcPr>
                <w:p w14:paraId="0B0ACC21">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w:t>
                  </w:r>
                </w:p>
              </w:tc>
              <w:tc>
                <w:tcPr>
                  <w:tcW w:w="653" w:type="dxa"/>
                  <w:vAlign w:val="center"/>
                </w:tcPr>
                <w:p w14:paraId="3268B6EE">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未</w:t>
                  </w:r>
                  <w:r>
                    <w:rPr>
                      <w:color w:val="000000" w:themeColor="text1"/>
                      <w:szCs w:val="21"/>
                      <w:u w:val="none"/>
                      <w14:textFill>
                        <w14:solidFill>
                          <w14:schemeClr w14:val="tx1"/>
                        </w14:solidFill>
                      </w14:textFill>
                    </w:rPr>
                    <w:t>超标</w:t>
                  </w:r>
                </w:p>
              </w:tc>
            </w:tr>
            <w:tr w14:paraId="654D9C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restart"/>
                  <w:vAlign w:val="center"/>
                </w:tcPr>
                <w:p w14:paraId="410C4FE6">
                  <w:pPr>
                    <w:pStyle w:val="38"/>
                    <w:rPr>
                      <w:rFonts w:hint="eastAsia" w:eastAsia="宋体"/>
                      <w:color w:val="000000" w:themeColor="text1"/>
                      <w:szCs w:val="21"/>
                      <w:u w:val="none"/>
                      <w:lang w:val="en-US" w:eastAsia="zh-CN"/>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lang w:val="en-US" w:eastAsia="zh-CN"/>
                      <w14:textFill>
                        <w14:solidFill>
                          <w14:schemeClr w14:val="tx1"/>
                        </w14:solidFill>
                      </w14:textFill>
                    </w:rPr>
                    <w:t>4</w:t>
                  </w:r>
                </w:p>
              </w:tc>
              <w:tc>
                <w:tcPr>
                  <w:tcW w:w="502" w:type="pct"/>
                  <w:vAlign w:val="center"/>
                </w:tcPr>
                <w:p w14:paraId="75B89061">
                  <w:pPr>
                    <w:pStyle w:val="38"/>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颗粒物</w:t>
                  </w:r>
                </w:p>
              </w:tc>
              <w:tc>
                <w:tcPr>
                  <w:tcW w:w="634" w:type="pct"/>
                  <w:vMerge w:val="restart"/>
                  <w:vAlign w:val="center"/>
                </w:tcPr>
                <w:p w14:paraId="6737C47F">
                  <w:pPr>
                    <w:jc w:val="center"/>
                    <w:rPr>
                      <w:color w:val="000000" w:themeColor="text1"/>
                      <w:szCs w:val="21"/>
                      <w:u w:val="none"/>
                      <w:lang w:val="zh-CN"/>
                      <w14:textFill>
                        <w14:solidFill>
                          <w14:schemeClr w14:val="tx1"/>
                        </w14:solidFill>
                      </w14:textFill>
                    </w:rPr>
                  </w:pPr>
                  <w:r>
                    <w:rPr>
                      <w:color w:val="000000" w:themeColor="text1"/>
                      <w:szCs w:val="21"/>
                      <w:u w:val="none"/>
                      <w14:textFill>
                        <w14:solidFill>
                          <w14:schemeClr w14:val="tx1"/>
                        </w14:solidFill>
                      </w14:textFill>
                    </w:rPr>
                    <w:t>低氮燃烧器</w:t>
                  </w:r>
                  <w:r>
                    <w:rPr>
                      <w:color w:val="000000" w:themeColor="text1"/>
                      <w:szCs w:val="21"/>
                      <w:u w:val="none"/>
                      <w:lang w:val="zh-CN"/>
                      <w14:textFill>
                        <w14:solidFill>
                          <w14:schemeClr w14:val="tx1"/>
                        </w14:solidFill>
                      </w14:textFill>
                    </w:rPr>
                    <w:t>故障，按最不利情况，考虑，处理效率为0%</w:t>
                  </w:r>
                </w:p>
              </w:tc>
              <w:tc>
                <w:tcPr>
                  <w:tcW w:w="505" w:type="pct"/>
                  <w:shd w:val="clear" w:color="auto" w:fill="auto"/>
                  <w:vAlign w:val="center"/>
                </w:tcPr>
                <w:p w14:paraId="1AC6F4A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eastAsia" w:cs="Times New Roman"/>
                      <w:color w:val="000000" w:themeColor="text1"/>
                      <w:sz w:val="21"/>
                      <w:szCs w:val="21"/>
                      <w:u w:val="none"/>
                      <w:lang w:val="en-US" w:eastAsia="zh-CN"/>
                      <w14:textFill>
                        <w14:solidFill>
                          <w14:schemeClr w14:val="tx1"/>
                        </w14:solidFill>
                      </w14:textFill>
                    </w:rPr>
                    <w:t>4.640</w:t>
                  </w:r>
                </w:p>
              </w:tc>
              <w:tc>
                <w:tcPr>
                  <w:tcW w:w="653" w:type="pct"/>
                  <w:shd w:val="clear" w:color="auto" w:fill="auto"/>
                  <w:vAlign w:val="center"/>
                </w:tcPr>
                <w:p w14:paraId="41CC2BE6">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0.0</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0</w:t>
                  </w:r>
                  <w:r>
                    <w:rPr>
                      <w:rFonts w:hint="eastAsia" w:cs="Times New Roman"/>
                      <w:color w:val="000000" w:themeColor="text1"/>
                      <w:sz w:val="21"/>
                      <w:szCs w:val="21"/>
                      <w:u w:val="none"/>
                      <w:lang w:val="en-US" w:eastAsia="zh-CN"/>
                      <w14:textFill>
                        <w14:solidFill>
                          <w14:schemeClr w14:val="tx1"/>
                        </w14:solidFill>
                      </w14:textFill>
                    </w:rPr>
                    <w:t>7</w:t>
                  </w:r>
                </w:p>
              </w:tc>
              <w:tc>
                <w:tcPr>
                  <w:tcW w:w="883" w:type="pct"/>
                  <w:vAlign w:val="center"/>
                </w:tcPr>
                <w:p w14:paraId="3AD51662">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503" w:type="pct"/>
                  <w:vAlign w:val="center"/>
                </w:tcPr>
                <w:p w14:paraId="219C83C0">
                  <w:pPr>
                    <w:jc w:val="center"/>
                    <w:rPr>
                      <w:rFonts w:hint="eastAsia" w:eastAsia="宋体"/>
                      <w:color w:val="000000" w:themeColor="text1"/>
                      <w:szCs w:val="21"/>
                      <w:u w:val="none"/>
                      <w:lang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5</w:t>
                  </w:r>
                </w:p>
              </w:tc>
              <w:tc>
                <w:tcPr>
                  <w:tcW w:w="365" w:type="pct"/>
                  <w:vAlign w:val="center"/>
                </w:tcPr>
                <w:p w14:paraId="6859F37C">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w:t>
                  </w:r>
                </w:p>
              </w:tc>
              <w:tc>
                <w:tcPr>
                  <w:tcW w:w="355" w:type="pct"/>
                  <w:vAlign w:val="center"/>
                </w:tcPr>
                <w:p w14:paraId="2989471D">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未</w:t>
                  </w:r>
                  <w:r>
                    <w:rPr>
                      <w:color w:val="000000" w:themeColor="text1"/>
                      <w:szCs w:val="21"/>
                      <w:u w:val="none"/>
                      <w14:textFill>
                        <w14:solidFill>
                          <w14:schemeClr w14:val="tx1"/>
                        </w14:solidFill>
                      </w14:textFill>
                    </w:rPr>
                    <w:t>超标</w:t>
                  </w:r>
                </w:p>
              </w:tc>
            </w:tr>
            <w:tr w14:paraId="667475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continue"/>
                  <w:vAlign w:val="center"/>
                </w:tcPr>
                <w:p w14:paraId="1D6E3996">
                  <w:pPr>
                    <w:pStyle w:val="38"/>
                    <w:rPr>
                      <w:color w:val="000000" w:themeColor="text1"/>
                      <w:szCs w:val="21"/>
                      <w:u w:val="none"/>
                      <w14:textFill>
                        <w14:solidFill>
                          <w14:schemeClr w14:val="tx1"/>
                        </w14:solidFill>
                      </w14:textFill>
                    </w:rPr>
                  </w:pPr>
                </w:p>
              </w:tc>
              <w:tc>
                <w:tcPr>
                  <w:tcW w:w="502" w:type="pct"/>
                  <w:vAlign w:val="center"/>
                </w:tcPr>
                <w:p w14:paraId="55635EB7">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634" w:type="pct"/>
                  <w:vMerge w:val="continue"/>
                  <w:vAlign w:val="center"/>
                </w:tcPr>
                <w:p w14:paraId="6327C443">
                  <w:pPr>
                    <w:jc w:val="center"/>
                    <w:rPr>
                      <w:color w:val="000000" w:themeColor="text1"/>
                      <w:szCs w:val="21"/>
                      <w:u w:val="none"/>
                      <w:lang w:val="zh-CN"/>
                      <w14:textFill>
                        <w14:solidFill>
                          <w14:schemeClr w14:val="tx1"/>
                        </w14:solidFill>
                      </w14:textFill>
                    </w:rPr>
                  </w:pPr>
                </w:p>
              </w:tc>
              <w:tc>
                <w:tcPr>
                  <w:tcW w:w="505" w:type="pct"/>
                  <w:shd w:val="clear" w:color="auto" w:fill="auto"/>
                  <w:vAlign w:val="center"/>
                </w:tcPr>
                <w:p w14:paraId="5F30665F">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3.</w:t>
                  </w:r>
                  <w:r>
                    <w:rPr>
                      <w:rFonts w:hint="eastAsia" w:cs="Times New Roman"/>
                      <w:color w:val="000000" w:themeColor="text1"/>
                      <w:kern w:val="2"/>
                      <w:sz w:val="21"/>
                      <w:szCs w:val="21"/>
                      <w:u w:val="none"/>
                      <w:lang w:val="en-US" w:eastAsia="zh-CN" w:bidi="ar-SA"/>
                      <w14:textFill>
                        <w14:solidFill>
                          <w14:schemeClr w14:val="tx1"/>
                        </w14:solidFill>
                      </w14:textFill>
                    </w:rPr>
                    <w:t>712</w:t>
                  </w:r>
                </w:p>
              </w:tc>
              <w:tc>
                <w:tcPr>
                  <w:tcW w:w="653" w:type="pct"/>
                  <w:shd w:val="clear" w:color="auto" w:fill="auto"/>
                  <w:vAlign w:val="center"/>
                </w:tcPr>
                <w:p w14:paraId="530F2D17">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0.0</w:t>
                  </w:r>
                  <w: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6</w:t>
                  </w:r>
                </w:p>
              </w:tc>
              <w:tc>
                <w:tcPr>
                  <w:tcW w:w="883" w:type="pct"/>
                  <w:vAlign w:val="center"/>
                </w:tcPr>
                <w:p w14:paraId="391008C7">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503" w:type="pct"/>
                  <w:vAlign w:val="center"/>
                </w:tcPr>
                <w:p w14:paraId="7234DEFE">
                  <w:pPr>
                    <w:jc w:val="center"/>
                    <w:rPr>
                      <w:rFonts w:hint="default"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10</w:t>
                  </w:r>
                </w:p>
              </w:tc>
              <w:tc>
                <w:tcPr>
                  <w:tcW w:w="365" w:type="pct"/>
                  <w:vAlign w:val="center"/>
                </w:tcPr>
                <w:p w14:paraId="78C60557">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w:t>
                  </w:r>
                </w:p>
              </w:tc>
              <w:tc>
                <w:tcPr>
                  <w:tcW w:w="355" w:type="pct"/>
                  <w:vAlign w:val="center"/>
                </w:tcPr>
                <w:p w14:paraId="125E98BA">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未</w:t>
                  </w:r>
                  <w:r>
                    <w:rPr>
                      <w:color w:val="000000" w:themeColor="text1"/>
                      <w:szCs w:val="21"/>
                      <w:u w:val="none"/>
                      <w14:textFill>
                        <w14:solidFill>
                          <w14:schemeClr w14:val="tx1"/>
                        </w14:solidFill>
                      </w14:textFill>
                    </w:rPr>
                    <w:t>超标</w:t>
                  </w:r>
                </w:p>
              </w:tc>
            </w:tr>
            <w:tr w14:paraId="28A0BE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6" w:type="pct"/>
                  <w:vMerge w:val="continue"/>
                  <w:vAlign w:val="center"/>
                </w:tcPr>
                <w:p w14:paraId="735FC4E2">
                  <w:pPr>
                    <w:pStyle w:val="38"/>
                    <w:rPr>
                      <w:color w:val="000000" w:themeColor="text1"/>
                      <w:szCs w:val="21"/>
                      <w:u w:val="none"/>
                      <w14:textFill>
                        <w14:solidFill>
                          <w14:schemeClr w14:val="tx1"/>
                        </w14:solidFill>
                      </w14:textFill>
                    </w:rPr>
                  </w:pPr>
                </w:p>
              </w:tc>
              <w:tc>
                <w:tcPr>
                  <w:tcW w:w="502" w:type="pct"/>
                  <w:vAlign w:val="center"/>
                </w:tcPr>
                <w:p w14:paraId="4DE1A442">
                  <w:pPr>
                    <w:pStyle w:val="38"/>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NO</w:t>
                  </w:r>
                  <w:r>
                    <w:rPr>
                      <w:rFonts w:hint="eastAsia"/>
                      <w:color w:val="000000" w:themeColor="text1"/>
                      <w:szCs w:val="21"/>
                      <w:u w:val="none"/>
                      <w:vertAlign w:val="subscript"/>
                      <w14:textFill>
                        <w14:solidFill>
                          <w14:schemeClr w14:val="tx1"/>
                        </w14:solidFill>
                      </w14:textFill>
                    </w:rPr>
                    <w:t>X</w:t>
                  </w:r>
                </w:p>
              </w:tc>
              <w:tc>
                <w:tcPr>
                  <w:tcW w:w="634" w:type="pct"/>
                  <w:vMerge w:val="continue"/>
                  <w:vAlign w:val="center"/>
                </w:tcPr>
                <w:p w14:paraId="582E347F">
                  <w:pPr>
                    <w:jc w:val="center"/>
                    <w:rPr>
                      <w:color w:val="000000" w:themeColor="text1"/>
                      <w:szCs w:val="21"/>
                      <w:u w:val="none"/>
                      <w:lang w:val="zh-CN"/>
                      <w14:textFill>
                        <w14:solidFill>
                          <w14:schemeClr w14:val="tx1"/>
                        </w14:solidFill>
                      </w14:textFill>
                    </w:rPr>
                  </w:pPr>
                </w:p>
              </w:tc>
              <w:tc>
                <w:tcPr>
                  <w:tcW w:w="505" w:type="pct"/>
                  <w:shd w:val="clear" w:color="auto" w:fill="auto"/>
                  <w:vAlign w:val="center"/>
                </w:tcPr>
                <w:p w14:paraId="476C6330">
                  <w:pPr>
                    <w:keepNext w:val="0"/>
                    <w:keepLines w:val="0"/>
                    <w:pageBreakBefore w:val="0"/>
                    <w:kinsoku/>
                    <w:wordWrap/>
                    <w:overflowPunct/>
                    <w:topLinePunct w:val="0"/>
                    <w:autoSpaceDE/>
                    <w:autoSpaceDN/>
                    <w:bidi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eastAsia"/>
                      <w:color w:val="000000" w:themeColor="text1"/>
                      <w:sz w:val="21"/>
                      <w:szCs w:val="21"/>
                      <w:lang w:val="en-US" w:eastAsia="zh-CN" w:bidi="ar"/>
                      <w14:textFill>
                        <w14:solidFill>
                          <w14:schemeClr w14:val="tx1"/>
                        </w14:solidFill>
                      </w14:textFill>
                    </w:rPr>
                    <w:t>173.638</w:t>
                  </w:r>
                </w:p>
              </w:tc>
              <w:tc>
                <w:tcPr>
                  <w:tcW w:w="653" w:type="pct"/>
                  <w:shd w:val="clear" w:color="auto" w:fill="auto"/>
                  <w:vAlign w:val="center"/>
                </w:tcPr>
                <w:p w14:paraId="75242F31">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0.</w:t>
                  </w:r>
                  <w:r>
                    <w:rPr>
                      <w:rFonts w:hint="eastAsia" w:cs="Times New Roman"/>
                      <w:color w:val="000000" w:themeColor="text1"/>
                      <w:kern w:val="2"/>
                      <w:sz w:val="21"/>
                      <w:szCs w:val="21"/>
                      <w:u w:val="none"/>
                      <w:lang w:val="en-US" w:eastAsia="zh-CN" w:bidi="ar-SA"/>
                      <w14:textFill>
                        <w14:solidFill>
                          <w14:schemeClr w14:val="tx1"/>
                        </w14:solidFill>
                      </w14:textFill>
                    </w:rPr>
                    <w:t>273</w:t>
                  </w:r>
                </w:p>
              </w:tc>
              <w:tc>
                <w:tcPr>
                  <w:tcW w:w="883" w:type="pct"/>
                  <w:vAlign w:val="center"/>
                </w:tcPr>
                <w:p w14:paraId="47F9A1A7">
                  <w:pPr>
                    <w:jc w:val="center"/>
                    <w:rPr>
                      <w:color w:val="000000" w:themeColor="text1"/>
                      <w:szCs w:val="21"/>
                      <w:u w:val="none"/>
                      <w:lang w:val="zh-CN"/>
                      <w14:textFill>
                        <w14:solidFill>
                          <w14:schemeClr w14:val="tx1"/>
                        </w14:solidFill>
                      </w14:textFill>
                    </w:rPr>
                  </w:pPr>
                  <w:r>
                    <w:rPr>
                      <w:color w:val="000000" w:themeColor="text1"/>
                      <w:szCs w:val="21"/>
                      <w:u w:val="none"/>
                      <w:lang w:val="zh-CN"/>
                      <w14:textFill>
                        <w14:solidFill>
                          <w14:schemeClr w14:val="tx1"/>
                        </w14:solidFill>
                      </w14:textFill>
                    </w:rPr>
                    <w:t>1-2次/a，1h/次</w:t>
                  </w:r>
                </w:p>
              </w:tc>
              <w:tc>
                <w:tcPr>
                  <w:tcW w:w="503" w:type="pct"/>
                  <w:vAlign w:val="center"/>
                </w:tcPr>
                <w:p w14:paraId="1330DFE6">
                  <w:pPr>
                    <w:jc w:val="center"/>
                    <w:rPr>
                      <w:rFonts w:hint="default" w:eastAsia="宋体"/>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30</w:t>
                  </w:r>
                </w:p>
              </w:tc>
              <w:tc>
                <w:tcPr>
                  <w:tcW w:w="365" w:type="pct"/>
                  <w:vAlign w:val="center"/>
                </w:tcPr>
                <w:p w14:paraId="061CE422">
                  <w:pPr>
                    <w:jc w:val="center"/>
                    <w:rPr>
                      <w:color w:val="000000" w:themeColor="text1"/>
                      <w:szCs w:val="21"/>
                      <w:u w:val="none"/>
                      <w14:textFill>
                        <w14:solidFill>
                          <w14:schemeClr w14:val="tx1"/>
                        </w14:solidFill>
                      </w14:textFill>
                    </w:rPr>
                  </w:pPr>
                  <w:r>
                    <w:rPr>
                      <w:rFonts w:hint="eastAsia"/>
                      <w:color w:val="000000" w:themeColor="text1"/>
                      <w:szCs w:val="21"/>
                      <w:u w:val="none"/>
                      <w14:textFill>
                        <w14:solidFill>
                          <w14:schemeClr w14:val="tx1"/>
                        </w14:solidFill>
                      </w14:textFill>
                    </w:rPr>
                    <w:t>/</w:t>
                  </w:r>
                </w:p>
              </w:tc>
              <w:tc>
                <w:tcPr>
                  <w:tcW w:w="355" w:type="pct"/>
                  <w:vAlign w:val="center"/>
                </w:tcPr>
                <w:p w14:paraId="13E15A7A">
                  <w:pPr>
                    <w:jc w:val="center"/>
                    <w:rPr>
                      <w:color w:val="000000" w:themeColor="text1"/>
                      <w:szCs w:val="21"/>
                      <w:u w:val="none"/>
                      <w14:textFill>
                        <w14:solidFill>
                          <w14:schemeClr w14:val="tx1"/>
                        </w14:solidFill>
                      </w14:textFill>
                    </w:rPr>
                  </w:pPr>
                  <w:r>
                    <w:rPr>
                      <w:color w:val="000000" w:themeColor="text1"/>
                      <w:szCs w:val="21"/>
                      <w:u w:val="none"/>
                      <w14:textFill>
                        <w14:solidFill>
                          <w14:schemeClr w14:val="tx1"/>
                        </w14:solidFill>
                      </w14:textFill>
                    </w:rPr>
                    <w:t>超标</w:t>
                  </w:r>
                </w:p>
              </w:tc>
            </w:tr>
          </w:tbl>
          <w:p w14:paraId="543670CF">
            <w:pPr>
              <w:tabs>
                <w:tab w:val="left" w:pos="1081"/>
              </w:tabs>
              <w:adjustRightInd w:val="0"/>
              <w:snapToGrid w:val="0"/>
              <w:spacing w:line="360" w:lineRule="auto"/>
              <w:ind w:firstLine="480" w:firstLineChars="200"/>
              <w:rPr>
                <w:sz w:val="24"/>
                <w:szCs w:val="24"/>
              </w:rPr>
            </w:pPr>
            <w:r>
              <w:rPr>
                <w:sz w:val="24"/>
                <w:szCs w:val="24"/>
              </w:rPr>
              <w:t>由上表可知，非正常工况下，项目</w:t>
            </w:r>
            <w:r>
              <w:rPr>
                <w:rFonts w:hint="eastAsia"/>
                <w:sz w:val="24"/>
                <w:szCs w:val="24"/>
              </w:rPr>
              <w:t>DA00</w:t>
            </w:r>
            <w:r>
              <w:rPr>
                <w:rFonts w:hint="eastAsia"/>
                <w:sz w:val="24"/>
                <w:szCs w:val="24"/>
                <w:lang w:val="en-US" w:eastAsia="zh-CN"/>
              </w:rPr>
              <w:t>1-</w:t>
            </w:r>
            <w:r>
              <w:rPr>
                <w:rFonts w:hint="eastAsia"/>
                <w:sz w:val="24"/>
                <w:szCs w:val="24"/>
              </w:rPr>
              <w:t>DA00</w:t>
            </w:r>
            <w:r>
              <w:rPr>
                <w:rFonts w:hint="eastAsia"/>
                <w:sz w:val="24"/>
                <w:szCs w:val="24"/>
                <w:lang w:val="en-US" w:eastAsia="zh-CN"/>
              </w:rPr>
              <w:t>4</w:t>
            </w:r>
            <w:r>
              <w:rPr>
                <w:sz w:val="24"/>
                <w:szCs w:val="24"/>
              </w:rPr>
              <w:t>有组织</w:t>
            </w:r>
            <w:r>
              <w:rPr>
                <w:rFonts w:hint="eastAsia"/>
                <w:sz w:val="24"/>
                <w:szCs w:val="24"/>
                <w:lang w:val="en-US" w:eastAsia="zh-CN"/>
              </w:rPr>
              <w:t>排放口均有污染因子</w:t>
            </w:r>
            <w:r>
              <w:rPr>
                <w:sz w:val="24"/>
                <w:szCs w:val="24"/>
              </w:rPr>
              <w:t>排放浓度超标。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06A7D023">
            <w:pPr>
              <w:tabs>
                <w:tab w:val="left" w:pos="1081"/>
              </w:tabs>
              <w:adjustRightInd w:val="0"/>
              <w:snapToGrid w:val="0"/>
              <w:spacing w:line="360" w:lineRule="auto"/>
              <w:ind w:firstLine="480" w:firstLineChars="200"/>
              <w:rPr>
                <w:sz w:val="24"/>
                <w:szCs w:val="24"/>
              </w:rPr>
            </w:pPr>
            <w:r>
              <w:rPr>
                <w:sz w:val="24"/>
                <w:szCs w:val="24"/>
              </w:rPr>
              <w:t>①安排专人负责环保设备的日常维护和管理，每隔固定时间检查、汇报情况，及时发现废气处理设备的隐患，确保废气处理系统正常运行；</w:t>
            </w:r>
          </w:p>
          <w:p w14:paraId="74E4A5F4">
            <w:pPr>
              <w:tabs>
                <w:tab w:val="left" w:pos="1081"/>
              </w:tabs>
              <w:adjustRightInd w:val="0"/>
              <w:snapToGrid w:val="0"/>
              <w:spacing w:line="360" w:lineRule="auto"/>
              <w:ind w:firstLine="480" w:firstLineChars="200"/>
              <w:rPr>
                <w:sz w:val="24"/>
                <w:szCs w:val="24"/>
              </w:rPr>
            </w:pPr>
            <w:r>
              <w:rPr>
                <w:sz w:val="24"/>
                <w:szCs w:val="24"/>
              </w:rPr>
              <w:t>②建立健全的环保管理机构，对环保管理人员和技术人员进行岗位培训，委托具有专业资质的环境检测单位对项目排放的各类污染物进行定期检测；</w:t>
            </w:r>
          </w:p>
          <w:p w14:paraId="1D30E577">
            <w:pPr>
              <w:widowControl/>
              <w:adjustRightInd w:val="0"/>
              <w:snapToGrid w:val="0"/>
              <w:spacing w:line="360" w:lineRule="auto"/>
              <w:ind w:firstLine="480" w:firstLineChars="200"/>
              <w:rPr>
                <w:sz w:val="24"/>
                <w:szCs w:val="24"/>
              </w:rPr>
            </w:pPr>
            <w:r>
              <w:rPr>
                <w:sz w:val="24"/>
                <w:szCs w:val="24"/>
              </w:rPr>
              <w:t>③应定期维护、检修废气净化装置，以保持废气处理装置的净化能力和净化容量。</w:t>
            </w:r>
          </w:p>
          <w:p w14:paraId="4B5BAE1C">
            <w:pPr>
              <w:widowControl/>
              <w:adjustRightInd w:val="0"/>
              <w:snapToGrid w:val="0"/>
              <w:spacing w:line="360" w:lineRule="auto"/>
              <w:ind w:firstLine="437"/>
              <w:jc w:val="both"/>
              <w:rPr>
                <w:bCs/>
                <w:kern w:val="0"/>
                <w:sz w:val="24"/>
                <w:szCs w:val="24"/>
              </w:rPr>
            </w:pPr>
            <w:r>
              <w:rPr>
                <w:rFonts w:hint="eastAsia"/>
                <w:bCs/>
                <w:kern w:val="0"/>
                <w:sz w:val="24"/>
                <w:szCs w:val="24"/>
                <w:lang w:val="en-US" w:eastAsia="zh-CN"/>
              </w:rPr>
              <w:t>1.6</w:t>
            </w:r>
            <w:r>
              <w:rPr>
                <w:bCs/>
                <w:kern w:val="0"/>
                <w:sz w:val="24"/>
                <w:szCs w:val="24"/>
              </w:rPr>
              <w:t>废气治理措施可行性分析</w:t>
            </w:r>
          </w:p>
          <w:p w14:paraId="44B49ECF">
            <w:pPr>
              <w:widowControl/>
              <w:autoSpaceDE w:val="0"/>
              <w:autoSpaceDN w:val="0"/>
              <w:snapToGrid w:val="0"/>
              <w:spacing w:line="360" w:lineRule="auto"/>
              <w:ind w:firstLine="480" w:firstLineChars="200"/>
              <w:rPr>
                <w:rFonts w:hint="eastAsia"/>
                <w:i w:val="0"/>
                <w:iCs w:val="0"/>
                <w:color w:val="auto"/>
                <w:sz w:val="24"/>
                <w:szCs w:val="24"/>
                <w:highlight w:val="none"/>
                <w:u w:val="none" w:color="auto"/>
              </w:rPr>
            </w:pPr>
            <w:r>
              <w:rPr>
                <w:rFonts w:hint="eastAsia" w:ascii="Times New Roman" w:hAnsi="Times New Roman" w:eastAsia="宋体" w:cs="Times New Roman"/>
                <w:i w:val="0"/>
                <w:iCs w:val="0"/>
                <w:color w:val="auto"/>
                <w:sz w:val="24"/>
                <w:szCs w:val="24"/>
                <w:highlight w:val="none"/>
                <w:u w:val="none" w:color="auto"/>
                <w:lang w:val="en-US" w:eastAsia="zh-CN"/>
              </w:rPr>
              <w:t>（1）</w:t>
            </w:r>
            <w:r>
              <w:rPr>
                <w:rFonts w:hint="eastAsia" w:ascii="Times New Roman" w:hAnsi="Times New Roman" w:cs="Times New Roman"/>
                <w:sz w:val="24"/>
                <w:szCs w:val="24"/>
                <w:lang w:val="en-US" w:eastAsia="zh-CN"/>
              </w:rPr>
              <w:t>熟化废气</w:t>
            </w:r>
            <w:r>
              <w:rPr>
                <w:rFonts w:hint="eastAsia"/>
                <w:i w:val="0"/>
                <w:iCs w:val="0"/>
                <w:color w:val="auto"/>
                <w:sz w:val="24"/>
                <w:szCs w:val="24"/>
                <w:highlight w:val="none"/>
                <w:u w:val="none" w:color="auto"/>
              </w:rPr>
              <w:t>治理措施可行性分析</w:t>
            </w:r>
          </w:p>
          <w:p w14:paraId="1465E887">
            <w:pPr>
              <w:widowControl/>
              <w:autoSpaceDE w:val="0"/>
              <w:autoSpaceDN w:val="0"/>
              <w:snapToGrid w:val="0"/>
              <w:spacing w:line="360" w:lineRule="auto"/>
              <w:ind w:firstLine="480" w:firstLineChars="200"/>
              <w:rPr>
                <w:rFonts w:hint="eastAsia"/>
                <w:bCs/>
                <w:i w:val="0"/>
                <w:iCs w:val="0"/>
                <w:color w:val="auto"/>
                <w:kern w:val="0"/>
                <w:sz w:val="24"/>
                <w:u w:val="none" w:color="auto"/>
              </w:rPr>
            </w:pPr>
            <w:r>
              <w:rPr>
                <w:rFonts w:hint="eastAsia"/>
                <w:i w:val="0"/>
                <w:iCs w:val="0"/>
                <w:color w:val="auto"/>
                <w:sz w:val="24"/>
                <w:highlight w:val="none"/>
                <w:u w:val="none" w:color="auto"/>
                <w:lang w:val="en-US" w:eastAsia="zh-CN"/>
              </w:rPr>
              <w:t>本项目</w:t>
            </w:r>
            <w:r>
              <w:rPr>
                <w:rFonts w:hint="default" w:ascii="Times New Roman" w:hAnsi="Times New Roman" w:eastAsia="宋体" w:cs="Times New Roman"/>
                <w:sz w:val="24"/>
                <w:szCs w:val="24"/>
                <w:lang w:val="en-US" w:eastAsia="zh-CN"/>
              </w:rPr>
              <w:t>烹饪、加工过程</w:t>
            </w:r>
            <w:r>
              <w:rPr>
                <w:rFonts w:hint="eastAsia"/>
                <w:i w:val="0"/>
                <w:iCs w:val="0"/>
                <w:color w:val="auto"/>
                <w:sz w:val="24"/>
                <w:highlight w:val="none"/>
                <w:u w:val="none" w:color="auto"/>
                <w:lang w:val="en-US" w:eastAsia="zh-CN"/>
              </w:rPr>
              <w:t>产生的烹饪、加工过程经集气罩收集后通过分别通过静电油烟净化器（TA001-TA004）处理后经1根15m排气筒（DA001-DA003）排放，经处理后油烟的排放浓度均为0.767</w:t>
            </w:r>
            <w:r>
              <w:rPr>
                <w:rFonts w:hint="eastAsia"/>
                <w:bCs/>
                <w:i w:val="0"/>
                <w:iCs w:val="0"/>
                <w:color w:val="auto"/>
                <w:kern w:val="0"/>
                <w:sz w:val="24"/>
                <w:highlight w:val="none"/>
                <w:u w:val="none" w:color="auto"/>
              </w:rPr>
              <w:t>mg/</w:t>
            </w:r>
            <w:r>
              <w:rPr>
                <w:rFonts w:hint="eastAsia"/>
                <w:bCs/>
                <w:i w:val="0"/>
                <w:iCs w:val="0"/>
                <w:color w:val="auto"/>
                <w:kern w:val="0"/>
                <w:sz w:val="24"/>
                <w:u w:val="none" w:color="auto"/>
              </w:rPr>
              <w:t>m</w:t>
            </w:r>
            <w:r>
              <w:rPr>
                <w:rFonts w:hint="eastAsia"/>
                <w:bCs/>
                <w:i w:val="0"/>
                <w:iCs w:val="0"/>
                <w:color w:val="auto"/>
                <w:kern w:val="0"/>
                <w:sz w:val="24"/>
                <w:u w:val="none" w:color="auto"/>
                <w:vertAlign w:val="superscript"/>
              </w:rPr>
              <w:t>3</w:t>
            </w:r>
            <w:r>
              <w:rPr>
                <w:rFonts w:hint="eastAsia"/>
                <w:bCs/>
                <w:i w:val="0"/>
                <w:iCs w:val="0"/>
                <w:color w:val="auto"/>
                <w:kern w:val="0"/>
                <w:sz w:val="24"/>
                <w:u w:val="none" w:color="auto"/>
              </w:rPr>
              <w:t>，</w:t>
            </w:r>
            <w:r>
              <w:rPr>
                <w:rFonts w:hint="eastAsia"/>
                <w:bCs/>
                <w:i w:val="0"/>
                <w:iCs w:val="0"/>
                <w:color w:val="auto"/>
                <w:kern w:val="0"/>
                <w:sz w:val="24"/>
                <w:u w:val="none" w:color="auto"/>
                <w:lang w:val="en-US" w:eastAsia="zh-CN"/>
              </w:rPr>
              <w:t>非甲烷总烃</w:t>
            </w:r>
            <w:r>
              <w:rPr>
                <w:rFonts w:hint="eastAsia"/>
                <w:i w:val="0"/>
                <w:iCs w:val="0"/>
                <w:color w:val="auto"/>
                <w:sz w:val="24"/>
                <w:highlight w:val="none"/>
                <w:u w:val="none" w:color="auto"/>
                <w:lang w:val="en-US" w:eastAsia="zh-CN"/>
              </w:rPr>
              <w:t>的排放浓度均为6.667</w:t>
            </w:r>
            <w:r>
              <w:rPr>
                <w:rFonts w:hint="eastAsia"/>
                <w:bCs/>
                <w:i w:val="0"/>
                <w:iCs w:val="0"/>
                <w:color w:val="auto"/>
                <w:kern w:val="0"/>
                <w:sz w:val="24"/>
                <w:highlight w:val="none"/>
                <w:u w:val="none" w:color="auto"/>
              </w:rPr>
              <w:t>mg/</w:t>
            </w:r>
            <w:r>
              <w:rPr>
                <w:rFonts w:hint="eastAsia"/>
                <w:bCs/>
                <w:i w:val="0"/>
                <w:iCs w:val="0"/>
                <w:color w:val="auto"/>
                <w:kern w:val="0"/>
                <w:sz w:val="24"/>
                <w:u w:val="none" w:color="auto"/>
              </w:rPr>
              <w:t>m</w:t>
            </w:r>
            <w:r>
              <w:rPr>
                <w:rFonts w:hint="eastAsia"/>
                <w:bCs/>
                <w:i w:val="0"/>
                <w:iCs w:val="0"/>
                <w:color w:val="auto"/>
                <w:kern w:val="0"/>
                <w:sz w:val="24"/>
                <w:u w:val="none" w:color="auto"/>
                <w:vertAlign w:val="superscript"/>
              </w:rPr>
              <w:t>3</w:t>
            </w:r>
            <w:r>
              <w:rPr>
                <w:rFonts w:hint="eastAsia"/>
                <w:bCs/>
                <w:i w:val="0"/>
                <w:iCs w:val="0"/>
                <w:color w:val="auto"/>
                <w:kern w:val="0"/>
                <w:sz w:val="24"/>
                <w:u w:val="none" w:color="auto"/>
                <w:lang w:eastAsia="zh-CN"/>
              </w:rPr>
              <w:t>；</w:t>
            </w:r>
            <w:r>
              <w:rPr>
                <w:rFonts w:hint="eastAsia"/>
                <w:bCs/>
                <w:i w:val="0"/>
                <w:iCs w:val="0"/>
                <w:color w:val="auto"/>
                <w:kern w:val="0"/>
                <w:sz w:val="24"/>
                <w:u w:val="none" w:color="auto"/>
              </w:rPr>
              <w:t>可以满足《餐饮业油烟污染物排放标准》（DB41/1604-2018）</w:t>
            </w:r>
            <w:r>
              <w:rPr>
                <w:rFonts w:hint="eastAsia"/>
                <w:bCs/>
                <w:i w:val="0"/>
                <w:iCs w:val="0"/>
                <w:color w:val="auto"/>
                <w:kern w:val="0"/>
                <w:sz w:val="24"/>
                <w:u w:val="none" w:color="auto"/>
                <w:lang w:val="en-US" w:eastAsia="zh-CN"/>
              </w:rPr>
              <w:t>大型规模</w:t>
            </w:r>
            <w:r>
              <w:rPr>
                <w:rFonts w:hint="eastAsia"/>
                <w:i w:val="0"/>
                <w:iCs w:val="0"/>
                <w:color w:val="auto"/>
                <w:sz w:val="24"/>
                <w:szCs w:val="24"/>
                <w:u w:val="none" w:color="auto"/>
                <w:lang w:val="en-US" w:eastAsia="zh-CN"/>
              </w:rPr>
              <w:t>排放限值</w:t>
            </w:r>
            <w:r>
              <w:rPr>
                <w:i w:val="0"/>
                <w:iCs w:val="0"/>
                <w:color w:val="auto"/>
                <w:sz w:val="24"/>
                <w:szCs w:val="24"/>
                <w:u w:val="none" w:color="auto"/>
              </w:rPr>
              <w:t>要求</w:t>
            </w:r>
            <w:r>
              <w:rPr>
                <w:rFonts w:hint="eastAsia"/>
                <w:bCs/>
                <w:i w:val="0"/>
                <w:iCs w:val="0"/>
                <w:color w:val="auto"/>
                <w:kern w:val="0"/>
                <w:sz w:val="24"/>
                <w:u w:val="none" w:color="auto"/>
              </w:rPr>
              <w:t>。</w:t>
            </w:r>
          </w:p>
          <w:p w14:paraId="2A6FF268">
            <w:pPr>
              <w:widowControl/>
              <w:adjustRightInd w:val="0"/>
              <w:snapToGrid w:val="0"/>
              <w:spacing w:line="360" w:lineRule="auto"/>
              <w:ind w:firstLine="480" w:firstLineChars="200"/>
              <w:rPr>
                <w:rFonts w:hint="eastAsia"/>
                <w:sz w:val="24"/>
                <w:szCs w:val="24"/>
              </w:rPr>
            </w:pPr>
            <w:r>
              <w:rPr>
                <w:rFonts w:hint="eastAsia"/>
                <w:color w:val="000000" w:themeColor="text1"/>
                <w:kern w:val="52"/>
                <w:sz w:val="24"/>
                <w:lang w:val="en-US" w:eastAsia="zh-CN"/>
                <w14:textFill>
                  <w14:solidFill>
                    <w14:schemeClr w14:val="tx1"/>
                  </w14:solidFill>
                </w14:textFill>
              </w:rPr>
              <w:t>静电油烟净化器</w:t>
            </w:r>
            <w:r>
              <w:rPr>
                <w:rFonts w:hint="eastAsia"/>
                <w:color w:val="000000" w:themeColor="text1"/>
                <w:kern w:val="52"/>
                <w:sz w:val="24"/>
                <w14:textFill>
                  <w14:solidFill>
                    <w14:schemeClr w14:val="tx1"/>
                  </w14:solidFill>
                </w14:textFill>
              </w:rPr>
              <w:t>原理：静电式油烟净化器是一种利用静电原理油烟净化装置。主要用于宾馆、饭馆、酒家、餐厅以及学校、机关、工厂等场所的厨房油烟的净化治理；食品油炸、烹任加工行业；油溅热处理车间、油雾润滑车间、工件焊接车间等工业场合。油烟由风机吸入静电式油烟净化器，其中部分较大的油雾滴、油污颗粒在均流板上由于机械碰撞、阻留而被捕集。当气流进入高压静电场时，在高压电场的作用下，油烟气体电离，油雾荷电，大部分得以降解炭化；少部分微小油粒在吸附电场的电场力及气流作用下向电场的正负极板运动被收集在极板上并在自身重力的作用下流到集油盘，经排油通道排出，余下的微米级油雾被电场降解成二氧化碳和水，最终排出洁净空气；同时在高压发生器的作用下，电场内空气产生臭氧，除去了烟气中大部分的气味。</w:t>
            </w:r>
          </w:p>
          <w:p w14:paraId="449DD8C2">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bCs/>
                <w:color w:val="000000"/>
                <w:kern w:val="0"/>
                <w:sz w:val="24"/>
              </w:rPr>
            </w:pPr>
            <w:r>
              <w:rPr>
                <w:rFonts w:hint="eastAsia"/>
                <w:sz w:val="24"/>
                <w:szCs w:val="24"/>
                <w:lang w:eastAsia="zh-CN"/>
              </w:rPr>
              <w:t>（</w:t>
            </w:r>
            <w:r>
              <w:rPr>
                <w:rFonts w:hint="eastAsia"/>
                <w:sz w:val="24"/>
                <w:szCs w:val="24"/>
                <w:lang w:val="en-US" w:eastAsia="zh-CN"/>
              </w:rPr>
              <w:t>2</w:t>
            </w:r>
            <w:r>
              <w:rPr>
                <w:rFonts w:hint="eastAsia"/>
                <w:sz w:val="24"/>
                <w:szCs w:val="24"/>
                <w:lang w:eastAsia="zh-CN"/>
              </w:rPr>
              <w:t>）</w:t>
            </w:r>
            <w:r>
              <w:rPr>
                <w:rFonts w:hint="eastAsia"/>
                <w:sz w:val="24"/>
                <w:szCs w:val="24"/>
                <w:lang w:val="en-US" w:eastAsia="zh-CN"/>
              </w:rPr>
              <w:t>蒸汽发生器</w:t>
            </w:r>
            <w:r>
              <w:rPr>
                <w:bCs/>
                <w:color w:val="000000"/>
                <w:kern w:val="0"/>
                <w:sz w:val="24"/>
              </w:rPr>
              <w:t>废气治理措施可行性分析</w:t>
            </w:r>
          </w:p>
          <w:p w14:paraId="0A8E9DFB">
            <w:pPr>
              <w:widowControl/>
              <w:adjustRightInd w:val="0"/>
              <w:snapToGrid w:val="0"/>
              <w:spacing w:line="360" w:lineRule="auto"/>
              <w:ind w:firstLine="480" w:firstLineChars="200"/>
              <w:rPr>
                <w:color w:val="000000"/>
                <w:sz w:val="24"/>
              </w:rPr>
            </w:pPr>
            <w:r>
              <w:rPr>
                <w:color w:val="000000"/>
                <w:sz w:val="24"/>
              </w:rPr>
              <w:t>项目</w:t>
            </w:r>
            <w:commentRangeStart w:id="86"/>
            <w:r>
              <w:rPr>
                <w:rFonts w:hint="eastAsia"/>
                <w:color w:val="000000"/>
                <w:sz w:val="24"/>
                <w:highlight w:val="none"/>
                <w:lang w:val="en-US" w:eastAsia="zh-CN"/>
              </w:rPr>
              <w:t>8</w:t>
            </w:r>
            <w:r>
              <w:rPr>
                <w:color w:val="000000"/>
                <w:sz w:val="24"/>
                <w:highlight w:val="none"/>
              </w:rPr>
              <w:t>台</w:t>
            </w:r>
            <w:r>
              <w:rPr>
                <w:rFonts w:hint="eastAsia"/>
                <w:color w:val="000000"/>
                <w:sz w:val="24"/>
                <w:highlight w:val="none"/>
                <w:lang w:val="en-US" w:eastAsia="zh-CN"/>
              </w:rPr>
              <w:t>0.1</w:t>
            </w:r>
            <w:r>
              <w:rPr>
                <w:rFonts w:hint="eastAsia"/>
                <w:color w:val="000000"/>
                <w:sz w:val="24"/>
                <w:highlight w:val="none"/>
              </w:rPr>
              <w:t>t</w:t>
            </w:r>
            <w:r>
              <w:rPr>
                <w:color w:val="000000"/>
                <w:sz w:val="24"/>
                <w:highlight w:val="none"/>
              </w:rPr>
              <w:t>/h</w:t>
            </w:r>
            <w:r>
              <w:rPr>
                <w:rFonts w:hint="eastAsia"/>
                <w:color w:val="000000"/>
                <w:sz w:val="24"/>
                <w:highlight w:val="none"/>
                <w:lang w:eastAsia="zh-CN"/>
              </w:rPr>
              <w:t>、</w:t>
            </w:r>
            <w:r>
              <w:rPr>
                <w:rFonts w:hint="eastAsia"/>
                <w:color w:val="000000"/>
                <w:sz w:val="24"/>
                <w:highlight w:val="none"/>
                <w:lang w:val="en-US" w:eastAsia="zh-CN"/>
              </w:rPr>
              <w:t>6台0.15t/h以及1台0.2t/h</w:t>
            </w:r>
            <w:commentRangeEnd w:id="86"/>
            <w:r>
              <w:commentReference w:id="86"/>
            </w:r>
            <w:r>
              <w:rPr>
                <w:rFonts w:hint="eastAsia"/>
                <w:color w:val="000000"/>
                <w:sz w:val="24"/>
                <w:highlight w:val="none"/>
                <w:lang w:val="en-US" w:eastAsia="zh-CN"/>
              </w:rPr>
              <w:t>蒸汽发生器</w:t>
            </w:r>
            <w:r>
              <w:rPr>
                <w:rFonts w:hint="eastAsia"/>
                <w:color w:val="000000"/>
                <w:sz w:val="24"/>
                <w:lang w:val="en-US" w:eastAsia="zh-CN"/>
              </w:rPr>
              <w:t>天然气燃烧</w:t>
            </w:r>
            <w:r>
              <w:rPr>
                <w:color w:val="000000"/>
                <w:sz w:val="24"/>
              </w:rPr>
              <w:t>废气经采用低氮燃烧+烟气循环</w:t>
            </w:r>
            <w:r>
              <w:rPr>
                <w:rFonts w:hint="eastAsia"/>
                <w:color w:val="000000"/>
                <w:sz w:val="24"/>
              </w:rPr>
              <w:t>系统</w:t>
            </w:r>
            <w:r>
              <w:rPr>
                <w:color w:val="000000"/>
                <w:sz w:val="24"/>
              </w:rPr>
              <w:t>处理后经</w:t>
            </w:r>
            <w:r>
              <w:rPr>
                <w:rFonts w:hint="eastAsia"/>
                <w:color w:val="000000"/>
                <w:sz w:val="24"/>
                <w:lang w:val="en-US" w:eastAsia="zh-CN"/>
              </w:rPr>
              <w:t>1</w:t>
            </w:r>
            <w:r>
              <w:rPr>
                <w:color w:val="000000"/>
                <w:sz w:val="24"/>
              </w:rPr>
              <w:t>根</w:t>
            </w:r>
            <w:r>
              <w:rPr>
                <w:rFonts w:hint="eastAsia"/>
                <w:color w:val="000000"/>
                <w:sz w:val="24"/>
                <w:lang w:val="en-US" w:eastAsia="zh-CN"/>
              </w:rPr>
              <w:t>15</w:t>
            </w:r>
            <w:r>
              <w:rPr>
                <w:color w:val="000000"/>
                <w:sz w:val="24"/>
              </w:rPr>
              <w:t>m高排气筒排放。</w:t>
            </w:r>
            <w:r>
              <w:rPr>
                <w:rFonts w:hint="eastAsia"/>
                <w:color w:val="000000"/>
                <w:sz w:val="24"/>
                <w:lang w:val="en-US" w:eastAsia="zh-CN"/>
              </w:rPr>
              <w:t>锅炉</w:t>
            </w:r>
            <w:r>
              <w:rPr>
                <w:rFonts w:hint="default"/>
                <w:color w:val="000000"/>
                <w:sz w:val="24"/>
              </w:rPr>
              <w:t>废气具体处理工艺如下。</w:t>
            </w:r>
          </w:p>
          <w:p w14:paraId="701794EB">
            <w:pPr>
              <w:widowControl/>
              <w:adjustRightInd w:val="0"/>
              <w:snapToGrid w:val="0"/>
              <w:spacing w:line="360" w:lineRule="auto"/>
              <w:ind w:firstLine="480" w:firstLineChars="200"/>
              <w:rPr>
                <w:color w:val="000000"/>
                <w:sz w:val="24"/>
              </w:rPr>
            </w:pPr>
            <w:r>
              <w:rPr>
                <w:color w:val="000000"/>
                <w:sz w:val="24"/>
              </w:rPr>
              <w:t>低氮燃烧技术属于《排污许可证申请与核发技术规范 锅炉》（HJ953-2018）中锅炉烟气污染防治可行技术，是利用在燃烧中已生成的NO遇到烃根和未完全燃烧产物CO、H</w:t>
            </w:r>
            <w:r>
              <w:rPr>
                <w:color w:val="000000"/>
                <w:sz w:val="24"/>
                <w:vertAlign w:val="subscript"/>
              </w:rPr>
              <w:t>2</w:t>
            </w:r>
            <w:r>
              <w:rPr>
                <w:rFonts w:hint="eastAsia"/>
                <w:color w:val="000000"/>
                <w:sz w:val="24"/>
              </w:rPr>
              <w:t>、</w:t>
            </w:r>
            <w:r>
              <w:rPr>
                <w:color w:val="000000"/>
                <w:sz w:val="24"/>
              </w:rPr>
              <w:t>C和C</w:t>
            </w:r>
            <w:r>
              <w:rPr>
                <w:color w:val="000000"/>
                <w:sz w:val="24"/>
                <w:vertAlign w:val="subscript"/>
              </w:rPr>
              <w:t>n</w:t>
            </w:r>
            <w:r>
              <w:rPr>
                <w:color w:val="000000"/>
                <w:sz w:val="24"/>
              </w:rPr>
              <w:t>H</w:t>
            </w:r>
            <w:r>
              <w:rPr>
                <w:color w:val="000000"/>
                <w:sz w:val="24"/>
                <w:vertAlign w:val="subscript"/>
              </w:rPr>
              <w:t>m</w:t>
            </w:r>
            <w:r>
              <w:rPr>
                <w:color w:val="000000"/>
                <w:sz w:val="24"/>
              </w:rPr>
              <w:t>时</w:t>
            </w:r>
            <w:r>
              <w:rPr>
                <w:rFonts w:hint="eastAsia"/>
                <w:color w:val="000000"/>
                <w:sz w:val="24"/>
              </w:rPr>
              <w:t>，</w:t>
            </w:r>
            <w:r>
              <w:rPr>
                <w:color w:val="000000"/>
                <w:sz w:val="24"/>
              </w:rPr>
              <w:t>会发生NO的还原反应的原理，将80%～85%的燃烧送入第一级燃烧区</w:t>
            </w:r>
            <w:r>
              <w:rPr>
                <w:rFonts w:hint="eastAsia"/>
                <w:color w:val="000000"/>
                <w:sz w:val="24"/>
              </w:rPr>
              <w:t>，</w:t>
            </w:r>
            <w:r>
              <w:rPr>
                <w:color w:val="000000"/>
                <w:sz w:val="24"/>
              </w:rPr>
              <w:t>在α&gt;1条件下，燃烧并生成NOx。送入一级燃料区的燃料称为一次燃料</w:t>
            </w:r>
            <w:r>
              <w:rPr>
                <w:rFonts w:hint="eastAsia"/>
                <w:color w:val="000000"/>
                <w:sz w:val="24"/>
              </w:rPr>
              <w:t>，</w:t>
            </w:r>
            <w:r>
              <w:rPr>
                <w:color w:val="000000"/>
                <w:sz w:val="24"/>
              </w:rPr>
              <w:t>其余15%～20%的燃料则在主燃烧器的上部送入二级燃烧区，在α&lt;1条件下形成很强的还原性气氛，使得在一级燃烧区中生成的NOx在二级燃烧区中被还原成N</w:t>
            </w:r>
            <w:r>
              <w:rPr>
                <w:color w:val="000000"/>
                <w:sz w:val="24"/>
                <w:vertAlign w:val="subscript"/>
              </w:rPr>
              <w:t>2</w:t>
            </w:r>
            <w:r>
              <w:rPr>
                <w:color w:val="000000"/>
                <w:sz w:val="24"/>
              </w:rPr>
              <w:t>，二级燃烧区又称再燃区，送入二级燃烧区中的燃料又称为二次燃料。在再燃区中不仅使得已生成的NOx得到还原，还抑制了新的NOx的生成</w:t>
            </w:r>
            <w:r>
              <w:rPr>
                <w:rFonts w:hint="eastAsia"/>
                <w:color w:val="000000"/>
                <w:sz w:val="24"/>
              </w:rPr>
              <w:t>，</w:t>
            </w:r>
            <w:r>
              <w:rPr>
                <w:color w:val="000000"/>
                <w:sz w:val="24"/>
              </w:rPr>
              <w:t>可使NOx的排放浓度进一步降低。</w:t>
            </w:r>
          </w:p>
          <w:p w14:paraId="38CAE8B2">
            <w:pPr>
              <w:widowControl/>
              <w:adjustRightInd w:val="0"/>
              <w:snapToGrid w:val="0"/>
              <w:spacing w:line="360" w:lineRule="auto"/>
              <w:ind w:firstLine="480" w:firstLineChars="200"/>
              <w:rPr>
                <w:color w:val="000000"/>
                <w:sz w:val="24"/>
              </w:rPr>
            </w:pPr>
            <w:r>
              <w:rPr>
                <w:rFonts w:hint="eastAsia"/>
                <w:color w:val="000000"/>
                <w:sz w:val="24"/>
              </w:rPr>
              <w:t>烟气循环技术是从空气预热器前抽取温度较低的烟气，通过再循环风机将抽取的烟气送入空气烟气混合器，和空气混合后一起送入炉内，这样不但可降低燃烧温度，而且也降低了氧气浓度，进而降低了NOx、SO</w:t>
            </w:r>
            <w:r>
              <w:rPr>
                <w:rFonts w:hint="eastAsia"/>
                <w:color w:val="000000"/>
                <w:sz w:val="24"/>
                <w:vertAlign w:val="subscript"/>
              </w:rPr>
              <w:t>2</w:t>
            </w:r>
            <w:r>
              <w:rPr>
                <w:rFonts w:hint="eastAsia"/>
                <w:color w:val="000000"/>
                <w:sz w:val="24"/>
              </w:rPr>
              <w:t>的排放浓度。经查阅相关资料，燃料低氮燃烧+烟气循环技术可有效减少80%以上的NOx产生。</w:t>
            </w:r>
          </w:p>
          <w:p w14:paraId="78DD479E">
            <w:pPr>
              <w:widowControl/>
              <w:adjustRightInd w:val="0"/>
              <w:snapToGrid w:val="0"/>
              <w:spacing w:line="360" w:lineRule="auto"/>
              <w:ind w:firstLine="480" w:firstLineChars="200"/>
              <w:rPr>
                <w:color w:val="000000"/>
                <w:sz w:val="24"/>
              </w:rPr>
            </w:pPr>
            <w:r>
              <w:rPr>
                <w:color w:val="000000"/>
                <w:sz w:val="24"/>
              </w:rPr>
              <w:t>项</w:t>
            </w:r>
            <w:r>
              <w:rPr>
                <w:rFonts w:hint="eastAsia"/>
                <w:color w:val="000000"/>
                <w:sz w:val="24"/>
                <w:lang w:val="en-US" w:eastAsia="zh-CN"/>
              </w:rPr>
              <w:t>目</w:t>
            </w:r>
            <w:r>
              <w:rPr>
                <w:rFonts w:hint="eastAsia"/>
                <w:color w:val="000000"/>
                <w:sz w:val="24"/>
                <w:highlight w:val="none"/>
                <w:lang w:val="en-US" w:eastAsia="zh-CN"/>
              </w:rPr>
              <w:t>8</w:t>
            </w:r>
            <w:r>
              <w:rPr>
                <w:color w:val="000000"/>
                <w:sz w:val="24"/>
                <w:highlight w:val="none"/>
              </w:rPr>
              <w:t>台</w:t>
            </w:r>
            <w:r>
              <w:rPr>
                <w:rFonts w:hint="eastAsia"/>
                <w:color w:val="000000"/>
                <w:sz w:val="24"/>
                <w:highlight w:val="none"/>
                <w:lang w:val="en-US" w:eastAsia="zh-CN"/>
              </w:rPr>
              <w:t>0.1</w:t>
            </w:r>
            <w:r>
              <w:rPr>
                <w:rFonts w:hint="eastAsia"/>
                <w:color w:val="000000"/>
                <w:sz w:val="24"/>
                <w:highlight w:val="none"/>
              </w:rPr>
              <w:t>t</w:t>
            </w:r>
            <w:r>
              <w:rPr>
                <w:color w:val="000000"/>
                <w:sz w:val="24"/>
                <w:highlight w:val="none"/>
              </w:rPr>
              <w:t>/h</w:t>
            </w:r>
            <w:r>
              <w:rPr>
                <w:rFonts w:hint="eastAsia"/>
                <w:color w:val="000000"/>
                <w:sz w:val="24"/>
                <w:highlight w:val="none"/>
                <w:lang w:eastAsia="zh-CN"/>
              </w:rPr>
              <w:t>、</w:t>
            </w:r>
            <w:r>
              <w:rPr>
                <w:rFonts w:hint="eastAsia"/>
                <w:color w:val="000000"/>
                <w:sz w:val="24"/>
                <w:highlight w:val="none"/>
                <w:lang w:val="en-US" w:eastAsia="zh-CN"/>
              </w:rPr>
              <w:t>6台0.15t/h以及1台0.2t/h蒸汽发生器</w:t>
            </w:r>
            <w:r>
              <w:rPr>
                <w:color w:val="000000"/>
                <w:sz w:val="24"/>
              </w:rPr>
              <w:t>废气经低氮燃烧+烟气循环</w:t>
            </w:r>
            <w:r>
              <w:rPr>
                <w:rFonts w:hint="eastAsia"/>
                <w:color w:val="000000"/>
                <w:sz w:val="24"/>
              </w:rPr>
              <w:t>系统</w:t>
            </w:r>
            <w:r>
              <w:rPr>
                <w:color w:val="000000"/>
                <w:sz w:val="24"/>
              </w:rPr>
              <w:t>处理后</w:t>
            </w:r>
            <w:r>
              <w:rPr>
                <w:color w:val="000000" w:themeColor="text1"/>
                <w:sz w:val="24"/>
                <w:lang w:bidi="ar"/>
                <w14:textFill>
                  <w14:solidFill>
                    <w14:schemeClr w14:val="tx1"/>
                  </w14:solidFill>
                </w14:textFill>
              </w:rPr>
              <w:t>颗粒物</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浓度为</w:t>
            </w:r>
            <w:r>
              <w:rPr>
                <w:rFonts w:hint="eastAsia"/>
                <w:color w:val="000000" w:themeColor="text1"/>
                <w:sz w:val="24"/>
                <w:lang w:val="en-US" w:eastAsia="zh-CN" w:bidi="ar"/>
                <w14:textFill>
                  <w14:solidFill>
                    <w14:schemeClr w14:val="tx1"/>
                  </w14:solidFill>
                </w14:textFill>
              </w:rPr>
              <w:t>4.640</w:t>
            </w:r>
            <w:r>
              <w:rPr>
                <w:color w:val="000000" w:themeColor="text1"/>
                <w:sz w:val="24"/>
                <w:lang w:bidi="ar"/>
                <w14:textFill>
                  <w14:solidFill>
                    <w14:schemeClr w14:val="tx1"/>
                  </w14:solidFill>
                </w14:textFill>
              </w:rPr>
              <w:t>mg/m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，二氧化硫</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浓度为3.</w:t>
            </w:r>
            <w:r>
              <w:rPr>
                <w:rFonts w:hint="eastAsia"/>
                <w:color w:val="000000" w:themeColor="text1"/>
                <w:sz w:val="24"/>
                <w:lang w:val="en-US" w:eastAsia="zh-CN" w:bidi="ar"/>
                <w14:textFill>
                  <w14:solidFill>
                    <w14:schemeClr w14:val="tx1"/>
                  </w14:solidFill>
                </w14:textFill>
              </w:rPr>
              <w:t>712</w:t>
            </w:r>
            <w:r>
              <w:rPr>
                <w:color w:val="000000" w:themeColor="text1"/>
                <w:sz w:val="24"/>
                <w:lang w:bidi="ar"/>
                <w14:textFill>
                  <w14:solidFill>
                    <w14:schemeClr w14:val="tx1"/>
                  </w14:solidFill>
                </w14:textFill>
              </w:rPr>
              <w:t>mg/m</w:t>
            </w:r>
            <w:r>
              <w:rPr>
                <w:color w:val="000000" w:themeColor="text1"/>
                <w:sz w:val="24"/>
                <w:vertAlign w:val="superscript"/>
                <w:lang w:bidi="ar"/>
                <w14:textFill>
                  <w14:solidFill>
                    <w14:schemeClr w14:val="tx1"/>
                  </w14:solidFill>
                </w14:textFill>
              </w:rPr>
              <w:t>3</w:t>
            </w:r>
            <w:r>
              <w:rPr>
                <w:color w:val="000000" w:themeColor="text1"/>
                <w:sz w:val="24"/>
                <w:lang w:bidi="ar"/>
                <w14:textFill>
                  <w14:solidFill>
                    <w14:schemeClr w14:val="tx1"/>
                  </w14:solidFill>
                </w14:textFill>
              </w:rPr>
              <w:t>，氮氧化物</w:t>
            </w:r>
            <w:r>
              <w:rPr>
                <w:rFonts w:hint="eastAsia"/>
                <w:color w:val="000000" w:themeColor="text1"/>
                <w:sz w:val="24"/>
                <w:lang w:val="en-US" w:eastAsia="zh-CN" w:bidi="ar"/>
                <w14:textFill>
                  <w14:solidFill>
                    <w14:schemeClr w14:val="tx1"/>
                  </w14:solidFill>
                </w14:textFill>
              </w:rPr>
              <w:t>排放</w:t>
            </w:r>
            <w:r>
              <w:rPr>
                <w:color w:val="000000" w:themeColor="text1"/>
                <w:sz w:val="24"/>
                <w:lang w:bidi="ar"/>
                <w14:textFill>
                  <w14:solidFill>
                    <w14:schemeClr w14:val="tx1"/>
                  </w14:solidFill>
                </w14:textFill>
              </w:rPr>
              <w:t>浓度为</w:t>
            </w:r>
            <w:r>
              <w:rPr>
                <w:rFonts w:hint="eastAsia"/>
                <w:color w:val="000000" w:themeColor="text1"/>
                <w:sz w:val="24"/>
                <w:lang w:val="en-US" w:eastAsia="zh-CN" w:bidi="ar"/>
                <w14:textFill>
                  <w14:solidFill>
                    <w14:schemeClr w14:val="tx1"/>
                  </w14:solidFill>
                </w14:textFill>
              </w:rPr>
              <w:t>28.120</w:t>
            </w:r>
            <w:r>
              <w:rPr>
                <w:color w:val="000000" w:themeColor="text1"/>
                <w:sz w:val="24"/>
                <w:lang w:bidi="ar"/>
                <w14:textFill>
                  <w14:solidFill>
                    <w14:schemeClr w14:val="tx1"/>
                  </w14:solidFill>
                </w14:textFill>
              </w:rPr>
              <w:t>mg/m</w:t>
            </w:r>
            <w:r>
              <w:rPr>
                <w:color w:val="000000" w:themeColor="text1"/>
                <w:sz w:val="24"/>
                <w:vertAlign w:val="superscript"/>
                <w:lang w:bidi="ar"/>
                <w14:textFill>
                  <w14:solidFill>
                    <w14:schemeClr w14:val="tx1"/>
                  </w14:solidFill>
                </w14:textFill>
              </w:rPr>
              <w:t>3</w:t>
            </w:r>
            <w:r>
              <w:rPr>
                <w:rFonts w:hint="eastAsia"/>
                <w:color w:val="000000"/>
                <w:sz w:val="24"/>
              </w:rPr>
              <w:t>，可以满足《河南省地方标准 锅炉大气污染物排放标准》（DB41/2089-2021）表1中新建燃气锅炉标准及《河南省重污染天气通用行业应急减排措施制定技术指南》（2024年修订版）涉锅炉/炉窑企业绩效A级燃气锅炉排放限值要求，废气处理措施可行。</w:t>
            </w:r>
          </w:p>
          <w:p w14:paraId="26F4350C">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i w:val="0"/>
                <w:iCs w:val="0"/>
                <w:color w:val="auto"/>
                <w:sz w:val="24"/>
                <w:szCs w:val="24"/>
                <w:u w:val="none" w:color="auto"/>
              </w:rPr>
            </w:pPr>
            <w:r>
              <w:rPr>
                <w:rFonts w:hint="default" w:ascii="Times New Roman" w:hAnsi="Times New Roman" w:eastAsia="宋体" w:cs="Times New Roman"/>
                <w:i w:val="0"/>
                <w:iCs w:val="0"/>
                <w:color w:val="auto"/>
                <w:sz w:val="24"/>
                <w:szCs w:val="24"/>
                <w:u w:val="none" w:color="auto"/>
              </w:rPr>
              <w:t>（</w:t>
            </w:r>
            <w:r>
              <w:rPr>
                <w:rFonts w:hint="eastAsia" w:cs="Times New Roman"/>
                <w:i w:val="0"/>
                <w:iCs w:val="0"/>
                <w:color w:val="auto"/>
                <w:sz w:val="24"/>
                <w:szCs w:val="24"/>
                <w:u w:val="none" w:color="auto"/>
                <w:lang w:val="en-US" w:eastAsia="zh-CN"/>
              </w:rPr>
              <w:t>3</w:t>
            </w:r>
            <w:r>
              <w:rPr>
                <w:rFonts w:hint="default" w:ascii="Times New Roman" w:hAnsi="Times New Roman" w:eastAsia="宋体" w:cs="Times New Roman"/>
                <w:i w:val="0"/>
                <w:iCs w:val="0"/>
                <w:color w:val="auto"/>
                <w:sz w:val="24"/>
                <w:szCs w:val="24"/>
                <w:u w:val="none" w:color="auto"/>
              </w:rPr>
              <w:t>）无组织</w:t>
            </w:r>
            <w:r>
              <w:rPr>
                <w:rFonts w:hint="eastAsia" w:cs="Times New Roman"/>
                <w:i w:val="0"/>
                <w:iCs w:val="0"/>
                <w:color w:val="auto"/>
                <w:sz w:val="24"/>
                <w:szCs w:val="24"/>
                <w:u w:val="none" w:color="auto"/>
                <w:lang w:val="en-US" w:eastAsia="zh-CN"/>
              </w:rPr>
              <w:t>废气</w:t>
            </w:r>
            <w:r>
              <w:rPr>
                <w:rFonts w:hint="default" w:ascii="Times New Roman" w:hAnsi="Times New Roman" w:eastAsia="宋体" w:cs="Times New Roman"/>
                <w:i w:val="0"/>
                <w:iCs w:val="0"/>
                <w:color w:val="auto"/>
                <w:sz w:val="24"/>
                <w:szCs w:val="24"/>
                <w:u w:val="none" w:color="auto"/>
              </w:rPr>
              <w:t>治理措施分析</w:t>
            </w:r>
          </w:p>
          <w:p w14:paraId="070BA98B">
            <w:pPr>
              <w:keepNext w:val="0"/>
              <w:keepLines w:val="0"/>
              <w:pageBreakBefore w:val="0"/>
              <w:widowControl/>
              <w:kinsoku/>
              <w:wordWrap/>
              <w:overflowPunct/>
              <w:topLinePunct w:val="0"/>
              <w:autoSpaceDE w:val="0"/>
              <w:autoSpaceDN w:val="0"/>
              <w:bidi w:val="0"/>
              <w:snapToGrid w:val="0"/>
              <w:spacing w:line="360" w:lineRule="auto"/>
              <w:ind w:left="0" w:leftChars="0" w:firstLine="480" w:firstLineChars="200"/>
              <w:textAlignment w:val="auto"/>
              <w:rPr>
                <w:i w:val="0"/>
                <w:iCs w:val="0"/>
                <w:color w:val="auto"/>
                <w:sz w:val="24"/>
                <w:szCs w:val="24"/>
                <w:u w:val="none" w:color="auto"/>
              </w:rPr>
            </w:pPr>
            <w:r>
              <w:rPr>
                <w:i w:val="0"/>
                <w:iCs w:val="0"/>
                <w:color w:val="auto"/>
                <w:sz w:val="24"/>
                <w:szCs w:val="24"/>
                <w:u w:val="none" w:color="auto"/>
              </w:rPr>
              <w:t>根据</w:t>
            </w:r>
            <w:r>
              <w:rPr>
                <w:rStyle w:val="24"/>
                <w:i w:val="0"/>
                <w:iCs w:val="0"/>
                <w:color w:val="auto"/>
                <w:sz w:val="24"/>
                <w:u w:val="none" w:color="auto"/>
              </w:rPr>
              <w:t>绩效分级要求</w:t>
            </w:r>
            <w:r>
              <w:rPr>
                <w:rFonts w:hint="eastAsia"/>
                <w:i w:val="0"/>
                <w:iCs w:val="0"/>
                <w:color w:val="auto"/>
                <w:sz w:val="24"/>
                <w:u w:val="none" w:color="auto"/>
              </w:rPr>
              <w:t>中有关要求，</w:t>
            </w:r>
            <w:r>
              <w:rPr>
                <w:i w:val="0"/>
                <w:iCs w:val="0"/>
                <w:color w:val="auto"/>
                <w:sz w:val="24"/>
                <w:szCs w:val="24"/>
                <w:u w:val="none" w:color="auto"/>
              </w:rPr>
              <w:t>评价要求对项目无组织废气应采取以下措施：</w:t>
            </w:r>
          </w:p>
          <w:p w14:paraId="78055AC1">
            <w:pPr>
              <w:widowControl/>
              <w:autoSpaceDE w:val="0"/>
              <w:autoSpaceDN w:val="0"/>
              <w:snapToGrid w:val="0"/>
              <w:spacing w:line="360" w:lineRule="auto"/>
              <w:ind w:firstLine="480" w:firstLineChars="200"/>
              <w:rPr>
                <w:i w:val="0"/>
                <w:iCs w:val="0"/>
                <w:color w:val="auto"/>
                <w:sz w:val="24"/>
                <w:szCs w:val="24"/>
                <w:u w:val="none" w:color="auto"/>
              </w:rPr>
            </w:pPr>
            <w:r>
              <w:rPr>
                <w:i w:val="0"/>
                <w:iCs w:val="0"/>
                <w:color w:val="auto"/>
                <w:sz w:val="24"/>
                <w:szCs w:val="24"/>
                <w:u w:val="none" w:color="auto"/>
              </w:rPr>
              <w:t>①</w:t>
            </w:r>
            <w:r>
              <w:rPr>
                <w:rFonts w:hint="eastAsia"/>
                <w:i w:val="0"/>
                <w:iCs w:val="0"/>
                <w:color w:val="auto"/>
                <w:sz w:val="24"/>
                <w:u w:val="none" w:color="auto"/>
              </w:rPr>
              <w:t>项目生产车间设全封闭结构，四面密闭；车间通道口安装封闭性良好且便于开关的卷帘门，生产过程将门关闭，以减少无组织废气的排放；</w:t>
            </w:r>
          </w:p>
          <w:p w14:paraId="7ACB23A2">
            <w:pPr>
              <w:widowControl/>
              <w:snapToGrid w:val="0"/>
              <w:spacing w:line="360" w:lineRule="auto"/>
              <w:ind w:firstLine="480" w:firstLineChars="200"/>
              <w:rPr>
                <w:i w:val="0"/>
                <w:iCs w:val="0"/>
                <w:color w:val="auto"/>
                <w:sz w:val="24"/>
                <w:szCs w:val="24"/>
                <w:u w:val="none" w:color="auto"/>
              </w:rPr>
            </w:pPr>
            <w:r>
              <w:rPr>
                <w:rFonts w:hint="eastAsia"/>
                <w:color w:val="000000" w:themeColor="text1"/>
                <w:kern w:val="52"/>
                <w:sz w:val="24"/>
                <w14:textFill>
                  <w14:solidFill>
                    <w14:schemeClr w14:val="tx1"/>
                  </w14:solidFill>
                </w14:textFill>
              </w:rPr>
              <w:t>②污水处理站产生的恶臭：</w:t>
            </w:r>
            <w:r>
              <w:rPr>
                <w:rFonts w:hint="eastAsia" w:ascii="宋体" w:hAnsi="宋体" w:cs="宋体"/>
                <w:color w:val="000000" w:themeColor="text1"/>
                <w:kern w:val="0"/>
                <w:sz w:val="24"/>
                <w:lang w:bidi="ar"/>
                <w14:textFill>
                  <w14:solidFill>
                    <w14:schemeClr w14:val="tx1"/>
                  </w14:solidFill>
                </w14:textFill>
              </w:rPr>
              <w:t>为减少污水站恶臭对周边影响，应将污水处理站加盖密闭，加强污水处理站的运行操作管理，使污水处理站处理良好的运作状态，且严格控制污泥在厂区的存放时间，及时清运，并加大厂区绿化面积、定期喷洒除臭剂等，来降低污水处理站产生的恶臭影响。</w:t>
            </w:r>
          </w:p>
          <w:p w14:paraId="4CD4336F">
            <w:pPr>
              <w:keepNext w:val="0"/>
              <w:keepLines w:val="0"/>
              <w:pageBreakBefore w:val="0"/>
              <w:widowControl/>
              <w:kinsoku/>
              <w:wordWrap/>
              <w:overflowPunct/>
              <w:topLinePunct w:val="0"/>
              <w:bidi w:val="0"/>
              <w:snapToGrid w:val="0"/>
              <w:spacing w:line="360" w:lineRule="auto"/>
              <w:ind w:left="0" w:leftChars="0" w:firstLine="480" w:firstLineChars="200"/>
              <w:textAlignment w:val="auto"/>
              <w:rPr>
                <w:i w:val="0"/>
                <w:iCs w:val="0"/>
                <w:color w:val="auto"/>
                <w:sz w:val="24"/>
                <w:szCs w:val="24"/>
                <w:u w:val="none" w:color="auto"/>
              </w:rPr>
            </w:pPr>
            <w:r>
              <w:rPr>
                <w:i w:val="0"/>
                <w:iCs w:val="0"/>
                <w:color w:val="auto"/>
                <w:sz w:val="24"/>
                <w:szCs w:val="24"/>
                <w:u w:val="none" w:color="auto"/>
              </w:rPr>
              <w:t>经采取以上措施后，本项目无组织废气排放量可得到有效控制，预计对周围敏感点及大气环境影响不大。</w:t>
            </w:r>
          </w:p>
          <w:p w14:paraId="6686B16B">
            <w:pPr>
              <w:widowControl/>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1.7</w:t>
            </w:r>
            <w:r>
              <w:rPr>
                <w:color w:val="000000" w:themeColor="text1"/>
                <w:sz w:val="24"/>
                <w14:textFill>
                  <w14:solidFill>
                    <w14:schemeClr w14:val="tx1"/>
                  </w14:solidFill>
                </w14:textFill>
              </w:rPr>
              <w:t>环境影响分析</w:t>
            </w:r>
          </w:p>
          <w:p w14:paraId="26386D72">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综上所述，项目采取本环评提出的大气污染防治措施后，营运期废气均能实现达标排放，对周围大气环境影响较小。但应注意非正常工况情况，采取必要措施，最大程度上减少污染物排放。</w:t>
            </w:r>
          </w:p>
          <w:p w14:paraId="20388965">
            <w:pPr>
              <w:pStyle w:val="37"/>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jc w:val="both"/>
              <w:textAlignment w:val="auto"/>
              <w:rPr>
                <w:rFonts w:hint="default" w:ascii="Times New Roman" w:hAnsi="Times New Roman" w:eastAsia="宋体" w:cs="Times New Roman"/>
                <w:b/>
                <w:color w:val="000000" w:themeColor="text1"/>
                <w:kern w:val="0"/>
                <w:sz w:val="24"/>
                <w:szCs w:val="24"/>
                <w:u w:val="none"/>
                <w14:textFill>
                  <w14:solidFill>
                    <w14:schemeClr w14:val="tx1"/>
                  </w14:solidFill>
                </w14:textFill>
              </w:rPr>
            </w:pPr>
            <w:r>
              <w:rPr>
                <w:rFonts w:hint="default" w:ascii="Times New Roman" w:hAnsi="Times New Roman" w:eastAsia="宋体" w:cs="Times New Roman"/>
                <w:b/>
                <w:color w:val="000000" w:themeColor="text1"/>
                <w:kern w:val="0"/>
                <w:sz w:val="24"/>
                <w:szCs w:val="24"/>
                <w:u w:val="none"/>
                <w14:textFill>
                  <w14:solidFill>
                    <w14:schemeClr w14:val="tx1"/>
                  </w14:solidFill>
                </w14:textFill>
              </w:rPr>
              <w:t>2、废水</w:t>
            </w:r>
          </w:p>
          <w:p w14:paraId="4827D66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000000" w:themeColor="text1"/>
                <w:kern w:val="0"/>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14:textFill>
                  <w14:solidFill>
                    <w14:schemeClr w14:val="tx1"/>
                  </w14:solidFill>
                </w14:textFill>
              </w:rPr>
              <w:t>2.1废水源强及源强核算分析</w:t>
            </w:r>
          </w:p>
          <w:p w14:paraId="75F7F06A">
            <w:pPr>
              <w:widowControl/>
              <w:adjustRightInd w:val="0"/>
              <w:snapToGrid w:val="0"/>
              <w:spacing w:line="360" w:lineRule="auto"/>
              <w:ind w:firstLine="480" w:firstLineChars="200"/>
              <w:rPr>
                <w:color w:val="000000"/>
                <w:sz w:val="24"/>
              </w:rPr>
            </w:pPr>
            <w:r>
              <w:rPr>
                <w:rFonts w:hint="default" w:ascii="Times New Roman" w:hAnsi="Times New Roman" w:eastAsia="宋体" w:cs="Times New Roman"/>
                <w:color w:val="000000" w:themeColor="text1"/>
                <w:sz w:val="24"/>
                <w:szCs w:val="24"/>
                <w:u w:val="none"/>
                <w14:textFill>
                  <w14:solidFill>
                    <w14:schemeClr w14:val="tx1"/>
                  </w14:solidFill>
                </w14:textFill>
              </w:rPr>
              <w:t>本项目营运期废水主要为</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职工生活污水</w:t>
            </w:r>
            <w:r>
              <w:rPr>
                <w:rFonts w:hint="default" w:ascii="Times New Roman" w:hAnsi="Times New Roman" w:eastAsia="宋体" w:cs="Times New Roman"/>
                <w:color w:val="000000" w:themeColor="text1"/>
                <w:sz w:val="24"/>
                <w:szCs w:val="24"/>
                <w:highlight w:val="none"/>
                <w:u w:val="none"/>
                <w:lang w:eastAsia="zh-CN"/>
                <w14:textFill>
                  <w14:solidFill>
                    <w14:schemeClr w14:val="tx1"/>
                  </w14:solidFill>
                </w14:textFill>
              </w:rPr>
              <w:t>、</w:t>
            </w:r>
            <w:r>
              <w:rPr>
                <w:rFonts w:hint="eastAsia"/>
                <w:b w:val="0"/>
                <w:bCs/>
                <w:sz w:val="24"/>
                <w:szCs w:val="24"/>
                <w:lang w:eastAsia="zh-CN"/>
              </w:rPr>
              <w:t>肉类解冻清洗</w:t>
            </w:r>
            <w:r>
              <w:rPr>
                <w:rFonts w:hint="eastAsia" w:ascii="Times New Roman" w:hAnsi="Times New Roman" w:eastAsia="宋体" w:cs="Times New Roman"/>
                <w:color w:val="auto"/>
                <w:sz w:val="24"/>
                <w:szCs w:val="24"/>
                <w:u w:val="none"/>
                <w:lang w:val="en-US" w:eastAsia="zh-CN"/>
              </w:rPr>
              <w:t>废水</w:t>
            </w:r>
            <w:r>
              <w:rPr>
                <w:rFonts w:hint="eastAsia" w:ascii="Times New Roman" w:hAnsi="Times New Roman" w:cs="Times New Roman"/>
                <w:color w:val="auto"/>
                <w:sz w:val="24"/>
                <w:szCs w:val="24"/>
                <w:u w:val="none"/>
                <w:lang w:val="en-US" w:eastAsia="zh-CN"/>
              </w:rPr>
              <w:t>、</w:t>
            </w:r>
            <w:r>
              <w:rPr>
                <w:rFonts w:hint="eastAsia"/>
                <w:b w:val="0"/>
                <w:bCs/>
                <w:sz w:val="24"/>
                <w:szCs w:val="24"/>
                <w:lang w:val="en-US" w:eastAsia="zh-CN"/>
              </w:rPr>
              <w:t>蔬菜清洗</w:t>
            </w:r>
            <w:r>
              <w:rPr>
                <w:rFonts w:hint="eastAsia" w:ascii="Times New Roman" w:hAnsi="Times New Roman" w:eastAsia="宋体" w:cs="Times New Roman"/>
                <w:color w:val="auto"/>
                <w:sz w:val="24"/>
                <w:szCs w:val="24"/>
                <w:u w:val="none"/>
                <w:lang w:val="en-US" w:eastAsia="zh-CN"/>
              </w:rPr>
              <w:t>废水</w:t>
            </w:r>
            <w:r>
              <w:rPr>
                <w:rFonts w:hint="eastAsia" w:eastAsia="宋体"/>
                <w:sz w:val="24"/>
                <w:szCs w:val="24"/>
                <w:highlight w:val="none"/>
                <w:lang w:val="en-US" w:eastAsia="zh-CN"/>
              </w:rPr>
              <w:t>、</w:t>
            </w:r>
            <w:r>
              <w:rPr>
                <w:rFonts w:hint="eastAsia" w:ascii="Times New Roman" w:hAnsi="Times New Roman"/>
                <w:color w:val="000000" w:themeColor="text1"/>
                <w:sz w:val="24"/>
                <w:szCs w:val="24"/>
                <w:lang w:val="en-US" w:eastAsia="zh-CN"/>
                <w14:textFill>
                  <w14:solidFill>
                    <w14:schemeClr w14:val="tx1"/>
                  </w14:solidFill>
                </w14:textFill>
              </w:rPr>
              <w:t>洗米</w:t>
            </w:r>
            <w:r>
              <w:rPr>
                <w:rFonts w:hint="eastAsia" w:ascii="Times New Roman" w:hAnsi="Times New Roman" w:eastAsia="宋体" w:cs="Times New Roman"/>
                <w:color w:val="auto"/>
                <w:sz w:val="24"/>
                <w:szCs w:val="24"/>
                <w:u w:val="none"/>
                <w:lang w:val="en-US" w:eastAsia="zh-CN"/>
              </w:rPr>
              <w:t>废水</w:t>
            </w:r>
            <w:r>
              <w:rPr>
                <w:rFonts w:hint="eastAsia" w:ascii="Times New Roman" w:hAnsi="Times New Roman" w:cs="Times New Roman"/>
                <w:color w:val="auto"/>
                <w:sz w:val="24"/>
                <w:szCs w:val="24"/>
                <w:u w:val="none"/>
                <w:lang w:val="en-US" w:eastAsia="zh-CN"/>
              </w:rPr>
              <w:t>、</w:t>
            </w:r>
            <w:r>
              <w:rPr>
                <w:rFonts w:hint="eastAsia"/>
                <w:sz w:val="24"/>
                <w:szCs w:val="24"/>
                <w:lang w:val="en-US" w:eastAsia="zh-CN"/>
              </w:rPr>
              <w:t>设备清洗废</w:t>
            </w:r>
            <w:r>
              <w:rPr>
                <w:rFonts w:hint="eastAsia" w:hAnsi="宋体"/>
                <w:color w:val="000000"/>
                <w:sz w:val="24"/>
              </w:rPr>
              <w:t>水</w:t>
            </w:r>
            <w:r>
              <w:rPr>
                <w:rFonts w:hint="eastAsia" w:hAnsi="宋体"/>
                <w:color w:val="000000"/>
                <w:sz w:val="24"/>
                <w:lang w:eastAsia="zh-CN"/>
              </w:rPr>
              <w:t>、</w:t>
            </w:r>
            <w:r>
              <w:rPr>
                <w:rFonts w:hint="eastAsia"/>
                <w:sz w:val="24"/>
                <w:szCs w:val="24"/>
                <w:lang w:eastAsia="zh-CN"/>
              </w:rPr>
              <w:t>餐具回收清洗</w:t>
            </w:r>
            <w:r>
              <w:rPr>
                <w:rFonts w:hint="eastAsia"/>
                <w:color w:val="000000" w:themeColor="text1"/>
                <w:kern w:val="0"/>
                <w:sz w:val="24"/>
                <w:lang w:val="en-US" w:eastAsia="zh-CN" w:bidi="ar"/>
                <w14:textFill>
                  <w14:solidFill>
                    <w14:schemeClr w14:val="tx1"/>
                  </w14:solidFill>
                </w14:textFill>
              </w:rPr>
              <w:t>废</w:t>
            </w:r>
            <w:r>
              <w:rPr>
                <w:rFonts w:hint="eastAsia"/>
                <w:color w:val="000000" w:themeColor="text1"/>
                <w:kern w:val="0"/>
                <w:sz w:val="24"/>
                <w:lang w:bidi="ar"/>
                <w14:textFill>
                  <w14:solidFill>
                    <w14:schemeClr w14:val="tx1"/>
                  </w14:solidFill>
                </w14:textFill>
              </w:rPr>
              <w:t>水</w:t>
            </w:r>
            <w:r>
              <w:rPr>
                <w:rFonts w:hint="eastAsia"/>
                <w:color w:val="000000" w:themeColor="text1"/>
                <w:kern w:val="0"/>
                <w:sz w:val="24"/>
                <w:lang w:eastAsia="zh-CN" w:bidi="ar"/>
                <w14:textFill>
                  <w14:solidFill>
                    <w14:schemeClr w14:val="tx1"/>
                  </w14:solidFill>
                </w14:textFill>
              </w:rPr>
              <w:t>、</w:t>
            </w:r>
            <w:r>
              <w:rPr>
                <w:rFonts w:hint="eastAsia" w:hAnsi="宋体"/>
                <w:color w:val="000000"/>
                <w:sz w:val="24"/>
                <w:lang w:val="en-US" w:eastAsia="zh-CN"/>
              </w:rPr>
              <w:t>蒸汽发生器</w:t>
            </w:r>
            <w:r>
              <w:rPr>
                <w:rFonts w:hint="eastAsia" w:hAnsi="宋体"/>
                <w:color w:val="000000"/>
                <w:sz w:val="24"/>
              </w:rPr>
              <w:t>排污水</w:t>
            </w:r>
            <w:r>
              <w:rPr>
                <w:rFonts w:hint="eastAsia" w:hAnsi="宋体"/>
                <w:color w:val="000000"/>
                <w:sz w:val="24"/>
                <w:lang w:eastAsia="zh-CN"/>
              </w:rPr>
              <w:t>、</w:t>
            </w:r>
            <w:r>
              <w:rPr>
                <w:rFonts w:hint="eastAsia" w:hAnsi="宋体"/>
                <w:color w:val="000000"/>
                <w:sz w:val="24"/>
                <w:lang w:val="en-US" w:eastAsia="zh-CN"/>
              </w:rPr>
              <w:t>纯</w:t>
            </w:r>
            <w:r>
              <w:rPr>
                <w:rFonts w:hint="eastAsia" w:hAnsi="宋体"/>
                <w:color w:val="000000"/>
                <w:sz w:val="24"/>
              </w:rPr>
              <w:t>水制备</w:t>
            </w:r>
            <w:r>
              <w:rPr>
                <w:rFonts w:hint="eastAsia" w:hAnsi="宋体"/>
                <w:color w:val="000000"/>
                <w:sz w:val="24"/>
                <w:lang w:val="en-US" w:eastAsia="zh-CN"/>
              </w:rPr>
              <w:t>浓</w:t>
            </w:r>
            <w:r>
              <w:rPr>
                <w:rFonts w:hint="eastAsia" w:hAnsi="宋体"/>
                <w:color w:val="000000"/>
                <w:sz w:val="24"/>
              </w:rPr>
              <w:t>水</w:t>
            </w:r>
            <w:r>
              <w:rPr>
                <w:rFonts w:hint="eastAsia" w:hAnsi="宋体"/>
                <w:color w:val="000000"/>
                <w:sz w:val="24"/>
                <w:lang w:val="en-US" w:eastAsia="zh-CN"/>
              </w:rPr>
              <w:t>以及</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w:t>
            </w:r>
            <w:commentRangeStart w:id="87"/>
            <w:r>
              <w:rPr>
                <w:rFonts w:hint="eastAsia"/>
                <w:color w:val="000000" w:themeColor="text1"/>
                <w:kern w:val="0"/>
                <w:sz w:val="24"/>
                <w:lang w:bidi="ar"/>
                <w14:textFill>
                  <w14:solidFill>
                    <w14:schemeClr w14:val="tx1"/>
                  </w14:solidFill>
                </w14:textFill>
              </w:rPr>
              <w:t>室</w:t>
            </w:r>
            <w:r>
              <w:rPr>
                <w:rFonts w:hint="eastAsia" w:eastAsia="宋体"/>
                <w:sz w:val="24"/>
                <w:szCs w:val="24"/>
                <w:highlight w:val="none"/>
                <w:lang w:val="en-US" w:eastAsia="zh-CN"/>
              </w:rPr>
              <w:t>废水</w:t>
            </w:r>
            <w:r>
              <w:rPr>
                <w:rFonts w:hint="default" w:ascii="Times New Roman" w:hAnsi="Times New Roman" w:eastAsia="宋体" w:cs="Times New Roman"/>
                <w:color w:val="000000" w:themeColor="text1"/>
                <w:sz w:val="24"/>
                <w:szCs w:val="24"/>
                <w:u w:val="none"/>
                <w14:textFill>
                  <w14:solidFill>
                    <w14:schemeClr w14:val="tx1"/>
                  </w14:solidFill>
                </w14:textFill>
              </w:rPr>
              <w:t>。</w:t>
            </w:r>
            <w:commentRangeEnd w:id="87"/>
            <w:r>
              <w:commentReference w:id="87"/>
            </w:r>
          </w:p>
          <w:p w14:paraId="4550C9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（1）</w:t>
            </w:r>
            <w:r>
              <w:rPr>
                <w:rFonts w:hint="default" w:ascii="Times New Roman" w:hAnsi="Times New Roman" w:eastAsia="宋体" w:cs="Times New Roman"/>
                <w:bCs/>
                <w:color w:val="auto"/>
                <w:sz w:val="24"/>
                <w:szCs w:val="24"/>
                <w:u w:val="none"/>
              </w:rPr>
              <w:t>职工生活</w:t>
            </w:r>
            <w:r>
              <w:rPr>
                <w:rFonts w:hint="eastAsia" w:ascii="Times New Roman" w:hAnsi="Times New Roman" w:eastAsia="宋体" w:cs="Times New Roman"/>
                <w:bCs/>
                <w:color w:val="auto"/>
                <w:sz w:val="24"/>
                <w:szCs w:val="24"/>
                <w:u w:val="none"/>
                <w:lang w:val="en-US" w:eastAsia="zh-CN"/>
              </w:rPr>
              <w:t>污</w:t>
            </w:r>
            <w:r>
              <w:rPr>
                <w:rFonts w:hint="default" w:ascii="Times New Roman" w:hAnsi="Times New Roman" w:eastAsia="宋体" w:cs="Times New Roman"/>
                <w:bCs/>
                <w:color w:val="auto"/>
                <w:sz w:val="24"/>
                <w:szCs w:val="24"/>
                <w:u w:val="none"/>
              </w:rPr>
              <w:t>水</w:t>
            </w:r>
          </w:p>
          <w:p w14:paraId="3B964B8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项目劳动定员为</w:t>
            </w:r>
            <w:r>
              <w:rPr>
                <w:rFonts w:hint="eastAsia" w:cs="Times New Roman"/>
                <w:bCs/>
                <w:color w:val="000000" w:themeColor="text1"/>
                <w:sz w:val="24"/>
                <w:szCs w:val="24"/>
                <w:u w:val="none"/>
                <w:lang w:val="en-US" w:eastAsia="zh-CN"/>
                <w14:textFill>
                  <w14:solidFill>
                    <w14:schemeClr w14:val="tx1"/>
                  </w14:solidFill>
                </w14:textFill>
              </w:rPr>
              <w:t>150</w:t>
            </w:r>
            <w:r>
              <w:rPr>
                <w:rFonts w:hint="default" w:ascii="Times New Roman" w:hAnsi="Times New Roman" w:eastAsia="宋体" w:cs="Times New Roman"/>
                <w:bCs/>
                <w:color w:val="auto"/>
                <w:sz w:val="24"/>
                <w:szCs w:val="24"/>
                <w:u w:val="none"/>
              </w:rPr>
              <w:t>人，不在厂区</w:t>
            </w:r>
            <w:r>
              <w:rPr>
                <w:rFonts w:hint="eastAsia" w:cs="Times New Roman"/>
                <w:bCs/>
                <w:color w:val="auto"/>
                <w:sz w:val="24"/>
                <w:szCs w:val="24"/>
                <w:u w:val="none"/>
                <w:lang w:val="en-US" w:eastAsia="zh-CN"/>
              </w:rPr>
              <w:t>食</w:t>
            </w:r>
            <w:r>
              <w:rPr>
                <w:rFonts w:hint="default" w:ascii="Times New Roman" w:hAnsi="Times New Roman" w:eastAsia="宋体" w:cs="Times New Roman"/>
                <w:bCs/>
                <w:color w:val="auto"/>
                <w:sz w:val="24"/>
                <w:szCs w:val="24"/>
                <w:u w:val="none"/>
              </w:rPr>
              <w:t>宿，根据河南省地方标准《工业及城镇生活用水定额》（DB41/T385-2020），</w:t>
            </w:r>
            <w:r>
              <w:rPr>
                <w:rFonts w:hint="default" w:ascii="Times New Roman" w:hAnsi="Times New Roman" w:eastAsia="宋体" w:cs="Times New Roman"/>
                <w:color w:val="auto"/>
                <w:kern w:val="0"/>
                <w:sz w:val="24"/>
                <w:szCs w:val="24"/>
                <w:u w:val="none"/>
              </w:rPr>
              <w:t>职工生活用水量取</w:t>
            </w:r>
            <w:r>
              <w:rPr>
                <w:rFonts w:hint="eastAsia" w:cs="Times New Roman"/>
                <w:color w:val="auto"/>
                <w:kern w:val="0"/>
                <w:sz w:val="24"/>
                <w:szCs w:val="24"/>
                <w:u w:val="none"/>
                <w:lang w:val="en-US" w:eastAsia="zh-CN"/>
              </w:rPr>
              <w:t>5</w:t>
            </w:r>
            <w:r>
              <w:rPr>
                <w:rFonts w:hint="default" w:ascii="Times New Roman" w:hAnsi="Times New Roman" w:eastAsia="宋体" w:cs="Times New Roman"/>
                <w:color w:val="auto"/>
                <w:kern w:val="0"/>
                <w:sz w:val="24"/>
                <w:szCs w:val="24"/>
                <w:u w:val="none"/>
              </w:rPr>
              <w:t>0L/人·d</w:t>
            </w:r>
            <w:r>
              <w:rPr>
                <w:rFonts w:hint="default" w:ascii="Times New Roman" w:hAnsi="Times New Roman" w:eastAsia="宋体" w:cs="Times New Roman"/>
                <w:bCs/>
                <w:color w:val="auto"/>
                <w:sz w:val="24"/>
                <w:szCs w:val="24"/>
                <w:u w:val="none"/>
              </w:rPr>
              <w:t>，则生活用水量为</w:t>
            </w:r>
            <w:r>
              <w:rPr>
                <w:rFonts w:hint="eastAsia" w:cs="Times New Roman"/>
                <w:bCs/>
                <w:color w:val="auto"/>
                <w:sz w:val="24"/>
                <w:szCs w:val="24"/>
                <w:u w:val="none"/>
                <w:lang w:val="en-US" w:eastAsia="zh-CN"/>
              </w:rPr>
              <w:t>7.5</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1</w:t>
            </w:r>
            <w:r>
              <w:rPr>
                <w:rFonts w:hint="eastAsia" w:cs="Times New Roman"/>
                <w:bCs/>
                <w:color w:val="auto"/>
                <w:sz w:val="24"/>
                <w:szCs w:val="24"/>
                <w:u w:val="none"/>
                <w:lang w:val="en-US" w:eastAsia="zh-CN"/>
              </w:rPr>
              <w:t>50</w:t>
            </w:r>
            <w:r>
              <w:rPr>
                <w:rFonts w:hint="eastAsia" w:ascii="Times New Roman" w:hAnsi="Times New Roman" w:eastAsia="宋体" w:cs="Times New Roman"/>
                <w:bCs/>
                <w:color w:val="auto"/>
                <w:sz w:val="24"/>
                <w:szCs w:val="24"/>
                <w:u w:val="none"/>
                <w:lang w:val="en-US" w:eastAsia="zh-CN"/>
              </w:rPr>
              <w:t>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Cs/>
                <w:color w:val="auto"/>
                <w:sz w:val="24"/>
                <w:szCs w:val="24"/>
                <w:u w:val="none"/>
              </w:rPr>
              <w:t>，废水产生系数取0.8，则生活污水产生量为</w:t>
            </w:r>
            <w:r>
              <w:rPr>
                <w:rFonts w:hint="eastAsia" w:cs="Times New Roman"/>
                <w:bCs/>
                <w:color w:val="auto"/>
                <w:sz w:val="24"/>
                <w:szCs w:val="24"/>
                <w:u w:val="none"/>
                <w:lang w:val="en-US" w:eastAsia="zh-CN"/>
              </w:rPr>
              <w:t>6.0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1</w:t>
            </w:r>
            <w:r>
              <w:rPr>
                <w:rFonts w:hint="eastAsia" w:cs="Times New Roman"/>
                <w:bCs/>
                <w:color w:val="auto"/>
                <w:sz w:val="24"/>
                <w:szCs w:val="24"/>
                <w:u w:val="none"/>
                <w:lang w:val="en-US" w:eastAsia="zh-CN"/>
              </w:rPr>
              <w:t>200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Cs/>
                <w:color w:val="auto"/>
                <w:sz w:val="24"/>
                <w:szCs w:val="24"/>
                <w:u w:val="none"/>
              </w:rPr>
              <w:t>，</w:t>
            </w:r>
            <w:r>
              <w:rPr>
                <w:rFonts w:hint="default" w:ascii="Times New Roman" w:hAnsi="Times New Roman" w:eastAsia="宋体" w:cs="Times New Roman"/>
                <w:color w:val="auto"/>
                <w:sz w:val="24"/>
                <w:szCs w:val="24"/>
                <w:u w:val="none"/>
              </w:rPr>
              <w:t>污水中主要污染物浓度分别为COD350mg/L、BOD</w:t>
            </w:r>
            <w:r>
              <w:rPr>
                <w:rFonts w:hint="default" w:ascii="Times New Roman" w:hAnsi="Times New Roman" w:eastAsia="宋体" w:cs="Times New Roman"/>
                <w:color w:val="auto"/>
                <w:sz w:val="24"/>
                <w:szCs w:val="24"/>
                <w:u w:val="none"/>
                <w:vertAlign w:val="subscript"/>
              </w:rPr>
              <w:t>5</w:t>
            </w:r>
            <w:r>
              <w:rPr>
                <w:rFonts w:hint="default" w:ascii="Times New Roman" w:hAnsi="Times New Roman" w:eastAsia="宋体" w:cs="Times New Roman"/>
                <w:color w:val="auto"/>
                <w:sz w:val="24"/>
                <w:szCs w:val="24"/>
                <w:u w:val="none"/>
              </w:rPr>
              <w:t>250mg/L、SS280mg/L、NH</w:t>
            </w:r>
            <w:r>
              <w:rPr>
                <w:rFonts w:hint="default" w:ascii="Times New Roman" w:hAnsi="Times New Roman" w:eastAsia="宋体" w:cs="Times New Roman"/>
                <w:color w:val="auto"/>
                <w:sz w:val="24"/>
                <w:szCs w:val="24"/>
                <w:u w:val="none"/>
                <w:vertAlign w:val="subscript"/>
              </w:rPr>
              <w:t>3</w:t>
            </w:r>
            <w:r>
              <w:rPr>
                <w:rFonts w:hint="default" w:ascii="Times New Roman" w:hAnsi="Times New Roman" w:eastAsia="宋体" w:cs="Times New Roman"/>
                <w:color w:val="auto"/>
                <w:sz w:val="24"/>
                <w:szCs w:val="24"/>
                <w:u w:val="none"/>
              </w:rPr>
              <w:t>-N30mg/L</w:t>
            </w:r>
            <w:r>
              <w:rPr>
                <w:rFonts w:hint="default" w:ascii="Times New Roman" w:hAnsi="Times New Roman" w:eastAsia="宋体" w:cs="Times New Roman"/>
                <w:bCs/>
                <w:color w:val="auto"/>
                <w:sz w:val="24"/>
                <w:szCs w:val="24"/>
                <w:u w:val="none"/>
              </w:rPr>
              <w:t>。</w:t>
            </w:r>
          </w:p>
          <w:p w14:paraId="7E38DDF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b w:val="0"/>
                <w:bCs/>
                <w:sz w:val="24"/>
                <w:szCs w:val="24"/>
                <w:lang w:eastAsia="zh-CN"/>
              </w:rPr>
              <w:t>（</w:t>
            </w:r>
            <w:r>
              <w:rPr>
                <w:rFonts w:hint="eastAsia"/>
                <w:b w:val="0"/>
                <w:bCs/>
                <w:sz w:val="24"/>
                <w:szCs w:val="24"/>
                <w:lang w:val="en-US" w:eastAsia="zh-CN"/>
              </w:rPr>
              <w:t>2</w:t>
            </w:r>
            <w:r>
              <w:rPr>
                <w:rFonts w:hint="eastAsia"/>
                <w:b w:val="0"/>
                <w:bCs/>
                <w:sz w:val="24"/>
                <w:szCs w:val="24"/>
                <w:lang w:eastAsia="zh-CN"/>
              </w:rPr>
              <w:t>）肉类解冻清洗</w:t>
            </w:r>
            <w:r>
              <w:rPr>
                <w:rFonts w:hint="eastAsia" w:ascii="Times New Roman" w:hAnsi="Times New Roman" w:eastAsia="宋体" w:cs="Times New Roman"/>
                <w:color w:val="auto"/>
                <w:sz w:val="24"/>
                <w:szCs w:val="24"/>
                <w:u w:val="none"/>
                <w:lang w:val="en-US" w:eastAsia="zh-CN"/>
              </w:rPr>
              <w:t>废水</w:t>
            </w:r>
          </w:p>
          <w:p w14:paraId="00ED752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olor w:val="000000" w:themeColor="text1"/>
                <w:sz w:val="24"/>
                <w:szCs w:val="24"/>
                <w14:textFill>
                  <w14:solidFill>
                    <w14:schemeClr w14:val="tx1"/>
                  </w14:solidFill>
                </w14:textFill>
              </w:rPr>
            </w:pPr>
            <w:r>
              <w:rPr>
                <w:rFonts w:hint="eastAsia"/>
                <w:b w:val="0"/>
                <w:bCs/>
                <w:sz w:val="24"/>
                <w:szCs w:val="24"/>
                <w:lang w:eastAsia="zh-CN"/>
              </w:rPr>
              <w:t>本项目需对采购回来的</w:t>
            </w:r>
            <w:r>
              <w:rPr>
                <w:rFonts w:hint="eastAsia"/>
                <w:b w:val="0"/>
                <w:bCs/>
                <w:sz w:val="24"/>
                <w:szCs w:val="24"/>
                <w:lang w:val="en-US" w:eastAsia="zh-CN"/>
              </w:rPr>
              <w:t>肉类</w:t>
            </w:r>
            <w:r>
              <w:rPr>
                <w:rFonts w:hint="eastAsia"/>
                <w:b w:val="0"/>
                <w:bCs/>
                <w:sz w:val="24"/>
                <w:szCs w:val="24"/>
                <w:lang w:eastAsia="zh-CN"/>
              </w:rPr>
              <w:t>食材进行</w:t>
            </w:r>
            <w:r>
              <w:rPr>
                <w:rFonts w:hint="eastAsia"/>
                <w:b w:val="0"/>
                <w:bCs/>
                <w:sz w:val="24"/>
                <w:szCs w:val="24"/>
                <w:lang w:val="en-US" w:eastAsia="zh-CN"/>
              </w:rPr>
              <w:t>解冻、</w:t>
            </w:r>
            <w:r>
              <w:rPr>
                <w:rFonts w:hint="eastAsia"/>
                <w:b w:val="0"/>
                <w:bCs/>
                <w:sz w:val="24"/>
                <w:szCs w:val="24"/>
                <w:lang w:eastAsia="zh-CN"/>
              </w:rPr>
              <w:t>清洗，解冻清洗用水量为</w:t>
            </w:r>
            <w:r>
              <w:rPr>
                <w:rFonts w:hint="eastAsia"/>
                <w:b w:val="0"/>
                <w:bCs/>
                <w:sz w:val="24"/>
                <w:szCs w:val="24"/>
                <w:lang w:val="en-US" w:eastAsia="zh-CN"/>
              </w:rPr>
              <w:t>1.5</w:t>
            </w:r>
            <w:r>
              <w:rPr>
                <w:rFonts w:hint="eastAsia"/>
                <w:b w:val="0"/>
                <w:bCs/>
                <w:sz w:val="24"/>
                <w:szCs w:val="24"/>
                <w:lang w:eastAsia="zh-CN"/>
              </w:rPr>
              <w:t>t/t</w:t>
            </w:r>
            <w:r>
              <w:rPr>
                <w:rFonts w:hint="eastAsia"/>
                <w:b w:val="0"/>
                <w:bCs/>
                <w:sz w:val="24"/>
                <w:szCs w:val="24"/>
                <w:lang w:val="en-US" w:eastAsia="zh-CN"/>
              </w:rPr>
              <w:t>原料</w:t>
            </w:r>
            <w:r>
              <w:rPr>
                <w:rFonts w:hint="eastAsia"/>
                <w:b w:val="0"/>
                <w:bCs/>
                <w:sz w:val="24"/>
                <w:szCs w:val="24"/>
                <w:lang w:eastAsia="zh-CN"/>
              </w:rPr>
              <w:t>，本项目肉类原料用量</w:t>
            </w:r>
            <w:r>
              <w:rPr>
                <w:rFonts w:hint="eastAsia"/>
                <w:b w:val="0"/>
                <w:bCs/>
                <w:sz w:val="24"/>
                <w:szCs w:val="24"/>
                <w:lang w:val="en-US" w:eastAsia="zh-CN"/>
              </w:rPr>
              <w:t>212</w:t>
            </w:r>
            <w:r>
              <w:rPr>
                <w:rFonts w:hint="eastAsia"/>
                <w:b w:val="0"/>
                <w:bCs/>
                <w:sz w:val="24"/>
                <w:szCs w:val="24"/>
                <w:lang w:eastAsia="zh-CN"/>
              </w:rPr>
              <w:t>0t/a，则本项目解冻清洗用水量约</w:t>
            </w:r>
            <w:r>
              <w:rPr>
                <w:rFonts w:hint="eastAsia" w:cs="Times New Roman"/>
                <w:bCs/>
                <w:color w:val="auto"/>
                <w:sz w:val="24"/>
                <w:szCs w:val="24"/>
                <w:u w:val="none"/>
                <w:lang w:val="en-US" w:eastAsia="zh-CN"/>
              </w:rPr>
              <w:t>15.9</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3180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b w:val="0"/>
                <w:bCs/>
                <w:sz w:val="24"/>
                <w:szCs w:val="24"/>
                <w:lang w:eastAsia="zh-CN"/>
              </w:rPr>
              <w:t>，废水产生量按用水量的0.</w:t>
            </w:r>
            <w:r>
              <w:rPr>
                <w:rFonts w:hint="eastAsia"/>
                <w:b w:val="0"/>
                <w:bCs/>
                <w:sz w:val="24"/>
                <w:szCs w:val="24"/>
                <w:lang w:val="en-US" w:eastAsia="zh-CN"/>
              </w:rPr>
              <w:t>9</w:t>
            </w:r>
            <w:r>
              <w:rPr>
                <w:rFonts w:hint="eastAsia"/>
                <w:b w:val="0"/>
                <w:bCs/>
                <w:sz w:val="24"/>
                <w:szCs w:val="24"/>
                <w:lang w:eastAsia="zh-CN"/>
              </w:rPr>
              <w:t>计，则本项目肉类原料解冻清洗废水量约</w:t>
            </w:r>
            <w:r>
              <w:rPr>
                <w:rFonts w:hint="eastAsia" w:cs="Times New Roman"/>
                <w:bCs/>
                <w:color w:val="auto"/>
                <w:sz w:val="24"/>
                <w:szCs w:val="24"/>
                <w:u w:val="none"/>
                <w:lang w:val="en-US" w:eastAsia="zh-CN"/>
              </w:rPr>
              <w:t>14.31</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2862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p>
          <w:p w14:paraId="32309C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b w:val="0"/>
                <w:bCs/>
                <w:sz w:val="24"/>
                <w:szCs w:val="24"/>
                <w:lang w:eastAsia="zh-CN"/>
              </w:rPr>
              <w:t>（</w:t>
            </w:r>
            <w:r>
              <w:rPr>
                <w:rFonts w:hint="eastAsia"/>
                <w:b w:val="0"/>
                <w:bCs/>
                <w:sz w:val="24"/>
                <w:szCs w:val="24"/>
                <w:lang w:val="en-US" w:eastAsia="zh-CN"/>
              </w:rPr>
              <w:t>3</w:t>
            </w:r>
            <w:r>
              <w:rPr>
                <w:rFonts w:hint="eastAsia"/>
                <w:b w:val="0"/>
                <w:bCs/>
                <w:sz w:val="24"/>
                <w:szCs w:val="24"/>
                <w:lang w:eastAsia="zh-CN"/>
              </w:rPr>
              <w:t>）</w:t>
            </w:r>
            <w:r>
              <w:rPr>
                <w:rFonts w:hint="eastAsia"/>
                <w:b w:val="0"/>
                <w:bCs/>
                <w:sz w:val="24"/>
                <w:szCs w:val="24"/>
                <w:lang w:val="en-US" w:eastAsia="zh-CN"/>
              </w:rPr>
              <w:t>蔬菜清洗</w:t>
            </w:r>
            <w:r>
              <w:rPr>
                <w:rFonts w:hint="eastAsia" w:ascii="Times New Roman" w:hAnsi="Times New Roman" w:eastAsia="宋体" w:cs="Times New Roman"/>
                <w:color w:val="auto"/>
                <w:sz w:val="24"/>
                <w:szCs w:val="24"/>
                <w:u w:val="none"/>
                <w:lang w:val="en-US" w:eastAsia="zh-CN"/>
              </w:rPr>
              <w:t>废水</w:t>
            </w:r>
          </w:p>
          <w:p w14:paraId="6F68196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sz w:val="24"/>
                <w:szCs w:val="24"/>
                <w:lang w:eastAsia="zh-CN"/>
              </w:rPr>
            </w:pPr>
            <w:r>
              <w:rPr>
                <w:rFonts w:hint="eastAsia"/>
                <w:b w:val="0"/>
                <w:bCs/>
                <w:sz w:val="24"/>
                <w:szCs w:val="24"/>
                <w:lang w:eastAsia="zh-CN"/>
              </w:rPr>
              <w:t>本项目需对采购回来的</w:t>
            </w:r>
            <w:r>
              <w:rPr>
                <w:rFonts w:hint="eastAsia"/>
                <w:b w:val="0"/>
                <w:bCs/>
                <w:sz w:val="24"/>
                <w:szCs w:val="24"/>
                <w:lang w:val="en-US" w:eastAsia="zh-CN"/>
              </w:rPr>
              <w:t>蔬菜</w:t>
            </w:r>
            <w:r>
              <w:rPr>
                <w:rFonts w:hint="eastAsia"/>
                <w:b w:val="0"/>
                <w:bCs/>
                <w:sz w:val="24"/>
                <w:szCs w:val="24"/>
                <w:lang w:eastAsia="zh-CN"/>
              </w:rPr>
              <w:t>进行清洗，清洗用水量为</w:t>
            </w:r>
            <w:r>
              <w:rPr>
                <w:rFonts w:hint="eastAsia"/>
                <w:b w:val="0"/>
                <w:bCs/>
                <w:sz w:val="24"/>
                <w:szCs w:val="24"/>
                <w:lang w:val="en-US" w:eastAsia="zh-CN"/>
              </w:rPr>
              <w:t>1.0</w:t>
            </w:r>
            <w:r>
              <w:rPr>
                <w:rFonts w:hint="eastAsia"/>
                <w:b w:val="0"/>
                <w:bCs/>
                <w:sz w:val="24"/>
                <w:szCs w:val="24"/>
                <w:lang w:eastAsia="zh-CN"/>
              </w:rPr>
              <w:t>t/t</w:t>
            </w:r>
            <w:r>
              <w:rPr>
                <w:rFonts w:hint="eastAsia"/>
                <w:b w:val="0"/>
                <w:bCs/>
                <w:sz w:val="24"/>
                <w:szCs w:val="24"/>
                <w:lang w:val="en-US" w:eastAsia="zh-CN"/>
              </w:rPr>
              <w:t>原料</w:t>
            </w:r>
            <w:r>
              <w:rPr>
                <w:rFonts w:hint="eastAsia"/>
                <w:b w:val="0"/>
                <w:bCs/>
                <w:sz w:val="24"/>
                <w:szCs w:val="24"/>
                <w:lang w:eastAsia="zh-CN"/>
              </w:rPr>
              <w:t>，本项目</w:t>
            </w:r>
            <w:r>
              <w:rPr>
                <w:rFonts w:hint="eastAsia"/>
                <w:b w:val="0"/>
                <w:bCs/>
                <w:sz w:val="24"/>
                <w:szCs w:val="24"/>
                <w:lang w:val="en-US" w:eastAsia="zh-CN"/>
              </w:rPr>
              <w:t>蔬菜</w:t>
            </w:r>
            <w:r>
              <w:rPr>
                <w:rFonts w:hint="eastAsia"/>
                <w:b w:val="0"/>
                <w:bCs/>
                <w:sz w:val="24"/>
                <w:szCs w:val="24"/>
                <w:lang w:eastAsia="zh-CN"/>
              </w:rPr>
              <w:t>用量</w:t>
            </w:r>
            <w:r>
              <w:rPr>
                <w:rFonts w:hint="eastAsia"/>
                <w:b w:val="0"/>
                <w:bCs/>
                <w:sz w:val="24"/>
                <w:szCs w:val="24"/>
                <w:lang w:val="en-US" w:eastAsia="zh-CN"/>
              </w:rPr>
              <w:t>640</w:t>
            </w:r>
            <w:r>
              <w:rPr>
                <w:rFonts w:hint="eastAsia"/>
                <w:b w:val="0"/>
                <w:bCs/>
                <w:sz w:val="24"/>
                <w:szCs w:val="24"/>
                <w:lang w:eastAsia="zh-CN"/>
              </w:rPr>
              <w:t>t/a，则本项目</w:t>
            </w:r>
            <w:r>
              <w:rPr>
                <w:rFonts w:hint="eastAsia"/>
                <w:b w:val="0"/>
                <w:bCs/>
                <w:sz w:val="24"/>
                <w:szCs w:val="24"/>
                <w:lang w:val="en-US" w:eastAsia="zh-CN"/>
              </w:rPr>
              <w:t>蔬菜清洗</w:t>
            </w:r>
            <w:r>
              <w:rPr>
                <w:rFonts w:hint="eastAsia"/>
                <w:b w:val="0"/>
                <w:bCs/>
                <w:sz w:val="24"/>
                <w:szCs w:val="24"/>
                <w:lang w:eastAsia="zh-CN"/>
              </w:rPr>
              <w:t>用水量约</w:t>
            </w:r>
            <w:r>
              <w:rPr>
                <w:rFonts w:hint="eastAsia" w:cs="Times New Roman"/>
                <w:bCs/>
                <w:color w:val="auto"/>
                <w:sz w:val="24"/>
                <w:szCs w:val="24"/>
                <w:u w:val="none"/>
                <w:lang w:val="en-US" w:eastAsia="zh-CN"/>
              </w:rPr>
              <w:t>3.2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640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b w:val="0"/>
                <w:bCs/>
                <w:sz w:val="24"/>
                <w:szCs w:val="24"/>
                <w:lang w:eastAsia="zh-CN"/>
              </w:rPr>
              <w:t>，废水产生量按用水量的0.</w:t>
            </w:r>
            <w:r>
              <w:rPr>
                <w:rFonts w:hint="eastAsia"/>
                <w:b w:val="0"/>
                <w:bCs/>
                <w:sz w:val="24"/>
                <w:szCs w:val="24"/>
                <w:lang w:val="en-US" w:eastAsia="zh-CN"/>
              </w:rPr>
              <w:t>9</w:t>
            </w:r>
            <w:r>
              <w:rPr>
                <w:rFonts w:hint="eastAsia"/>
                <w:b w:val="0"/>
                <w:bCs/>
                <w:sz w:val="24"/>
                <w:szCs w:val="24"/>
                <w:lang w:eastAsia="zh-CN"/>
              </w:rPr>
              <w:t>计，则本项目肉类原料解冻清洗废水量约</w:t>
            </w:r>
            <w:r>
              <w:rPr>
                <w:rFonts w:hint="eastAsia" w:cs="Times New Roman"/>
                <w:bCs/>
                <w:color w:val="auto"/>
                <w:sz w:val="24"/>
                <w:szCs w:val="24"/>
                <w:u w:val="none"/>
                <w:lang w:val="en-US" w:eastAsia="zh-CN"/>
              </w:rPr>
              <w:t>2.88</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Cs/>
                <w:color w:val="auto"/>
                <w:sz w:val="24"/>
                <w:szCs w:val="24"/>
                <w:u w:val="none"/>
                <w:lang w:val="en-US" w:eastAsia="zh-CN"/>
              </w:rPr>
              <w:t>576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p>
          <w:p w14:paraId="165979D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u w:val="none"/>
                <w:lang w:val="en-US" w:eastAsia="zh-CN"/>
              </w:rPr>
            </w:pPr>
            <w:r>
              <w:rPr>
                <w:rFonts w:hint="eastAsia"/>
                <w:sz w:val="24"/>
                <w:szCs w:val="24"/>
                <w:lang w:eastAsia="zh-CN"/>
              </w:rPr>
              <w:t>（</w:t>
            </w:r>
            <w:r>
              <w:rPr>
                <w:rFonts w:hint="eastAsia"/>
                <w:sz w:val="24"/>
                <w:szCs w:val="24"/>
                <w:lang w:val="en-US" w:eastAsia="zh-CN"/>
              </w:rPr>
              <w:t>4</w:t>
            </w:r>
            <w:r>
              <w:rPr>
                <w:rFonts w:hint="eastAsia"/>
                <w:sz w:val="24"/>
                <w:szCs w:val="24"/>
                <w:lang w:eastAsia="zh-CN"/>
              </w:rPr>
              <w:t>）</w:t>
            </w:r>
            <w:r>
              <w:rPr>
                <w:rFonts w:hint="eastAsia" w:ascii="Times New Roman" w:hAnsi="Times New Roman"/>
                <w:color w:val="000000" w:themeColor="text1"/>
                <w:sz w:val="24"/>
                <w:szCs w:val="24"/>
                <w:lang w:val="en-US" w:eastAsia="zh-CN"/>
                <w14:textFill>
                  <w14:solidFill>
                    <w14:schemeClr w14:val="tx1"/>
                  </w14:solidFill>
                </w14:textFill>
              </w:rPr>
              <w:t>洗米</w:t>
            </w:r>
            <w:r>
              <w:rPr>
                <w:rFonts w:hint="eastAsia" w:ascii="Times New Roman" w:hAnsi="Times New Roman" w:eastAsia="宋体" w:cs="Times New Roman"/>
                <w:color w:val="auto"/>
                <w:sz w:val="24"/>
                <w:szCs w:val="24"/>
                <w:u w:val="none"/>
                <w:lang w:val="en-US" w:eastAsia="zh-CN"/>
              </w:rPr>
              <w:t>废水</w:t>
            </w:r>
          </w:p>
          <w:p w14:paraId="3D22FE9D">
            <w:pPr>
              <w:adjustRightInd w:val="0"/>
              <w:snapToGrid w:val="0"/>
              <w:spacing w:line="360" w:lineRule="auto"/>
              <w:ind w:firstLine="480" w:firstLineChars="200"/>
              <w:rPr>
                <w:rFonts w:hint="eastAsia"/>
                <w:color w:val="000000" w:themeColor="text1"/>
                <w:sz w:val="24"/>
                <w:szCs w:val="24"/>
                <w14:textFill>
                  <w14:solidFill>
                    <w14:schemeClr w14:val="tx1"/>
                  </w14:solidFill>
                </w14:textFill>
              </w:rPr>
            </w:pPr>
            <w:r>
              <w:rPr>
                <w:rFonts w:hint="default" w:ascii="Times New Roman" w:hAnsi="Times New Roman"/>
                <w:color w:val="000000" w:themeColor="text1"/>
                <w:sz w:val="24"/>
                <w:szCs w:val="24"/>
                <w14:textFill>
                  <w14:solidFill>
                    <w14:schemeClr w14:val="tx1"/>
                  </w14:solidFill>
                </w14:textFill>
              </w:rPr>
              <w:t>本项目大米浸泡前需要对大米进行清洗，清洗工序在洗米池中进行，洗米</w:t>
            </w:r>
            <w:r>
              <w:rPr>
                <w:rFonts w:hint="eastAsia" w:ascii="Times New Roman" w:hAnsi="Times New Roman"/>
                <w:color w:val="000000" w:themeColor="text1"/>
                <w:sz w:val="24"/>
                <w:szCs w:val="24"/>
                <w:lang w:val="en-US" w:eastAsia="zh-CN"/>
                <w14:textFill>
                  <w14:solidFill>
                    <w14:schemeClr w14:val="tx1"/>
                  </w14:solidFill>
                </w14:textFill>
              </w:rPr>
              <w:t>池</w:t>
            </w:r>
            <w:r>
              <w:rPr>
                <w:rFonts w:hint="default" w:ascii="Times New Roman" w:hAnsi="Times New Roman"/>
                <w:color w:val="000000" w:themeColor="text1"/>
                <w:sz w:val="24"/>
                <w:szCs w:val="24"/>
                <w14:textFill>
                  <w14:solidFill>
                    <w14:schemeClr w14:val="tx1"/>
                  </w14:solidFill>
                </w14:textFill>
              </w:rPr>
              <w:t>尺寸为</w:t>
            </w:r>
            <w:r>
              <w:rPr>
                <w:rFonts w:hint="eastAsia" w:ascii="Times New Roman" w:hAnsi="Times New Roman"/>
                <w:color w:val="000000" w:themeColor="text1"/>
                <w:sz w:val="24"/>
                <w:szCs w:val="24"/>
                <w:lang w:val="en-US" w:eastAsia="zh-CN"/>
                <w14:textFill>
                  <w14:solidFill>
                    <w14:schemeClr w14:val="tx1"/>
                  </w14:solidFill>
                </w14:textFill>
              </w:rPr>
              <w:t>1.5m</w:t>
            </w:r>
            <w:r>
              <w:rPr>
                <w:rFonts w:hint="default" w:ascii="Arial" w:hAnsi="Arial" w:cs="Arial"/>
                <w:color w:val="000000" w:themeColor="text1"/>
                <w:sz w:val="24"/>
                <w:szCs w:val="24"/>
                <w:lang w:val="en-US" w:eastAsia="zh-CN"/>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0.7m</w:t>
            </w:r>
            <w:r>
              <w:rPr>
                <w:rFonts w:hint="default" w:ascii="Arial" w:hAnsi="Arial" w:cs="Arial"/>
                <w:color w:val="000000" w:themeColor="text1"/>
                <w:sz w:val="24"/>
                <w:szCs w:val="24"/>
                <w:lang w:val="en-US" w:eastAsia="zh-CN"/>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1</w:t>
            </w:r>
            <w:r>
              <w:rPr>
                <w:rFonts w:hint="default" w:ascii="Times New Roman" w:hAnsi="Times New Roman"/>
                <w:color w:val="000000" w:themeColor="text1"/>
                <w:sz w:val="24"/>
                <w:szCs w:val="24"/>
                <w14:textFill>
                  <w14:solidFill>
                    <w14:schemeClr w14:val="tx1"/>
                  </w14:solidFill>
                </w14:textFill>
              </w:rPr>
              <w:t>.1m，使用时有效容积80%，</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本项目</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原料</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清洗工序每天用水量为</w:t>
            </w:r>
            <w:r>
              <w:rPr>
                <w:rFonts w:hint="eastAsia" w:cs="Times New Roman"/>
                <w:bCs/>
                <w:color w:val="auto"/>
                <w:sz w:val="24"/>
                <w:szCs w:val="24"/>
                <w:u w:val="none"/>
                <w:lang w:val="en-US" w:eastAsia="zh-CN"/>
              </w:rPr>
              <w:t>0.924</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184.8</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，根据企业提供资料，每天排放1</w:t>
            </w:r>
            <w:r>
              <w:rPr>
                <w:rFonts w:hint="default"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次</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废水，废水排污系数取0.9，则清洗工序废水排放量为</w:t>
            </w:r>
            <w:r>
              <w:rPr>
                <w:rFonts w:hint="eastAsia" w:cs="Times New Roman"/>
                <w:bCs/>
                <w:color w:val="auto"/>
                <w:sz w:val="24"/>
                <w:szCs w:val="24"/>
                <w:u w:val="none"/>
                <w:lang w:val="en-US" w:eastAsia="zh-CN"/>
              </w:rPr>
              <w:t>0.832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166.32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themeColor="text1"/>
                <w:sz w:val="24"/>
                <w:szCs w:val="24"/>
                <w14:textFill>
                  <w14:solidFill>
                    <w14:schemeClr w14:val="tx1"/>
                  </w14:solidFill>
                </w14:textFill>
              </w:rPr>
              <w:t>。</w:t>
            </w:r>
          </w:p>
          <w:p w14:paraId="703AE1E6">
            <w:pPr>
              <w:adjustRightInd w:val="0"/>
              <w:snapToGrid w:val="0"/>
              <w:spacing w:line="360" w:lineRule="auto"/>
              <w:ind w:firstLine="480" w:firstLineChars="200"/>
              <w:rPr>
                <w:color w:val="000000"/>
                <w:sz w:val="24"/>
              </w:rPr>
            </w:pPr>
            <w:r>
              <w:rPr>
                <w:rFonts w:hint="eastAsia" w:hAnsi="宋体"/>
                <w:color w:val="000000" w:themeColor="text1"/>
                <w:sz w:val="24"/>
                <w14:textFill>
                  <w14:solidFill>
                    <w14:schemeClr w14:val="tx1"/>
                  </w14:solidFill>
                </w14:textFill>
              </w:rPr>
              <w:t>（</w:t>
            </w:r>
            <w:r>
              <w:rPr>
                <w:rFonts w:hint="eastAsia" w:hAnsi="宋体"/>
                <w:color w:val="000000" w:themeColor="text1"/>
                <w:sz w:val="24"/>
                <w:lang w:val="en-US" w:eastAsia="zh-CN"/>
                <w14:textFill>
                  <w14:solidFill>
                    <w14:schemeClr w14:val="tx1"/>
                  </w14:solidFill>
                </w14:textFill>
              </w:rPr>
              <w:t>5</w:t>
            </w:r>
            <w:r>
              <w:rPr>
                <w:rFonts w:hint="eastAsia" w:hAnsi="宋体"/>
                <w:color w:val="000000" w:themeColor="text1"/>
                <w:sz w:val="24"/>
                <w14:textFill>
                  <w14:solidFill>
                    <w14:schemeClr w14:val="tx1"/>
                  </w14:solidFill>
                </w14:textFill>
              </w:rPr>
              <w:t>）</w:t>
            </w:r>
            <w:r>
              <w:rPr>
                <w:rFonts w:hint="eastAsia"/>
                <w:sz w:val="24"/>
                <w:szCs w:val="24"/>
                <w:lang w:val="en-US" w:eastAsia="zh-CN"/>
              </w:rPr>
              <w:t>设备清洗废</w:t>
            </w:r>
            <w:r>
              <w:rPr>
                <w:rFonts w:hint="eastAsia" w:hAnsi="宋体"/>
                <w:color w:val="000000"/>
                <w:sz w:val="24"/>
              </w:rPr>
              <w:t>水</w:t>
            </w:r>
          </w:p>
          <w:p w14:paraId="158DB395">
            <w:pPr>
              <w:adjustRightInd w:val="0"/>
              <w:snapToGrid w:val="0"/>
              <w:spacing w:line="360" w:lineRule="auto"/>
              <w:ind w:firstLine="480" w:firstLineChars="200"/>
              <w:rPr>
                <w:rFonts w:hint="eastAsia"/>
                <w:color w:val="000000"/>
                <w:sz w:val="24"/>
              </w:rPr>
            </w:pPr>
            <w:r>
              <w:rPr>
                <w:rFonts w:hint="eastAsia" w:ascii="Times New Roman" w:hAnsi="Times New Roman" w:eastAsia="宋体" w:cs="Times New Roman"/>
                <w:b w:val="0"/>
                <w:bCs w:val="0"/>
                <w:color w:val="auto"/>
                <w:sz w:val="24"/>
                <w:szCs w:val="24"/>
                <w:highlight w:val="none"/>
                <w:u w:val="none" w:color="auto"/>
                <w:lang w:val="en-US" w:eastAsia="zh-CN"/>
              </w:rPr>
              <w:t>根据建设单位提供资料，每天生产结束后需要对设备进行清洗，每天需要清洗1次，每次用水约3.0m</w:t>
            </w:r>
            <w:r>
              <w:rPr>
                <w:rFonts w:hint="eastAsia" w:ascii="Times New Roman" w:hAnsi="Times New Roman" w:eastAsia="宋体" w:cs="Times New Roman"/>
                <w:b w:val="0"/>
                <w:bCs w:val="0"/>
                <w:color w:val="auto"/>
                <w:sz w:val="24"/>
                <w:szCs w:val="24"/>
                <w:highlight w:val="none"/>
                <w:u w:val="none" w:color="auto"/>
                <w:vertAlign w:val="superscript"/>
                <w:lang w:val="en-US" w:eastAsia="zh-CN"/>
              </w:rPr>
              <w:t>3</w:t>
            </w:r>
            <w:r>
              <w:rPr>
                <w:rFonts w:hint="eastAsia" w:ascii="Times New Roman" w:hAnsi="Times New Roman" w:eastAsia="宋体" w:cs="Times New Roman"/>
                <w:b w:val="0"/>
                <w:bCs w:val="0"/>
                <w:color w:val="auto"/>
                <w:sz w:val="24"/>
                <w:szCs w:val="24"/>
                <w:highlight w:val="none"/>
                <w:u w:val="none" w:color="auto"/>
                <w:lang w:val="en-US" w:eastAsia="zh-CN"/>
              </w:rPr>
              <w:t>，则设备清洗用水量约为</w:t>
            </w:r>
            <w:r>
              <w:rPr>
                <w:rFonts w:hint="eastAsia" w:cs="Times New Roman"/>
                <w:bCs/>
                <w:color w:val="auto"/>
                <w:sz w:val="24"/>
                <w:szCs w:val="24"/>
                <w:u w:val="none"/>
                <w:lang w:val="en-US" w:eastAsia="zh-CN"/>
              </w:rPr>
              <w:t>3.0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600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 w:val="0"/>
                <w:bCs w:val="0"/>
                <w:color w:val="auto"/>
                <w:sz w:val="24"/>
                <w:szCs w:val="24"/>
                <w:highlight w:val="none"/>
                <w:u w:val="none" w:color="auto"/>
                <w:lang w:val="en-US" w:eastAsia="zh-CN"/>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废水排污系数取0.</w:t>
            </w:r>
            <w:r>
              <w:rPr>
                <w:rFonts w:hint="eastAsia"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9</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w:t>
            </w:r>
            <w:r>
              <w:rPr>
                <w:rFonts w:hint="eastAsia" w:ascii="Times New Roman" w:hAnsi="Times New Roman" w:eastAsia="宋体" w:cs="Times New Roman"/>
                <w:b w:val="0"/>
                <w:bCs w:val="0"/>
                <w:color w:val="auto"/>
                <w:sz w:val="24"/>
                <w:szCs w:val="24"/>
                <w:highlight w:val="none"/>
                <w:u w:val="none" w:color="auto"/>
                <w:lang w:val="en-US" w:eastAsia="zh-CN"/>
              </w:rPr>
              <w:t>废水量为</w:t>
            </w:r>
            <w:r>
              <w:rPr>
                <w:rFonts w:hint="eastAsia" w:cs="Times New Roman"/>
                <w:bCs/>
                <w:color w:val="auto"/>
                <w:sz w:val="24"/>
                <w:szCs w:val="24"/>
                <w:u w:val="none"/>
                <w:lang w:val="en-US" w:eastAsia="zh-CN"/>
              </w:rPr>
              <w:t>2.7</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540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b w:val="0"/>
                <w:bCs w:val="0"/>
                <w:color w:val="auto"/>
                <w:sz w:val="24"/>
                <w:szCs w:val="24"/>
                <w:highlight w:val="none"/>
                <w:u w:val="none" w:color="auto"/>
                <w:lang w:val="en-US" w:eastAsia="zh-CN"/>
              </w:rPr>
              <w:t>。</w:t>
            </w:r>
          </w:p>
          <w:p w14:paraId="4A1FCFA6">
            <w:pPr>
              <w:adjustRightInd w:val="0"/>
              <w:snapToGrid w:val="0"/>
              <w:spacing w:line="360" w:lineRule="auto"/>
              <w:ind w:firstLine="480" w:firstLineChars="200"/>
              <w:rPr>
                <w:rFonts w:hint="eastAsia"/>
                <w:color w:val="000000" w:themeColor="text1"/>
                <w:kern w:val="0"/>
                <w:sz w:val="24"/>
                <w:lang w:bidi="ar"/>
                <w14:textFill>
                  <w14:solidFill>
                    <w14:schemeClr w14:val="tx1"/>
                  </w14:solidFill>
                </w14:textFill>
              </w:rPr>
            </w:pPr>
            <w:r>
              <w:rPr>
                <w:rFonts w:hint="eastAsia"/>
                <w:b w:val="0"/>
                <w:bCs/>
                <w:color w:val="000000" w:themeColor="text1"/>
                <w:sz w:val="24"/>
                <w:lang w:eastAsia="zh-CN"/>
                <w14:textFill>
                  <w14:solidFill>
                    <w14:schemeClr w14:val="tx1"/>
                  </w14:solidFill>
                </w14:textFill>
              </w:rPr>
              <w:t>（</w:t>
            </w:r>
            <w:r>
              <w:rPr>
                <w:rFonts w:hint="eastAsia"/>
                <w:b w:val="0"/>
                <w:bCs/>
                <w:color w:val="000000" w:themeColor="text1"/>
                <w:sz w:val="24"/>
                <w:lang w:val="en-US" w:eastAsia="zh-CN"/>
                <w14:textFill>
                  <w14:solidFill>
                    <w14:schemeClr w14:val="tx1"/>
                  </w14:solidFill>
                </w14:textFill>
              </w:rPr>
              <w:t>6</w:t>
            </w:r>
            <w:r>
              <w:rPr>
                <w:rFonts w:hint="eastAsia"/>
                <w:b w:val="0"/>
                <w:bCs/>
                <w:color w:val="000000" w:themeColor="text1"/>
                <w:sz w:val="24"/>
                <w:lang w:eastAsia="zh-CN"/>
                <w14:textFill>
                  <w14:solidFill>
                    <w14:schemeClr w14:val="tx1"/>
                  </w14:solidFill>
                </w14:textFill>
              </w:rPr>
              <w:t>）</w:t>
            </w:r>
            <w:r>
              <w:rPr>
                <w:rFonts w:hint="eastAsia"/>
                <w:sz w:val="24"/>
                <w:szCs w:val="24"/>
                <w:lang w:eastAsia="zh-CN"/>
              </w:rPr>
              <w:t>餐具回收清洗</w:t>
            </w:r>
            <w:r>
              <w:rPr>
                <w:rFonts w:hint="eastAsia"/>
                <w:color w:val="000000" w:themeColor="text1"/>
                <w:kern w:val="0"/>
                <w:sz w:val="24"/>
                <w:lang w:val="en-US" w:eastAsia="zh-CN" w:bidi="ar"/>
                <w14:textFill>
                  <w14:solidFill>
                    <w14:schemeClr w14:val="tx1"/>
                  </w14:solidFill>
                </w14:textFill>
              </w:rPr>
              <w:t>废</w:t>
            </w:r>
            <w:r>
              <w:rPr>
                <w:rFonts w:hint="eastAsia"/>
                <w:color w:val="000000" w:themeColor="text1"/>
                <w:kern w:val="0"/>
                <w:sz w:val="24"/>
                <w:lang w:bidi="ar"/>
                <w14:textFill>
                  <w14:solidFill>
                    <w14:schemeClr w14:val="tx1"/>
                  </w14:solidFill>
                </w14:textFill>
              </w:rPr>
              <w:t>水</w:t>
            </w:r>
          </w:p>
          <w:p w14:paraId="469D077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lang w:eastAsia="zh-CN"/>
              </w:rPr>
            </w:pPr>
            <w:r>
              <w:rPr>
                <w:rFonts w:hint="eastAsia"/>
                <w:sz w:val="24"/>
                <w:szCs w:val="24"/>
                <w:lang w:eastAsia="zh-CN"/>
              </w:rPr>
              <w:t>生产加工结束后，工作人员会对餐盒进行回收，对餐盒工具进行清洗。根据企业提供的资料，用水量按照0.4L/份计，本项目餐具清洗量为</w:t>
            </w:r>
            <w:r>
              <w:rPr>
                <w:rFonts w:hint="eastAsia"/>
                <w:sz w:val="24"/>
                <w:szCs w:val="24"/>
                <w:lang w:val="en-US" w:eastAsia="zh-CN"/>
              </w:rPr>
              <w:t>200</w:t>
            </w:r>
            <w:r>
              <w:rPr>
                <w:rFonts w:hint="eastAsia"/>
                <w:sz w:val="24"/>
                <w:szCs w:val="24"/>
                <w:lang w:eastAsia="zh-CN"/>
              </w:rPr>
              <w:t>万份/a，清洗频次为1次/天，则餐具清洗用水量为</w:t>
            </w:r>
            <w:r>
              <w:rPr>
                <w:rFonts w:hint="eastAsia" w:cs="Times New Roman"/>
                <w:bCs/>
                <w:color w:val="auto"/>
                <w:sz w:val="24"/>
                <w:szCs w:val="24"/>
                <w:u w:val="none"/>
                <w:lang w:val="en-US" w:eastAsia="zh-CN"/>
              </w:rPr>
              <w:t>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800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sz w:val="24"/>
                <w:szCs w:val="24"/>
                <w:lang w:eastAsia="zh-CN"/>
              </w:rPr>
              <w:t>，</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废水排污系数取0.</w:t>
            </w:r>
            <w:r>
              <w:rPr>
                <w:rFonts w:hint="eastAsia" w:ascii="Times New Roman" w:hAnsi="Times New Roman" w:eastAsia="宋体" w:cs="Times New Roman"/>
                <w:b w:val="0"/>
                <w:bCs/>
                <w:color w:val="000000" w:themeColor="text1"/>
                <w:sz w:val="24"/>
                <w:szCs w:val="24"/>
                <w:highlight w:val="none"/>
                <w:u w:val="none"/>
                <w:lang w:val="en-US" w:eastAsia="zh-CN"/>
                <w14:textFill>
                  <w14:solidFill>
                    <w14:schemeClr w14:val="tx1"/>
                  </w14:solidFill>
                </w14:textFill>
              </w:rPr>
              <w:t>9</w:t>
            </w:r>
            <w:r>
              <w:rPr>
                <w:rFonts w:hint="default" w:ascii="Times New Roman" w:hAnsi="Times New Roman" w:eastAsia="宋体" w:cs="Times New Roman"/>
                <w:b w:val="0"/>
                <w:bCs/>
                <w:color w:val="000000" w:themeColor="text1"/>
                <w:sz w:val="24"/>
                <w:szCs w:val="24"/>
                <w:highlight w:val="none"/>
                <w:u w:val="none"/>
                <w14:textFill>
                  <w14:solidFill>
                    <w14:schemeClr w14:val="tx1"/>
                  </w14:solidFill>
                </w14:textFill>
              </w:rPr>
              <w:t>，</w:t>
            </w:r>
            <w:r>
              <w:rPr>
                <w:rFonts w:hint="eastAsia"/>
                <w:sz w:val="24"/>
                <w:szCs w:val="24"/>
                <w:lang w:eastAsia="zh-CN"/>
              </w:rPr>
              <w:t>则餐具清洗废水产生量为</w:t>
            </w:r>
            <w:r>
              <w:rPr>
                <w:rFonts w:hint="eastAsia" w:cs="Times New Roman"/>
                <w:bCs/>
                <w:color w:val="auto"/>
                <w:sz w:val="24"/>
                <w:szCs w:val="24"/>
                <w:u w:val="none"/>
                <w:lang w:val="en-US" w:eastAsia="zh-CN"/>
              </w:rPr>
              <w:t>3.6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720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sz w:val="24"/>
                <w:szCs w:val="24"/>
                <w:lang w:eastAsia="zh-CN"/>
              </w:rPr>
              <w:t>。</w:t>
            </w:r>
          </w:p>
          <w:p w14:paraId="38936DD4">
            <w:pPr>
              <w:adjustRightInd w:val="0"/>
              <w:snapToGrid w:val="0"/>
              <w:spacing w:line="360" w:lineRule="auto"/>
              <w:ind w:firstLine="480" w:firstLineChars="200"/>
              <w:rPr>
                <w:color w:val="000000"/>
                <w:sz w:val="24"/>
              </w:rPr>
            </w:pPr>
            <w:r>
              <w:rPr>
                <w:rFonts w:hint="eastAsia"/>
                <w:sz w:val="24"/>
                <w:szCs w:val="24"/>
                <w:highlight w:val="none"/>
                <w:lang w:val="en-US" w:eastAsia="zh-CN"/>
              </w:rPr>
              <w:t>（7）</w:t>
            </w:r>
            <w:r>
              <w:rPr>
                <w:rFonts w:hint="eastAsia" w:hAnsi="宋体"/>
                <w:color w:val="000000"/>
                <w:sz w:val="24"/>
                <w:lang w:val="en-US" w:eastAsia="zh-CN"/>
              </w:rPr>
              <w:t>蒸汽发生器</w:t>
            </w:r>
            <w:r>
              <w:rPr>
                <w:rFonts w:hint="eastAsia" w:hAnsi="宋体"/>
                <w:color w:val="000000"/>
                <w:sz w:val="24"/>
              </w:rPr>
              <w:t>排污水</w:t>
            </w:r>
          </w:p>
          <w:p w14:paraId="125E8513">
            <w:pPr>
              <w:adjustRightInd w:val="0"/>
              <w:snapToGrid w:val="0"/>
              <w:spacing w:line="360" w:lineRule="auto"/>
              <w:ind w:firstLine="480" w:firstLineChars="200"/>
              <w:rPr>
                <w:rFonts w:hint="eastAsia"/>
                <w:color w:val="000000"/>
                <w:sz w:val="24"/>
              </w:rPr>
            </w:pPr>
            <w:r>
              <w:rPr>
                <w:color w:val="000000"/>
                <w:sz w:val="24"/>
              </w:rPr>
              <w:t>项目生产过程中配套</w:t>
            </w:r>
            <w:r>
              <w:rPr>
                <w:rFonts w:hint="eastAsia"/>
                <w:color w:val="000000"/>
                <w:sz w:val="24"/>
                <w:lang w:val="en-US" w:eastAsia="zh-CN"/>
              </w:rPr>
              <w:t>8</w:t>
            </w:r>
            <w:r>
              <w:rPr>
                <w:color w:val="000000"/>
                <w:sz w:val="24"/>
              </w:rPr>
              <w:t>台</w:t>
            </w:r>
            <w:r>
              <w:rPr>
                <w:rFonts w:hint="eastAsia"/>
                <w:color w:val="000000"/>
                <w:sz w:val="24"/>
                <w:lang w:val="en-US" w:eastAsia="zh-CN"/>
              </w:rPr>
              <w:t>0.1</w:t>
            </w:r>
            <w:r>
              <w:rPr>
                <w:rFonts w:hint="eastAsia"/>
                <w:color w:val="000000"/>
                <w:sz w:val="24"/>
              </w:rPr>
              <w:t>t</w:t>
            </w:r>
            <w:r>
              <w:rPr>
                <w:color w:val="000000"/>
                <w:sz w:val="24"/>
              </w:rPr>
              <w:t>/h</w:t>
            </w:r>
            <w:r>
              <w:rPr>
                <w:rFonts w:hint="eastAsia"/>
                <w:color w:val="000000"/>
                <w:sz w:val="24"/>
                <w:lang w:eastAsia="zh-CN"/>
              </w:rPr>
              <w:t>、</w:t>
            </w:r>
            <w:r>
              <w:rPr>
                <w:rFonts w:hint="eastAsia"/>
                <w:color w:val="000000"/>
                <w:sz w:val="24"/>
                <w:lang w:val="en-US" w:eastAsia="zh-CN"/>
              </w:rPr>
              <w:t>6台0.15t/h以及1台0.2t/h蒸汽发生器</w:t>
            </w:r>
            <w:r>
              <w:rPr>
                <w:color w:val="000000" w:themeColor="text1"/>
                <w:sz w:val="24"/>
                <w14:textFill>
                  <w14:solidFill>
                    <w14:schemeClr w14:val="tx1"/>
                  </w14:solidFill>
                </w14:textFill>
              </w:rPr>
              <w:t>为</w:t>
            </w:r>
            <w:r>
              <w:rPr>
                <w:rFonts w:hint="eastAsia"/>
                <w:color w:val="000000" w:themeColor="text1"/>
                <w:sz w:val="24"/>
                <w:lang w:val="en-US" w:eastAsia="zh-CN"/>
                <w14:textFill>
                  <w14:solidFill>
                    <w14:schemeClr w14:val="tx1"/>
                  </w14:solidFill>
                </w14:textFill>
              </w:rPr>
              <w:t>蒸制以及餐具清洗</w:t>
            </w:r>
            <w:r>
              <w:rPr>
                <w:rFonts w:hint="eastAsia"/>
                <w:color w:val="000000" w:themeColor="text1"/>
                <w:sz w:val="24"/>
                <w14:textFill>
                  <w14:solidFill>
                    <w14:schemeClr w14:val="tx1"/>
                  </w14:solidFill>
                </w14:textFill>
              </w:rPr>
              <w:t>工序</w:t>
            </w:r>
            <w:r>
              <w:rPr>
                <w:color w:val="000000" w:themeColor="text1"/>
                <w:sz w:val="24"/>
                <w14:textFill>
                  <w14:solidFill>
                    <w14:schemeClr w14:val="tx1"/>
                  </w14:solidFill>
                </w14:textFill>
              </w:rPr>
              <w:t>提供</w:t>
            </w:r>
            <w:r>
              <w:rPr>
                <w:rFonts w:hint="eastAsia"/>
                <w:color w:val="000000" w:themeColor="text1"/>
                <w:sz w:val="24"/>
                <w14:textFill>
                  <w14:solidFill>
                    <w14:schemeClr w14:val="tx1"/>
                  </w14:solidFill>
                </w14:textFill>
              </w:rPr>
              <w:t>蒸汽</w:t>
            </w:r>
            <w:r>
              <w:rPr>
                <w:rFonts w:hint="eastAsia"/>
                <w:color w:val="000000"/>
                <w:sz w:val="24"/>
              </w:rPr>
              <w:t>，</w:t>
            </w:r>
            <w:r>
              <w:rPr>
                <w:color w:val="000000"/>
                <w:sz w:val="24"/>
              </w:rPr>
              <w:t>蒸汽对</w:t>
            </w:r>
            <w:r>
              <w:rPr>
                <w:rFonts w:hint="eastAsia"/>
                <w:color w:val="000000"/>
                <w:sz w:val="24"/>
              </w:rPr>
              <w:t>物料</w:t>
            </w:r>
            <w:r>
              <w:rPr>
                <w:color w:val="000000"/>
                <w:sz w:val="24"/>
              </w:rPr>
              <w:t>进行</w:t>
            </w:r>
            <w:r>
              <w:rPr>
                <w:rFonts w:hint="eastAsia"/>
                <w:color w:val="000000"/>
                <w:sz w:val="24"/>
                <w:lang w:val="en-US" w:eastAsia="zh-CN"/>
              </w:rPr>
              <w:t>直</w:t>
            </w:r>
            <w:r>
              <w:rPr>
                <w:color w:val="000000"/>
                <w:sz w:val="24"/>
              </w:rPr>
              <w:t>接加热</w:t>
            </w:r>
            <w:r>
              <w:rPr>
                <w:rFonts w:hint="eastAsia"/>
                <w:color w:val="000000"/>
                <w:sz w:val="24"/>
                <w:lang w:val="en-US" w:eastAsia="zh-CN"/>
              </w:rPr>
              <w:t>后散失</w:t>
            </w:r>
            <w:r>
              <w:rPr>
                <w:color w:val="000000"/>
                <w:sz w:val="24"/>
              </w:rPr>
              <w:t>。</w:t>
            </w:r>
            <w:r>
              <w:rPr>
                <w:rFonts w:hint="eastAsia"/>
                <w:color w:val="000000"/>
                <w:sz w:val="24"/>
              </w:rPr>
              <w:t>项目</w:t>
            </w:r>
            <w:r>
              <w:rPr>
                <w:rFonts w:hint="eastAsia"/>
                <w:color w:val="000000"/>
                <w:sz w:val="24"/>
                <w:lang w:val="en-US" w:eastAsia="zh-CN"/>
              </w:rPr>
              <w:t>蒸汽发生器</w:t>
            </w:r>
            <w:r>
              <w:rPr>
                <w:color w:val="000000"/>
                <w:sz w:val="24"/>
              </w:rPr>
              <w:t>运行时间为</w:t>
            </w:r>
            <w:r>
              <w:rPr>
                <w:rFonts w:hint="eastAsia"/>
                <w:color w:val="000000"/>
                <w:sz w:val="24"/>
                <w:lang w:val="en-US" w:eastAsia="zh-CN"/>
              </w:rPr>
              <w:t>8</w:t>
            </w:r>
            <w:r>
              <w:rPr>
                <w:rFonts w:hint="eastAsia"/>
                <w:color w:val="000000"/>
                <w:sz w:val="24"/>
              </w:rPr>
              <w:t>h/d，</w:t>
            </w:r>
            <w:r>
              <w:rPr>
                <w:rFonts w:hint="eastAsia"/>
                <w:color w:val="000000"/>
                <w:sz w:val="24"/>
                <w:lang w:val="en-US" w:eastAsia="zh-CN"/>
              </w:rPr>
              <w:t>蒸汽发生器</w:t>
            </w:r>
            <w:r>
              <w:rPr>
                <w:color w:val="000000"/>
                <w:sz w:val="24"/>
              </w:rPr>
              <w:t>产生蒸汽所需</w:t>
            </w:r>
            <w:r>
              <w:rPr>
                <w:rFonts w:hint="eastAsia"/>
                <w:color w:val="000000"/>
                <w:sz w:val="24"/>
                <w:lang w:val="en-US" w:eastAsia="zh-CN"/>
              </w:rPr>
              <w:t>纯</w:t>
            </w:r>
            <w:r>
              <w:rPr>
                <w:color w:val="000000"/>
                <w:sz w:val="24"/>
              </w:rPr>
              <w:t>水量为</w:t>
            </w:r>
            <w:r>
              <w:rPr>
                <w:rFonts w:hint="eastAsia"/>
                <w:color w:val="000000"/>
                <w:sz w:val="24"/>
                <w:lang w:val="en-US" w:eastAsia="zh-CN"/>
              </w:rPr>
              <w:t>15.2</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3040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w:t>
            </w:r>
            <w:r>
              <w:rPr>
                <w:rFonts w:hint="eastAsia"/>
                <w:color w:val="000000"/>
                <w:sz w:val="24"/>
                <w:lang w:val="en-US" w:eastAsia="zh-CN"/>
              </w:rPr>
              <w:t>蒸汽发生器</w:t>
            </w:r>
            <w:r>
              <w:rPr>
                <w:rFonts w:hint="eastAsia" w:ascii="Times New Roman" w:hAnsi="Times New Roman" w:eastAsia="宋体" w:cs="Times New Roman"/>
                <w:color w:val="auto"/>
                <w:sz w:val="24"/>
                <w:szCs w:val="24"/>
                <w:u w:val="none"/>
                <w:lang w:val="en-US" w:eastAsia="zh-CN"/>
              </w:rPr>
              <w:t>用水中</w:t>
            </w:r>
            <w:r>
              <w:rPr>
                <w:rFonts w:hint="eastAsia"/>
                <w:color w:val="000000"/>
                <w:sz w:val="24"/>
                <w:lang w:val="en-US" w:eastAsia="zh-CN"/>
              </w:rPr>
              <w:t>13.68</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2736</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形成蒸汽用于蒸煮，剩余</w:t>
            </w:r>
            <w:r>
              <w:rPr>
                <w:rFonts w:hint="eastAsia"/>
                <w:color w:val="000000"/>
                <w:sz w:val="24"/>
                <w:lang w:val="en-US" w:eastAsia="zh-CN"/>
              </w:rPr>
              <w:t>1.52</w:t>
            </w:r>
            <w:r>
              <w:rPr>
                <w:color w:val="000000"/>
                <w:sz w:val="24"/>
              </w:rPr>
              <w:t>m</w:t>
            </w:r>
            <w:r>
              <w:rPr>
                <w:color w:val="000000"/>
                <w:sz w:val="24"/>
                <w:vertAlign w:val="superscript"/>
              </w:rPr>
              <w:t>3</w:t>
            </w:r>
            <w:r>
              <w:rPr>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304</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ascii="Times New Roman" w:hAnsi="Times New Roman" w:eastAsia="宋体" w:cs="Times New Roman"/>
                <w:color w:val="auto"/>
                <w:sz w:val="24"/>
                <w:szCs w:val="24"/>
                <w:u w:val="none"/>
                <w:lang w:val="en-US" w:eastAsia="zh-CN"/>
              </w:rPr>
              <w:t>为</w:t>
            </w:r>
            <w:r>
              <w:rPr>
                <w:rFonts w:hint="eastAsia"/>
                <w:color w:val="000000"/>
                <w:sz w:val="24"/>
                <w:lang w:val="en-US" w:eastAsia="zh-CN"/>
              </w:rPr>
              <w:t>蒸汽发生器</w:t>
            </w:r>
            <w:r>
              <w:rPr>
                <w:rFonts w:hint="eastAsia" w:ascii="Times New Roman" w:hAnsi="Times New Roman" w:eastAsia="宋体" w:cs="Times New Roman"/>
                <w:color w:val="auto"/>
                <w:sz w:val="24"/>
                <w:szCs w:val="24"/>
                <w:u w:val="none"/>
                <w:lang w:val="en-US" w:eastAsia="zh-CN"/>
              </w:rPr>
              <w:t>定期排污水</w:t>
            </w:r>
            <w:r>
              <w:rPr>
                <w:rFonts w:hint="eastAsia" w:cs="Times New Roman"/>
                <w:color w:val="auto"/>
                <w:sz w:val="24"/>
                <w:szCs w:val="24"/>
                <w:u w:val="none"/>
                <w:lang w:val="en-US" w:eastAsia="zh-CN"/>
              </w:rPr>
              <w:t>，</w:t>
            </w:r>
            <w:r>
              <w:rPr>
                <w:rFonts w:hint="eastAsia"/>
                <w:color w:val="000000"/>
                <w:sz w:val="24"/>
              </w:rPr>
              <w:t>属于浓盐水，主要成分为钙镁离子等，SS浓度为50mg/L。</w:t>
            </w:r>
          </w:p>
          <w:p w14:paraId="1CC68AA5">
            <w:pPr>
              <w:adjustRightInd w:val="0"/>
              <w:snapToGrid w:val="0"/>
              <w:spacing w:line="360" w:lineRule="auto"/>
              <w:ind w:firstLine="480" w:firstLineChars="200"/>
              <w:rPr>
                <w:rFonts w:hint="eastAsia" w:ascii="Times New Roman" w:hAnsi="Times New Roman" w:eastAsia="宋体" w:cs="Times New Roman"/>
                <w:color w:val="auto"/>
                <w:sz w:val="24"/>
                <w:szCs w:val="24"/>
                <w:u w:val="none"/>
                <w:lang w:val="en-US" w:eastAsia="zh-CN"/>
              </w:rPr>
            </w:pPr>
            <w:r>
              <w:rPr>
                <w:rFonts w:hint="eastAsia"/>
                <w:sz w:val="24"/>
                <w:szCs w:val="24"/>
                <w:highlight w:val="none"/>
                <w:lang w:val="en-US" w:eastAsia="zh-CN"/>
              </w:rPr>
              <w:t>（8）</w:t>
            </w:r>
            <w:r>
              <w:rPr>
                <w:rFonts w:hint="eastAsia" w:hAnsi="宋体"/>
                <w:color w:val="000000"/>
                <w:sz w:val="24"/>
                <w:lang w:val="en-US" w:eastAsia="zh-CN"/>
              </w:rPr>
              <w:t>纯</w:t>
            </w:r>
            <w:r>
              <w:rPr>
                <w:rFonts w:hint="eastAsia" w:hAnsi="宋体"/>
                <w:color w:val="000000"/>
                <w:sz w:val="24"/>
              </w:rPr>
              <w:t>水制备</w:t>
            </w:r>
            <w:r>
              <w:rPr>
                <w:rFonts w:hint="eastAsia" w:hAnsi="宋体"/>
                <w:color w:val="000000"/>
                <w:sz w:val="24"/>
                <w:lang w:val="en-US" w:eastAsia="zh-CN"/>
              </w:rPr>
              <w:t>浓</w:t>
            </w:r>
            <w:r>
              <w:rPr>
                <w:rFonts w:hint="eastAsia" w:hAnsi="宋体"/>
                <w:color w:val="000000"/>
                <w:sz w:val="24"/>
              </w:rPr>
              <w:t>水</w:t>
            </w:r>
          </w:p>
          <w:p w14:paraId="061E75C9">
            <w:pPr>
              <w:adjustRightInd w:val="0"/>
              <w:snapToGrid w:val="0"/>
              <w:spacing w:line="360" w:lineRule="auto"/>
              <w:ind w:firstLine="480" w:firstLineChars="200"/>
              <w:rPr>
                <w:rFonts w:hint="eastAsia" w:eastAsia="宋体"/>
                <w:sz w:val="24"/>
                <w:szCs w:val="24"/>
                <w:highlight w:val="none"/>
                <w:lang w:val="en-US" w:eastAsia="zh-CN"/>
              </w:rPr>
            </w:pPr>
            <w:r>
              <w:rPr>
                <w:rFonts w:hint="eastAsia"/>
                <w:color w:val="000000"/>
                <w:sz w:val="24"/>
                <w:lang w:val="en-US" w:eastAsia="zh-CN"/>
              </w:rPr>
              <w:t>项目和面、蒸米工序以及蒸汽发生器需要使用纯水，</w:t>
            </w:r>
            <w:r>
              <w:rPr>
                <w:color w:val="000000"/>
                <w:sz w:val="24"/>
              </w:rPr>
              <w:t>配备</w:t>
            </w:r>
            <w:r>
              <w:rPr>
                <w:rFonts w:hint="eastAsia"/>
                <w:color w:val="000000"/>
                <w:sz w:val="24"/>
              </w:rPr>
              <w:t>1</w:t>
            </w:r>
            <w:r>
              <w:rPr>
                <w:color w:val="000000"/>
                <w:sz w:val="24"/>
              </w:rPr>
              <w:t>套</w:t>
            </w:r>
            <w:r>
              <w:rPr>
                <w:rFonts w:hint="eastAsia"/>
                <w:color w:val="000000"/>
                <w:sz w:val="24"/>
                <w:lang w:val="en-US" w:eastAsia="zh-CN"/>
              </w:rPr>
              <w:t>纯</w:t>
            </w:r>
            <w:r>
              <w:rPr>
                <w:color w:val="000000"/>
                <w:sz w:val="24"/>
              </w:rPr>
              <w:t>水制备系</w:t>
            </w:r>
            <w:r>
              <w:rPr>
                <w:color w:val="000000" w:themeColor="text1"/>
                <w:sz w:val="24"/>
                <w14:textFill>
                  <w14:solidFill>
                    <w14:schemeClr w14:val="tx1"/>
                  </w14:solidFill>
                </w14:textFill>
              </w:rPr>
              <w:t>统</w:t>
            </w:r>
            <w:r>
              <w:rPr>
                <w:rFonts w:hint="eastAsia"/>
                <w:color w:val="000000" w:themeColor="text1"/>
                <w:sz w:val="24"/>
                <w:lang w:eastAsia="zh-CN"/>
                <w14:textFill>
                  <w14:solidFill>
                    <w14:schemeClr w14:val="tx1"/>
                  </w14:solidFill>
                </w14:textFill>
              </w:rPr>
              <w:t>（RO二级反渗透）</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纯</w:t>
            </w:r>
            <w:r>
              <w:rPr>
                <w:rFonts w:hint="eastAsia"/>
                <w:color w:val="000000" w:themeColor="text1"/>
                <w:sz w:val="24"/>
                <w14:textFill>
                  <w14:solidFill>
                    <w14:schemeClr w14:val="tx1"/>
                  </w14:solidFill>
                </w14:textFill>
              </w:rPr>
              <w:t>水制备率为7</w:t>
            </w:r>
            <w:r>
              <w:rPr>
                <w:rFonts w:hint="eastAsia"/>
                <w:color w:val="000000" w:themeColor="text1"/>
                <w:sz w:val="24"/>
                <w:lang w:val="en-US" w:eastAsia="zh-CN"/>
                <w14:textFill>
                  <w14:solidFill>
                    <w14:schemeClr w14:val="tx1"/>
                  </w14:solidFill>
                </w14:textFill>
              </w:rPr>
              <w:t>0</w:t>
            </w:r>
            <w:r>
              <w:rPr>
                <w:rFonts w:hint="eastAsia"/>
                <w:color w:val="000000" w:themeColor="text1"/>
                <w:sz w:val="24"/>
                <w14:textFill>
                  <w14:solidFill>
                    <w14:schemeClr w14:val="tx1"/>
                  </w14:solidFill>
                </w14:textFill>
              </w:rPr>
              <w:t>%，</w:t>
            </w:r>
            <w:r>
              <w:rPr>
                <w:rFonts w:hint="eastAsia"/>
                <w:color w:val="000000"/>
                <w:sz w:val="24"/>
                <w:lang w:val="en-US" w:eastAsia="zh-CN"/>
              </w:rPr>
              <w:t>和面、蒸米工序以及蒸汽发生器需要使用纯水总量为18.86</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3772</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w:t>
            </w:r>
            <w:r>
              <w:rPr>
                <w:rFonts w:hint="eastAsia"/>
                <w:color w:val="000000"/>
                <w:sz w:val="24"/>
                <w:lang w:val="en-US" w:eastAsia="zh-CN"/>
              </w:rPr>
              <w:t>则纯水制备新鲜水使用总量为26.943</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5388.571</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themeColor="text1"/>
                <w:sz w:val="24"/>
                <w:lang w:val="en-US" w:eastAsia="zh-CN"/>
                <w14:textFill>
                  <w14:solidFill>
                    <w14:schemeClr w14:val="tx1"/>
                  </w14:solidFill>
                </w14:textFill>
              </w:rPr>
              <w:t>纯</w:t>
            </w:r>
            <w:r>
              <w:rPr>
                <w:rFonts w:hint="eastAsia"/>
                <w:color w:val="000000" w:themeColor="text1"/>
                <w:sz w:val="24"/>
                <w14:textFill>
                  <w14:solidFill>
                    <w14:schemeClr w14:val="tx1"/>
                  </w14:solidFill>
                </w14:textFill>
              </w:rPr>
              <w:t>水</w:t>
            </w:r>
            <w:r>
              <w:rPr>
                <w:rFonts w:hint="eastAsia"/>
                <w:color w:val="000000"/>
                <w:sz w:val="24"/>
              </w:rPr>
              <w:t>制备过程含盐废水产生量为</w:t>
            </w:r>
            <w:r>
              <w:rPr>
                <w:rFonts w:hint="eastAsia"/>
                <w:color w:val="000000"/>
                <w:sz w:val="24"/>
                <w:lang w:val="en-US" w:eastAsia="zh-CN"/>
              </w:rPr>
              <w:t>8.083</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ascii="Times New Roman" w:hAnsi="Times New Roman" w:eastAsia="宋体" w:cs="Times New Roman"/>
                <w:bCs/>
                <w:color w:val="auto"/>
                <w:sz w:val="24"/>
                <w:szCs w:val="24"/>
                <w:u w:val="none"/>
                <w:lang w:eastAsia="zh-CN"/>
              </w:rPr>
              <w:t>（</w:t>
            </w:r>
            <w:r>
              <w:rPr>
                <w:rFonts w:hint="eastAsia"/>
                <w:sz w:val="24"/>
                <w:szCs w:val="24"/>
                <w:lang w:val="en-US" w:eastAsia="zh-CN"/>
              </w:rPr>
              <w:t>1616.571</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w:t>
            </w:r>
            <w:r>
              <w:rPr>
                <w:rFonts w:hint="eastAsia" w:ascii="Times New Roman" w:hAnsi="Times New Roman" w:eastAsia="宋体" w:cs="Times New Roman"/>
                <w:bCs/>
                <w:color w:val="auto"/>
                <w:sz w:val="24"/>
                <w:szCs w:val="24"/>
                <w:u w:val="none"/>
                <w:lang w:val="en-US" w:eastAsia="zh-CN"/>
              </w:rPr>
              <w:t>a</w:t>
            </w:r>
            <w:r>
              <w:rPr>
                <w:rFonts w:hint="eastAsia" w:ascii="Times New Roman" w:hAnsi="Times New Roman" w:eastAsia="宋体" w:cs="Times New Roman"/>
                <w:bCs/>
                <w:color w:val="auto"/>
                <w:sz w:val="24"/>
                <w:szCs w:val="24"/>
                <w:u w:val="none"/>
                <w:lang w:eastAsia="zh-CN"/>
              </w:rPr>
              <w:t>）</w:t>
            </w:r>
            <w:r>
              <w:rPr>
                <w:rFonts w:hint="eastAsia"/>
                <w:color w:val="000000"/>
                <w:sz w:val="24"/>
              </w:rPr>
              <w:t>，属于浓盐水，主要成分为钙镁离子等，SS浓度为50mg/L。</w:t>
            </w:r>
          </w:p>
          <w:p w14:paraId="0C6FD93D">
            <w:pPr>
              <w:adjustRightInd w:val="0"/>
              <w:snapToGrid w:val="0"/>
              <w:spacing w:line="360" w:lineRule="auto"/>
              <w:ind w:firstLine="480" w:firstLineChars="200"/>
              <w:rPr>
                <w:rFonts w:hint="eastAsia"/>
                <w:color w:val="000000" w:themeColor="text1"/>
                <w:kern w:val="0"/>
                <w:sz w:val="24"/>
                <w:lang w:bidi="ar"/>
                <w14:textFill>
                  <w14:solidFill>
                    <w14:schemeClr w14:val="tx1"/>
                  </w14:solidFill>
                </w14:textFill>
              </w:rPr>
            </w:pPr>
            <w:r>
              <w:rPr>
                <w:rFonts w:hint="eastAsia"/>
                <w:sz w:val="24"/>
                <w:szCs w:val="24"/>
                <w:highlight w:val="none"/>
                <w:lang w:val="en-US" w:eastAsia="zh-CN"/>
              </w:rPr>
              <w:t>（9）</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验室</w:t>
            </w:r>
            <w:r>
              <w:rPr>
                <w:rFonts w:hint="eastAsia"/>
                <w:color w:val="000000" w:themeColor="text1"/>
                <w:kern w:val="0"/>
                <w:sz w:val="24"/>
                <w:lang w:val="en-US" w:eastAsia="zh-CN" w:bidi="ar"/>
                <w14:textFill>
                  <w14:solidFill>
                    <w14:schemeClr w14:val="tx1"/>
                  </w14:solidFill>
                </w14:textFill>
              </w:rPr>
              <w:t>废</w:t>
            </w:r>
            <w:r>
              <w:rPr>
                <w:rFonts w:hint="eastAsia"/>
                <w:color w:val="000000" w:themeColor="text1"/>
                <w:kern w:val="0"/>
                <w:sz w:val="24"/>
                <w:lang w:bidi="ar"/>
                <w14:textFill>
                  <w14:solidFill>
                    <w14:schemeClr w14:val="tx1"/>
                  </w14:solidFill>
                </w14:textFill>
              </w:rPr>
              <w:t>水</w:t>
            </w:r>
          </w:p>
          <w:p w14:paraId="4D877DFC">
            <w:pPr>
              <w:adjustRightInd w:val="0"/>
              <w:snapToGrid w:val="0"/>
              <w:spacing w:line="360" w:lineRule="auto"/>
              <w:ind w:firstLine="480" w:firstLineChars="200"/>
              <w:rPr>
                <w:rFonts w:hint="eastAsia"/>
                <w:color w:val="000000" w:themeColor="text1"/>
                <w:kern w:val="0"/>
                <w:sz w:val="24"/>
                <w:lang w:bidi="ar"/>
                <w14:textFill>
                  <w14:solidFill>
                    <w14:schemeClr w14:val="tx1"/>
                  </w14:solidFill>
                </w14:textFill>
              </w:rPr>
            </w:pPr>
            <w:r>
              <w:rPr>
                <w:rFonts w:hint="eastAsia"/>
                <w:color w:val="000000" w:themeColor="text1"/>
                <w:kern w:val="0"/>
                <w:sz w:val="24"/>
                <w:lang w:bidi="ar"/>
                <w14:textFill>
                  <w14:solidFill>
                    <w14:schemeClr w14:val="tx1"/>
                  </w14:solidFill>
                </w14:textFill>
              </w:rPr>
              <w:t>项目设置一个小型</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验室，主要进行简单的理化及微生物实验。项目</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验室废水产生量极小，用水量约为</w:t>
            </w:r>
            <w:r>
              <w:rPr>
                <w:rFonts w:hint="eastAsia"/>
                <w:color w:val="000000" w:themeColor="text1"/>
                <w:sz w:val="24"/>
                <w:lang w:val="en-US" w:eastAsia="zh-CN"/>
                <w14:textFill>
                  <w14:solidFill>
                    <w14:schemeClr w14:val="tx1"/>
                  </w14:solidFill>
                </w14:textFill>
              </w:rPr>
              <w:t>0.1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lang w:val="en-US" w:eastAsia="zh-CN"/>
                <w14:textFill>
                  <w14:solidFill>
                    <w14:schemeClr w14:val="tx1"/>
                  </w14:solidFill>
                </w14:textFill>
              </w:rPr>
              <w:t>20.0</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kern w:val="0"/>
                <w:sz w:val="24"/>
                <w:lang w:bidi="ar"/>
                <w14:textFill>
                  <w14:solidFill>
                    <w14:schemeClr w14:val="tx1"/>
                  </w14:solidFill>
                </w14:textFill>
              </w:rPr>
              <w:t>，产污系数按0.9计，则项目</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验室废水产生量为</w:t>
            </w:r>
            <w:r>
              <w:rPr>
                <w:rFonts w:hint="eastAsia"/>
                <w:color w:val="000000" w:themeColor="text1"/>
                <w:sz w:val="24"/>
                <w:lang w:val="en-US" w:eastAsia="zh-CN"/>
                <w14:textFill>
                  <w14:solidFill>
                    <w14:schemeClr w14:val="tx1"/>
                  </w14:solidFill>
                </w14:textFill>
              </w:rPr>
              <w:t>0.09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lang w:val="en-US" w:eastAsia="zh-CN"/>
                <w14:textFill>
                  <w14:solidFill>
                    <w14:schemeClr w14:val="tx1"/>
                  </w14:solidFill>
                </w14:textFill>
              </w:rPr>
              <w:t>18.0</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kern w:val="0"/>
                <w:sz w:val="24"/>
                <w:lang w:bidi="ar"/>
                <w14:textFill>
                  <w14:solidFill>
                    <w14:schemeClr w14:val="tx1"/>
                  </w14:solidFill>
                </w14:textFill>
              </w:rPr>
              <w:t>。</w:t>
            </w:r>
          </w:p>
          <w:p w14:paraId="59DD279D">
            <w:pPr>
              <w:adjustRightInd w:val="0"/>
              <w:snapToGrid w:val="0"/>
              <w:spacing w:line="360" w:lineRule="auto"/>
              <w:ind w:firstLine="480" w:firstLineChars="200"/>
              <w:rPr>
                <w:rFonts w:hint="eastAsia" w:eastAsia="宋体"/>
                <w:sz w:val="24"/>
                <w:szCs w:val="24"/>
                <w:highlight w:val="none"/>
                <w:lang w:val="en-US" w:eastAsia="zh-CN"/>
              </w:rPr>
            </w:pPr>
            <w:r>
              <w:rPr>
                <w:rFonts w:hint="eastAsia" w:eastAsia="宋体"/>
                <w:sz w:val="24"/>
                <w:szCs w:val="24"/>
                <w:highlight w:val="none"/>
                <w:lang w:val="en-US" w:eastAsia="zh-CN"/>
              </w:rPr>
              <w:t>本项目生产废水水质参考《食品工业废水处理》（2001）唐受印等编著（化学工业出版社）食品工业废水的浓度限值及《饮食业环境保护技术规范》（HJ554-2010）饮食业单位含油污水水质中的污染物浓度范围，</w:t>
            </w:r>
            <w:r>
              <w:rPr>
                <w:rFonts w:hint="eastAsia"/>
                <w:sz w:val="24"/>
                <w:szCs w:val="24"/>
                <w:highlight w:val="none"/>
                <w:lang w:val="en-US" w:eastAsia="zh-CN"/>
              </w:rPr>
              <w:t>水质为</w:t>
            </w:r>
            <w:r>
              <w:rPr>
                <w:rFonts w:hint="eastAsia" w:eastAsia="宋体"/>
                <w:sz w:val="24"/>
                <w:szCs w:val="24"/>
                <w:highlight w:val="none"/>
                <w:lang w:val="en-US" w:eastAsia="zh-CN"/>
              </w:rPr>
              <w:t>：COD浓度为1000mg/L、BOD</w:t>
            </w:r>
            <w:r>
              <w:rPr>
                <w:rFonts w:hint="eastAsia" w:eastAsia="宋体"/>
                <w:sz w:val="24"/>
                <w:szCs w:val="24"/>
                <w:highlight w:val="none"/>
                <w:vertAlign w:val="subscript"/>
                <w:lang w:val="en-US" w:eastAsia="zh-CN"/>
              </w:rPr>
              <w:t>5</w:t>
            </w:r>
            <w:r>
              <w:rPr>
                <w:rFonts w:hint="eastAsia" w:eastAsia="宋体"/>
                <w:sz w:val="24"/>
                <w:szCs w:val="24"/>
                <w:highlight w:val="none"/>
                <w:lang w:val="en-US" w:eastAsia="zh-CN"/>
              </w:rPr>
              <w:t>浓度为500mg/L、NH</w:t>
            </w:r>
            <w:r>
              <w:rPr>
                <w:rFonts w:hint="eastAsia" w:eastAsia="宋体"/>
                <w:sz w:val="24"/>
                <w:szCs w:val="24"/>
                <w:highlight w:val="none"/>
                <w:vertAlign w:val="subscript"/>
                <w:lang w:val="en-US" w:eastAsia="zh-CN"/>
              </w:rPr>
              <w:t>3</w:t>
            </w:r>
            <w:r>
              <w:rPr>
                <w:rFonts w:hint="eastAsia" w:eastAsia="宋体"/>
                <w:sz w:val="24"/>
                <w:szCs w:val="24"/>
                <w:highlight w:val="none"/>
                <w:lang w:val="en-US" w:eastAsia="zh-CN"/>
              </w:rPr>
              <w:t>-N浓度为30mg/L、SS浓度为500mg/L、动植物油浓度为50mg/L、总磷浓度为10mg/L和LAS浓度为10mg/L，根据《含油污水处理工程技术规范》(HJ580-2010)要求及项目污水水质情况，企业设计安装污水处理设施，进入污水处理装置废水量为46.625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lang w:val="en-US" w:eastAsia="zh-CN"/>
                <w14:textFill>
                  <w14:solidFill>
                    <w14:schemeClr w14:val="tx1"/>
                  </w14:solidFill>
                </w14:textFill>
              </w:rPr>
              <w:t>9325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eastAsia="宋体"/>
                <w:sz w:val="24"/>
                <w:szCs w:val="24"/>
                <w:highlight w:val="none"/>
                <w:lang w:val="en-US" w:eastAsia="zh-CN"/>
              </w:rPr>
              <w:t>。</w:t>
            </w:r>
          </w:p>
          <w:p w14:paraId="1417E47B">
            <w:pPr>
              <w:adjustRightInd w:val="0"/>
              <w:snapToGrid w:val="0"/>
              <w:spacing w:line="360" w:lineRule="auto"/>
              <w:ind w:firstLine="480" w:firstLineChars="200"/>
              <w:rPr>
                <w:rFonts w:hint="eastAsia" w:ascii="Times New Roman" w:hAnsi="Times New Roman" w:eastAsia="宋体" w:cs="Times New Roman"/>
                <w:bCs/>
                <w:color w:val="auto"/>
                <w:sz w:val="24"/>
                <w:szCs w:val="24"/>
                <w:highlight w:val="yellow"/>
                <w:u w:val="none"/>
                <w:lang w:eastAsia="zh-CN"/>
              </w:rPr>
            </w:pPr>
            <w:r>
              <w:rPr>
                <w:rFonts w:hint="eastAsia" w:eastAsia="宋体"/>
                <w:sz w:val="24"/>
                <w:szCs w:val="24"/>
                <w:highlight w:val="none"/>
                <w:lang w:val="en-US" w:eastAsia="zh-CN"/>
              </w:rPr>
              <w:t>本项目生产废水（</w:t>
            </w:r>
            <w:r>
              <w:rPr>
                <w:rFonts w:hint="eastAsia"/>
                <w:b w:val="0"/>
                <w:bCs/>
                <w:sz w:val="24"/>
                <w:szCs w:val="24"/>
                <w:lang w:eastAsia="zh-CN"/>
              </w:rPr>
              <w:t>肉类解冻清洗</w:t>
            </w:r>
            <w:r>
              <w:rPr>
                <w:rFonts w:hint="eastAsia" w:ascii="Times New Roman" w:hAnsi="Times New Roman" w:eastAsia="宋体" w:cs="Times New Roman"/>
                <w:color w:val="auto"/>
                <w:sz w:val="24"/>
                <w:szCs w:val="24"/>
                <w:u w:val="none"/>
                <w:lang w:val="en-US" w:eastAsia="zh-CN"/>
              </w:rPr>
              <w:t>废水</w:t>
            </w:r>
            <w:r>
              <w:rPr>
                <w:rFonts w:hint="eastAsia" w:ascii="Times New Roman" w:hAnsi="Times New Roman" w:cs="Times New Roman"/>
                <w:color w:val="auto"/>
                <w:sz w:val="24"/>
                <w:szCs w:val="24"/>
                <w:u w:val="none"/>
                <w:lang w:val="en-US" w:eastAsia="zh-CN"/>
              </w:rPr>
              <w:t>、</w:t>
            </w:r>
            <w:r>
              <w:rPr>
                <w:rFonts w:hint="eastAsia"/>
                <w:b w:val="0"/>
                <w:bCs/>
                <w:sz w:val="24"/>
                <w:szCs w:val="24"/>
                <w:lang w:val="en-US" w:eastAsia="zh-CN"/>
              </w:rPr>
              <w:t>蔬菜清洗</w:t>
            </w:r>
            <w:r>
              <w:rPr>
                <w:rFonts w:hint="eastAsia" w:ascii="Times New Roman" w:hAnsi="Times New Roman" w:eastAsia="宋体" w:cs="Times New Roman"/>
                <w:color w:val="auto"/>
                <w:sz w:val="24"/>
                <w:szCs w:val="24"/>
                <w:u w:val="none"/>
                <w:lang w:val="en-US" w:eastAsia="zh-CN"/>
              </w:rPr>
              <w:t>废水</w:t>
            </w:r>
            <w:r>
              <w:rPr>
                <w:rFonts w:hint="eastAsia" w:eastAsia="宋体"/>
                <w:sz w:val="24"/>
                <w:szCs w:val="24"/>
                <w:highlight w:val="none"/>
                <w:lang w:val="en-US" w:eastAsia="zh-CN"/>
              </w:rPr>
              <w:t>、</w:t>
            </w:r>
            <w:r>
              <w:rPr>
                <w:rFonts w:hint="eastAsia" w:ascii="Times New Roman" w:hAnsi="Times New Roman"/>
                <w:color w:val="000000" w:themeColor="text1"/>
                <w:sz w:val="24"/>
                <w:szCs w:val="24"/>
                <w:lang w:val="en-US" w:eastAsia="zh-CN"/>
                <w14:textFill>
                  <w14:solidFill>
                    <w14:schemeClr w14:val="tx1"/>
                  </w14:solidFill>
                </w14:textFill>
              </w:rPr>
              <w:t>洗米</w:t>
            </w:r>
            <w:r>
              <w:rPr>
                <w:rFonts w:hint="eastAsia" w:ascii="Times New Roman" w:hAnsi="Times New Roman" w:eastAsia="宋体" w:cs="Times New Roman"/>
                <w:color w:val="auto"/>
                <w:sz w:val="24"/>
                <w:szCs w:val="24"/>
                <w:u w:val="none"/>
                <w:lang w:val="en-US" w:eastAsia="zh-CN"/>
              </w:rPr>
              <w:t>废水</w:t>
            </w:r>
            <w:r>
              <w:rPr>
                <w:rFonts w:hint="eastAsia" w:ascii="Times New Roman" w:hAnsi="Times New Roman" w:cs="Times New Roman"/>
                <w:color w:val="auto"/>
                <w:sz w:val="24"/>
                <w:szCs w:val="24"/>
                <w:u w:val="none"/>
                <w:lang w:val="en-US" w:eastAsia="zh-CN"/>
              </w:rPr>
              <w:t>、</w:t>
            </w:r>
            <w:r>
              <w:rPr>
                <w:rFonts w:hint="eastAsia"/>
                <w:sz w:val="24"/>
                <w:szCs w:val="24"/>
                <w:lang w:val="en-US" w:eastAsia="zh-CN"/>
              </w:rPr>
              <w:t>设备清洗废</w:t>
            </w:r>
            <w:r>
              <w:rPr>
                <w:rFonts w:hint="eastAsia" w:hAnsi="宋体"/>
                <w:color w:val="000000"/>
                <w:sz w:val="24"/>
              </w:rPr>
              <w:t>水</w:t>
            </w:r>
            <w:r>
              <w:rPr>
                <w:rFonts w:hint="eastAsia" w:hAnsi="宋体"/>
                <w:color w:val="000000"/>
                <w:sz w:val="24"/>
                <w:lang w:eastAsia="zh-CN"/>
              </w:rPr>
              <w:t>、</w:t>
            </w:r>
            <w:r>
              <w:rPr>
                <w:rFonts w:hint="eastAsia"/>
                <w:sz w:val="24"/>
                <w:szCs w:val="24"/>
                <w:lang w:eastAsia="zh-CN"/>
              </w:rPr>
              <w:t>餐具回收清洗</w:t>
            </w:r>
            <w:r>
              <w:rPr>
                <w:rFonts w:hint="eastAsia"/>
                <w:color w:val="000000" w:themeColor="text1"/>
                <w:kern w:val="0"/>
                <w:sz w:val="24"/>
                <w:lang w:val="en-US" w:eastAsia="zh-CN" w:bidi="ar"/>
                <w14:textFill>
                  <w14:solidFill>
                    <w14:schemeClr w14:val="tx1"/>
                  </w14:solidFill>
                </w14:textFill>
              </w:rPr>
              <w:t>废</w:t>
            </w:r>
            <w:r>
              <w:rPr>
                <w:rFonts w:hint="eastAsia"/>
                <w:color w:val="000000" w:themeColor="text1"/>
                <w:kern w:val="0"/>
                <w:sz w:val="24"/>
                <w:lang w:bidi="ar"/>
                <w14:textFill>
                  <w14:solidFill>
                    <w14:schemeClr w14:val="tx1"/>
                  </w14:solidFill>
                </w14:textFill>
              </w:rPr>
              <w:t>水</w:t>
            </w:r>
            <w:r>
              <w:rPr>
                <w:rFonts w:hint="eastAsia"/>
                <w:color w:val="000000" w:themeColor="text1"/>
                <w:kern w:val="0"/>
                <w:sz w:val="24"/>
                <w:lang w:eastAsia="zh-CN" w:bidi="ar"/>
                <w14:textFill>
                  <w14:solidFill>
                    <w14:schemeClr w14:val="tx1"/>
                  </w14:solidFill>
                </w14:textFill>
              </w:rPr>
              <w:t>、</w:t>
            </w:r>
            <w:r>
              <w:rPr>
                <w:rFonts w:hint="eastAsia" w:hAnsi="宋体"/>
                <w:color w:val="000000"/>
                <w:sz w:val="24"/>
                <w:lang w:val="en-US" w:eastAsia="zh-CN"/>
              </w:rPr>
              <w:t>蒸汽发生器</w:t>
            </w:r>
            <w:r>
              <w:rPr>
                <w:rFonts w:hint="eastAsia" w:hAnsi="宋体"/>
                <w:color w:val="000000"/>
                <w:sz w:val="24"/>
              </w:rPr>
              <w:t>排污水</w:t>
            </w:r>
            <w:r>
              <w:rPr>
                <w:rFonts w:hint="eastAsia" w:hAnsi="宋体"/>
                <w:color w:val="000000"/>
                <w:sz w:val="24"/>
                <w:lang w:eastAsia="zh-CN"/>
              </w:rPr>
              <w:t>、</w:t>
            </w:r>
            <w:r>
              <w:rPr>
                <w:rFonts w:hint="eastAsia" w:hAnsi="宋体"/>
                <w:color w:val="000000"/>
                <w:sz w:val="24"/>
                <w:lang w:val="en-US" w:eastAsia="zh-CN"/>
              </w:rPr>
              <w:t>纯</w:t>
            </w:r>
            <w:r>
              <w:rPr>
                <w:rFonts w:hint="eastAsia" w:hAnsi="宋体"/>
                <w:color w:val="000000"/>
                <w:sz w:val="24"/>
              </w:rPr>
              <w:t>水制备</w:t>
            </w:r>
            <w:r>
              <w:rPr>
                <w:rFonts w:hint="eastAsia" w:hAnsi="宋体"/>
                <w:color w:val="000000"/>
                <w:sz w:val="24"/>
                <w:lang w:val="en-US" w:eastAsia="zh-CN"/>
              </w:rPr>
              <w:t>浓</w:t>
            </w:r>
            <w:r>
              <w:rPr>
                <w:rFonts w:hint="eastAsia" w:hAnsi="宋体"/>
                <w:color w:val="000000"/>
                <w:sz w:val="24"/>
              </w:rPr>
              <w:t>水</w:t>
            </w:r>
            <w:r>
              <w:rPr>
                <w:rFonts w:hint="eastAsia" w:hAnsi="宋体"/>
                <w:color w:val="000000"/>
                <w:sz w:val="24"/>
                <w:lang w:val="en-US" w:eastAsia="zh-CN"/>
              </w:rPr>
              <w:t>以及</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验室</w:t>
            </w:r>
            <w:r>
              <w:rPr>
                <w:rFonts w:hint="eastAsia" w:eastAsia="宋体"/>
                <w:sz w:val="24"/>
                <w:szCs w:val="24"/>
                <w:highlight w:val="none"/>
                <w:lang w:val="en-US" w:eastAsia="zh-CN"/>
              </w:rPr>
              <w:t>废水）经过“</w:t>
            </w:r>
            <w:r>
              <w:rPr>
                <w:rFonts w:hint="eastAsia"/>
                <w:sz w:val="24"/>
                <w:szCs w:val="24"/>
                <w:highlight w:val="none"/>
                <w:lang w:val="en-US" w:eastAsia="zh-CN"/>
              </w:rPr>
              <w:t>格栅</w:t>
            </w:r>
            <w:r>
              <w:rPr>
                <w:rFonts w:hint="eastAsia" w:eastAsia="宋体"/>
                <w:sz w:val="24"/>
                <w:szCs w:val="24"/>
                <w:highlight w:val="none"/>
                <w:lang w:val="en-US" w:eastAsia="zh-CN"/>
              </w:rPr>
              <w:t>+隔油</w:t>
            </w:r>
            <w:r>
              <w:rPr>
                <w:rFonts w:hint="eastAsia"/>
                <w:sz w:val="24"/>
                <w:szCs w:val="24"/>
                <w:highlight w:val="none"/>
                <w:lang w:val="en-US" w:eastAsia="zh-CN"/>
              </w:rPr>
              <w:t>池</w:t>
            </w:r>
            <w:r>
              <w:rPr>
                <w:rFonts w:hint="eastAsia" w:eastAsia="宋体"/>
                <w:sz w:val="24"/>
                <w:szCs w:val="24"/>
                <w:highlight w:val="none"/>
                <w:lang w:val="en-US" w:eastAsia="zh-CN"/>
              </w:rPr>
              <w:t>+</w:t>
            </w:r>
            <w:r>
              <w:rPr>
                <w:rFonts w:hint="eastAsia"/>
                <w:sz w:val="24"/>
                <w:szCs w:val="24"/>
                <w:highlight w:val="none"/>
                <w:lang w:val="en-US" w:eastAsia="zh-CN"/>
              </w:rPr>
              <w:t>A/O+沉淀</w:t>
            </w:r>
            <w:r>
              <w:rPr>
                <w:rFonts w:hint="eastAsia" w:eastAsia="宋体"/>
                <w:sz w:val="24"/>
                <w:szCs w:val="24"/>
                <w:highlight w:val="none"/>
                <w:lang w:val="en-US" w:eastAsia="zh-CN"/>
              </w:rPr>
              <w:t>”处理后经厂区总排口排入市政污水管网</w:t>
            </w:r>
            <w:r>
              <w:rPr>
                <w:rFonts w:hint="eastAsia"/>
                <w:sz w:val="24"/>
                <w:szCs w:val="24"/>
                <w:highlight w:val="none"/>
                <w:lang w:val="en-US" w:eastAsia="zh-CN"/>
              </w:rPr>
              <w:t>后</w:t>
            </w:r>
            <w:r>
              <w:rPr>
                <w:color w:val="000000" w:themeColor="text1"/>
                <w:kern w:val="0"/>
                <w:sz w:val="24"/>
                <w:highlight w:val="none"/>
                <w14:textFill>
                  <w14:solidFill>
                    <w14:schemeClr w14:val="tx1"/>
                  </w14:solidFill>
                </w14:textFill>
              </w:rPr>
              <w:t>进入镇平县第二污水处理厂进一步处理</w:t>
            </w:r>
            <w:r>
              <w:rPr>
                <w:rFonts w:hint="eastAsia" w:eastAsia="宋体"/>
                <w:sz w:val="24"/>
                <w:szCs w:val="24"/>
                <w:highlight w:val="none"/>
                <w:lang w:val="en-US" w:eastAsia="zh-CN"/>
              </w:rPr>
              <w:t>。</w:t>
            </w:r>
          </w:p>
          <w:p w14:paraId="5E0CDEDC">
            <w:pPr>
              <w:spacing w:line="360" w:lineRule="auto"/>
              <w:jc w:val="center"/>
              <w:rPr>
                <w:ins w:id="85" w:author="Administrator" w:date="2025-10-04T00:20:22Z"/>
                <w:b/>
                <w:bCs/>
                <w:color w:val="000000" w:themeColor="text1"/>
                <w:sz w:val="24"/>
                <w14:textFill>
                  <w14:solidFill>
                    <w14:schemeClr w14:val="tx1"/>
                  </w14:solidFill>
                </w14:textFill>
              </w:rPr>
            </w:pPr>
          </w:p>
          <w:p w14:paraId="7FDFA6FD">
            <w:pPr>
              <w:spacing w:line="360" w:lineRule="auto"/>
              <w:jc w:val="center"/>
              <w:rPr>
                <w:ins w:id="86" w:author="Administrator" w:date="2025-10-04T00:20:22Z"/>
                <w:b/>
                <w:bCs/>
                <w:color w:val="000000" w:themeColor="text1"/>
                <w:sz w:val="24"/>
                <w14:textFill>
                  <w14:solidFill>
                    <w14:schemeClr w14:val="tx1"/>
                  </w14:solidFill>
                </w14:textFill>
              </w:rPr>
            </w:pPr>
          </w:p>
          <w:p w14:paraId="2AE38534">
            <w:pPr>
              <w:spacing w:line="360" w:lineRule="auto"/>
              <w:jc w:val="center"/>
              <w:rPr>
                <w:ins w:id="87" w:author="Administrator" w:date="2025-10-04T00:20:23Z"/>
                <w:b/>
                <w:bCs/>
                <w:color w:val="000000" w:themeColor="text1"/>
                <w:sz w:val="24"/>
                <w14:textFill>
                  <w14:solidFill>
                    <w14:schemeClr w14:val="tx1"/>
                  </w14:solidFill>
                </w14:textFill>
              </w:rPr>
            </w:pPr>
          </w:p>
          <w:p w14:paraId="2DE7DC58">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lang w:val="en-US" w:eastAsia="zh-CN"/>
                <w14:textFill>
                  <w14:solidFill>
                    <w14:schemeClr w14:val="tx1"/>
                  </w14:solidFill>
                </w14:textFill>
              </w:rPr>
              <w:t>9</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项目营运期废水水质一览表</w:t>
            </w:r>
          </w:p>
          <w:tbl>
            <w:tblPr>
              <w:tblStyle w:val="20"/>
              <w:tblW w:w="499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488"/>
              <w:gridCol w:w="2869"/>
              <w:gridCol w:w="729"/>
              <w:gridCol w:w="790"/>
              <w:gridCol w:w="790"/>
              <w:gridCol w:w="790"/>
              <w:gridCol w:w="683"/>
              <w:gridCol w:w="549"/>
              <w:gridCol w:w="959"/>
              <w:gridCol w:w="556"/>
            </w:tblGrid>
            <w:tr w14:paraId="1DC9C3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5" w:type="pct"/>
                  <w:vMerge w:val="restart"/>
                  <w:tcBorders>
                    <w:right w:val="single" w:color="auto" w:sz="4" w:space="0"/>
                  </w:tcBorders>
                  <w:vAlign w:val="center"/>
                </w:tcPr>
                <w:p w14:paraId="3500FCC8">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序号</w:t>
                  </w:r>
                </w:p>
              </w:tc>
              <w:tc>
                <w:tcPr>
                  <w:tcW w:w="1558" w:type="pct"/>
                  <w:vMerge w:val="restart"/>
                  <w:tcBorders>
                    <w:left w:val="single" w:color="auto" w:sz="4" w:space="0"/>
                  </w:tcBorders>
                  <w:vAlign w:val="center"/>
                </w:tcPr>
                <w:p w14:paraId="6D2A4449">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废水类别</w:t>
                  </w:r>
                </w:p>
              </w:tc>
              <w:tc>
                <w:tcPr>
                  <w:tcW w:w="396" w:type="pct"/>
                  <w:vMerge w:val="restart"/>
                  <w:vAlign w:val="center"/>
                </w:tcPr>
                <w:p w14:paraId="1915CAAC">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废水量</w:t>
                  </w:r>
                </w:p>
                <w:p w14:paraId="28A21FE9">
                  <w:pPr>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2779" w:type="pct"/>
                  <w:gridSpan w:val="7"/>
                  <w:tcBorders>
                    <w:right w:val="single" w:color="auto" w:sz="4" w:space="0"/>
                  </w:tcBorders>
                  <w:vAlign w:val="center"/>
                </w:tcPr>
                <w:p w14:paraId="4E7516E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产生浓度（mg/L）</w:t>
                  </w:r>
                </w:p>
              </w:tc>
            </w:tr>
            <w:tr w14:paraId="0E9D7E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5" w:type="pct"/>
                  <w:vMerge w:val="continue"/>
                  <w:tcBorders>
                    <w:right w:val="single" w:color="auto" w:sz="4" w:space="0"/>
                  </w:tcBorders>
                  <w:vAlign w:val="center"/>
                </w:tcPr>
                <w:p w14:paraId="3E04396F">
                  <w:pPr>
                    <w:jc w:val="center"/>
                    <w:rPr>
                      <w:b/>
                      <w:bCs/>
                      <w:color w:val="000000" w:themeColor="text1"/>
                      <w:szCs w:val="21"/>
                      <w14:textFill>
                        <w14:solidFill>
                          <w14:schemeClr w14:val="tx1"/>
                        </w14:solidFill>
                      </w14:textFill>
                    </w:rPr>
                  </w:pPr>
                </w:p>
              </w:tc>
              <w:tc>
                <w:tcPr>
                  <w:tcW w:w="1558" w:type="pct"/>
                  <w:vMerge w:val="continue"/>
                  <w:tcBorders>
                    <w:left w:val="single" w:color="auto" w:sz="4" w:space="0"/>
                  </w:tcBorders>
                  <w:vAlign w:val="center"/>
                </w:tcPr>
                <w:p w14:paraId="2E8C4C9C">
                  <w:pPr>
                    <w:jc w:val="center"/>
                    <w:rPr>
                      <w:b/>
                      <w:bCs/>
                      <w:color w:val="000000" w:themeColor="text1"/>
                      <w:szCs w:val="21"/>
                      <w14:textFill>
                        <w14:solidFill>
                          <w14:schemeClr w14:val="tx1"/>
                        </w14:solidFill>
                      </w14:textFill>
                    </w:rPr>
                  </w:pPr>
                </w:p>
              </w:tc>
              <w:tc>
                <w:tcPr>
                  <w:tcW w:w="396" w:type="pct"/>
                  <w:vMerge w:val="continue"/>
                  <w:vAlign w:val="center"/>
                </w:tcPr>
                <w:p w14:paraId="0B087BC0">
                  <w:pPr>
                    <w:jc w:val="center"/>
                    <w:rPr>
                      <w:b/>
                      <w:bCs/>
                      <w:color w:val="000000" w:themeColor="text1"/>
                      <w:szCs w:val="21"/>
                      <w14:textFill>
                        <w14:solidFill>
                          <w14:schemeClr w14:val="tx1"/>
                        </w14:solidFill>
                      </w14:textFill>
                    </w:rPr>
                  </w:pPr>
                </w:p>
              </w:tc>
              <w:tc>
                <w:tcPr>
                  <w:tcW w:w="429" w:type="pct"/>
                  <w:vAlign w:val="center"/>
                </w:tcPr>
                <w:p w14:paraId="4AC73229">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COD</w:t>
                  </w:r>
                </w:p>
              </w:tc>
              <w:tc>
                <w:tcPr>
                  <w:tcW w:w="429" w:type="pct"/>
                  <w:vAlign w:val="center"/>
                </w:tcPr>
                <w:p w14:paraId="7D2A0F22">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BOD</w:t>
                  </w:r>
                  <w:r>
                    <w:rPr>
                      <w:bCs/>
                      <w:color w:val="000000" w:themeColor="text1"/>
                      <w:szCs w:val="21"/>
                      <w:vertAlign w:val="subscript"/>
                      <w14:textFill>
                        <w14:solidFill>
                          <w14:schemeClr w14:val="tx1"/>
                        </w14:solidFill>
                      </w14:textFill>
                    </w:rPr>
                    <w:t>5</w:t>
                  </w:r>
                </w:p>
              </w:tc>
              <w:tc>
                <w:tcPr>
                  <w:tcW w:w="429" w:type="pct"/>
                  <w:vAlign w:val="center"/>
                </w:tcPr>
                <w:p w14:paraId="18518C1E">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SS</w:t>
                  </w:r>
                </w:p>
              </w:tc>
              <w:tc>
                <w:tcPr>
                  <w:tcW w:w="371" w:type="pct"/>
                  <w:tcBorders>
                    <w:right w:val="single" w:color="auto" w:sz="4" w:space="0"/>
                  </w:tcBorders>
                  <w:vAlign w:val="center"/>
                </w:tcPr>
                <w:p w14:paraId="2F8D2320">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NH</w:t>
                  </w:r>
                  <w:r>
                    <w:rPr>
                      <w:bCs/>
                      <w:color w:val="000000" w:themeColor="text1"/>
                      <w:szCs w:val="21"/>
                      <w:vertAlign w:val="subscript"/>
                      <w14:textFill>
                        <w14:solidFill>
                          <w14:schemeClr w14:val="tx1"/>
                        </w14:solidFill>
                      </w14:textFill>
                    </w:rPr>
                    <w:t>3</w:t>
                  </w:r>
                  <w:r>
                    <w:rPr>
                      <w:bCs/>
                      <w:color w:val="000000" w:themeColor="text1"/>
                      <w:szCs w:val="21"/>
                      <w14:textFill>
                        <w14:solidFill>
                          <w14:schemeClr w14:val="tx1"/>
                        </w14:solidFill>
                      </w14:textFill>
                    </w:rPr>
                    <w:t>-N</w:t>
                  </w:r>
                </w:p>
              </w:tc>
              <w:tc>
                <w:tcPr>
                  <w:tcW w:w="298" w:type="pct"/>
                  <w:tcBorders>
                    <w:left w:val="single" w:color="auto" w:sz="4" w:space="0"/>
                    <w:right w:val="single" w:color="auto" w:sz="4" w:space="0"/>
                  </w:tcBorders>
                  <w:vAlign w:val="center"/>
                </w:tcPr>
                <w:p w14:paraId="3C4CA9F9">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TP</w:t>
                  </w:r>
                </w:p>
              </w:tc>
              <w:tc>
                <w:tcPr>
                  <w:tcW w:w="521" w:type="pct"/>
                  <w:tcBorders>
                    <w:left w:val="single" w:color="auto" w:sz="4" w:space="0"/>
                    <w:right w:val="single" w:color="auto" w:sz="4" w:space="0"/>
                  </w:tcBorders>
                  <w:vAlign w:val="center"/>
                </w:tcPr>
                <w:p w14:paraId="121F236C">
                  <w:pPr>
                    <w:jc w:val="center"/>
                    <w:rPr>
                      <w:bCs/>
                      <w:color w:val="000000" w:themeColor="text1"/>
                      <w:szCs w:val="21"/>
                      <w14:textFill>
                        <w14:solidFill>
                          <w14:schemeClr w14:val="tx1"/>
                        </w14:solidFill>
                      </w14:textFill>
                    </w:rPr>
                  </w:pPr>
                  <w:r>
                    <w:rPr>
                      <w:rFonts w:hint="eastAsia"/>
                      <w:bCs/>
                      <w:color w:val="000000" w:themeColor="text1"/>
                      <w:szCs w:val="21"/>
                      <w:lang w:val="en-US" w:eastAsia="zh-CN"/>
                      <w14:textFill>
                        <w14:solidFill>
                          <w14:schemeClr w14:val="tx1"/>
                        </w14:solidFill>
                      </w14:textFill>
                    </w:rPr>
                    <w:t>动植物油</w:t>
                  </w:r>
                </w:p>
              </w:tc>
              <w:tc>
                <w:tcPr>
                  <w:tcW w:w="300" w:type="pct"/>
                  <w:tcBorders>
                    <w:left w:val="single" w:color="auto" w:sz="4" w:space="0"/>
                    <w:right w:val="single" w:color="auto" w:sz="4" w:space="0"/>
                  </w:tcBorders>
                  <w:vAlign w:val="center"/>
                </w:tcPr>
                <w:p w14:paraId="711138F4">
                  <w:pPr>
                    <w:jc w:val="center"/>
                    <w:rPr>
                      <w:rFonts w:hint="eastAsia"/>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LAS</w:t>
                  </w:r>
                </w:p>
              </w:tc>
            </w:tr>
            <w:tr w14:paraId="7E25B2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5" w:type="pct"/>
                  <w:tcBorders>
                    <w:top w:val="single" w:color="auto" w:sz="4" w:space="0"/>
                  </w:tcBorders>
                  <w:vAlign w:val="center"/>
                </w:tcPr>
                <w:p w14:paraId="4DD8DFB0">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w:t>
                  </w:r>
                </w:p>
              </w:tc>
              <w:tc>
                <w:tcPr>
                  <w:tcW w:w="1558" w:type="pct"/>
                  <w:shd w:val="clear" w:color="auto" w:fill="auto"/>
                  <w:vAlign w:val="center"/>
                </w:tcPr>
                <w:p w14:paraId="3506F269">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生产废水</w:t>
                  </w:r>
                </w:p>
              </w:tc>
              <w:tc>
                <w:tcPr>
                  <w:tcW w:w="396" w:type="pct"/>
                  <w:shd w:val="clear" w:color="auto" w:fill="auto"/>
                  <w:vAlign w:val="center"/>
                </w:tcPr>
                <w:p w14:paraId="019A938A">
                  <w:pPr>
                    <w:jc w:val="center"/>
                    <w:rPr>
                      <w:rFonts w:hint="default"/>
                      <w:color w:val="000000" w:themeColor="text1"/>
                      <w:kern w:val="0"/>
                      <w:szCs w:val="21"/>
                      <w:lang w:val="en-US"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40.625</w:t>
                  </w:r>
                </w:p>
              </w:tc>
              <w:tc>
                <w:tcPr>
                  <w:tcW w:w="429" w:type="pct"/>
                  <w:shd w:val="clear" w:color="auto" w:fill="auto"/>
                  <w:vAlign w:val="center"/>
                </w:tcPr>
                <w:p w14:paraId="04A9568E">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1000</w:t>
                  </w:r>
                </w:p>
              </w:tc>
              <w:tc>
                <w:tcPr>
                  <w:tcW w:w="429" w:type="pct"/>
                  <w:shd w:val="clear" w:color="auto" w:fill="auto"/>
                  <w:vAlign w:val="center"/>
                </w:tcPr>
                <w:p w14:paraId="5FAC409C">
                  <w:pPr>
                    <w:jc w:val="center"/>
                    <w:rPr>
                      <w:rFonts w:hint="default"/>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500</w:t>
                  </w:r>
                </w:p>
              </w:tc>
              <w:tc>
                <w:tcPr>
                  <w:tcW w:w="429" w:type="pct"/>
                  <w:shd w:val="clear" w:color="auto" w:fill="auto"/>
                  <w:vAlign w:val="center"/>
                </w:tcPr>
                <w:p w14:paraId="120E67C6">
                  <w:pPr>
                    <w:jc w:val="center"/>
                    <w:rPr>
                      <w:rFonts w:hint="default"/>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500</w:t>
                  </w:r>
                </w:p>
              </w:tc>
              <w:tc>
                <w:tcPr>
                  <w:tcW w:w="371" w:type="pct"/>
                  <w:tcBorders>
                    <w:right w:val="single" w:color="auto" w:sz="4" w:space="0"/>
                  </w:tcBorders>
                  <w:shd w:val="clear" w:color="auto" w:fill="auto"/>
                  <w:vAlign w:val="center"/>
                </w:tcPr>
                <w:p w14:paraId="629763B5">
                  <w:pPr>
                    <w:jc w:val="center"/>
                    <w:rPr>
                      <w:rFonts w:hint="default"/>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30</w:t>
                  </w:r>
                </w:p>
              </w:tc>
              <w:tc>
                <w:tcPr>
                  <w:tcW w:w="298" w:type="pct"/>
                  <w:tcBorders>
                    <w:left w:val="single" w:color="auto" w:sz="4" w:space="0"/>
                  </w:tcBorders>
                  <w:shd w:val="clear" w:color="auto" w:fill="auto"/>
                  <w:vAlign w:val="center"/>
                </w:tcPr>
                <w:p w14:paraId="42A0DD9D">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10</w:t>
                  </w:r>
                </w:p>
              </w:tc>
              <w:tc>
                <w:tcPr>
                  <w:tcW w:w="521" w:type="pct"/>
                  <w:tcBorders>
                    <w:left w:val="single" w:color="auto" w:sz="4" w:space="0"/>
                  </w:tcBorders>
                  <w:shd w:val="clear" w:color="auto" w:fill="auto"/>
                  <w:vAlign w:val="center"/>
                </w:tcPr>
                <w:p w14:paraId="43370DBA">
                  <w:pPr>
                    <w:jc w:val="center"/>
                    <w:rPr>
                      <w:rFonts w:hint="default"/>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p>
              </w:tc>
              <w:tc>
                <w:tcPr>
                  <w:tcW w:w="300" w:type="pct"/>
                  <w:tcBorders>
                    <w:left w:val="single" w:color="auto" w:sz="4" w:space="0"/>
                  </w:tcBorders>
                  <w:shd w:val="clear" w:color="auto" w:fill="auto"/>
                  <w:vAlign w:val="center"/>
                </w:tcPr>
                <w:p w14:paraId="4D9D05A4">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10</w:t>
                  </w:r>
                </w:p>
              </w:tc>
            </w:tr>
            <w:tr w14:paraId="245901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65" w:type="pct"/>
                  <w:tcBorders>
                    <w:top w:val="single" w:color="auto" w:sz="4" w:space="0"/>
                  </w:tcBorders>
                  <w:vAlign w:val="center"/>
                </w:tcPr>
                <w:p w14:paraId="3D5FFF95">
                  <w:pPr>
                    <w:jc w:val="center"/>
                    <w:rPr>
                      <w:rFonts w:hint="eastAsia"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4</w:t>
                  </w:r>
                </w:p>
              </w:tc>
              <w:tc>
                <w:tcPr>
                  <w:tcW w:w="1558" w:type="pct"/>
                  <w:vAlign w:val="center"/>
                </w:tcPr>
                <w:p w14:paraId="540F41F6">
                  <w:pPr>
                    <w:jc w:val="center"/>
                    <w:rPr>
                      <w:rFonts w:hint="eastAsia"/>
                      <w:color w:val="000000" w:themeColor="text1"/>
                      <w:szCs w:val="21"/>
                      <w:lang w:val="en-US" w:eastAsia="zh-CN"/>
                      <w14:textFill>
                        <w14:solidFill>
                          <w14:schemeClr w14:val="tx1"/>
                        </w14:solidFill>
                      </w14:textFill>
                    </w:rPr>
                  </w:pPr>
                  <w:r>
                    <w:rPr>
                      <w:bCs/>
                      <w:color w:val="000000" w:themeColor="text1"/>
                      <w:szCs w:val="21"/>
                      <w14:textFill>
                        <w14:solidFill>
                          <w14:schemeClr w14:val="tx1"/>
                        </w14:solidFill>
                      </w14:textFill>
                    </w:rPr>
                    <w:t>经化粪池处理后的生活污水</w:t>
                  </w:r>
                </w:p>
              </w:tc>
              <w:tc>
                <w:tcPr>
                  <w:tcW w:w="396" w:type="pct"/>
                  <w:shd w:val="clear" w:color="auto" w:fill="auto"/>
                  <w:vAlign w:val="center"/>
                </w:tcPr>
                <w:p w14:paraId="117EED03">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6.0</w:t>
                  </w:r>
                </w:p>
              </w:tc>
              <w:tc>
                <w:tcPr>
                  <w:tcW w:w="429" w:type="pct"/>
                  <w:shd w:val="clear" w:color="auto" w:fill="auto"/>
                  <w:vAlign w:val="center"/>
                </w:tcPr>
                <w:p w14:paraId="39F1236D">
                  <w:pPr>
                    <w:adjustRightInd w:val="0"/>
                    <w:snapToGrid w:val="0"/>
                    <w:jc w:val="center"/>
                    <w:rPr>
                      <w:rFonts w:hint="eastAsia"/>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250</w:t>
                  </w:r>
                </w:p>
              </w:tc>
              <w:tc>
                <w:tcPr>
                  <w:tcW w:w="429" w:type="pct"/>
                  <w:shd w:val="clear" w:color="auto" w:fill="auto"/>
                  <w:vAlign w:val="center"/>
                </w:tcPr>
                <w:p w14:paraId="321DB5D0">
                  <w:pPr>
                    <w:adjustRightInd w:val="0"/>
                    <w:snapToGrid w:val="0"/>
                    <w:jc w:val="center"/>
                    <w:rPr>
                      <w:rFonts w:hint="eastAsia"/>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150</w:t>
                  </w:r>
                </w:p>
              </w:tc>
              <w:tc>
                <w:tcPr>
                  <w:tcW w:w="429" w:type="pct"/>
                  <w:shd w:val="clear" w:color="auto" w:fill="auto"/>
                  <w:vAlign w:val="center"/>
                </w:tcPr>
                <w:p w14:paraId="3DC64734">
                  <w:pPr>
                    <w:adjustRightInd w:val="0"/>
                    <w:snapToGrid w:val="0"/>
                    <w:jc w:val="center"/>
                    <w:rPr>
                      <w:rFonts w:hint="eastAsia"/>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w:t>
                  </w:r>
                  <w:r>
                    <w:rPr>
                      <w:rFonts w:hint="eastAsia"/>
                      <w:color w:val="000000" w:themeColor="text1"/>
                      <w:kern w:val="0"/>
                      <w:szCs w:val="21"/>
                      <w14:textFill>
                        <w14:solidFill>
                          <w14:schemeClr w14:val="tx1"/>
                        </w14:solidFill>
                      </w14:textFill>
                    </w:rPr>
                    <w:t>50</w:t>
                  </w:r>
                </w:p>
              </w:tc>
              <w:tc>
                <w:tcPr>
                  <w:tcW w:w="371" w:type="pct"/>
                  <w:tcBorders>
                    <w:right w:val="single" w:color="auto" w:sz="4" w:space="0"/>
                  </w:tcBorders>
                  <w:shd w:val="clear" w:color="auto" w:fill="auto"/>
                  <w:vAlign w:val="center"/>
                </w:tcPr>
                <w:p w14:paraId="39CC1736">
                  <w:pPr>
                    <w:adjustRightInd w:val="0"/>
                    <w:snapToGrid w:val="0"/>
                    <w:jc w:val="center"/>
                    <w:rPr>
                      <w:rFonts w:hint="eastAsia" w:ascii="Times" w:hAnsi="Times" w:eastAsia="Times" w:cs="Times"/>
                      <w:color w:val="000000" w:themeColor="text1"/>
                      <w:kern w:val="0"/>
                      <w:szCs w:val="21"/>
                      <w:lang w:bidi="ar"/>
                      <w14:textFill>
                        <w14:solidFill>
                          <w14:schemeClr w14:val="tx1"/>
                        </w14:solidFill>
                      </w14:textFill>
                    </w:rPr>
                  </w:pPr>
                  <w:r>
                    <w:rPr>
                      <w:rFonts w:hint="eastAsia"/>
                      <w:color w:val="000000" w:themeColor="text1"/>
                      <w:kern w:val="0"/>
                      <w:szCs w:val="21"/>
                      <w14:textFill>
                        <w14:solidFill>
                          <w14:schemeClr w14:val="tx1"/>
                        </w14:solidFill>
                      </w14:textFill>
                    </w:rPr>
                    <w:t>30</w:t>
                  </w:r>
                </w:p>
              </w:tc>
              <w:tc>
                <w:tcPr>
                  <w:tcW w:w="298" w:type="pct"/>
                  <w:tcBorders>
                    <w:left w:val="single" w:color="auto" w:sz="4" w:space="0"/>
                  </w:tcBorders>
                  <w:shd w:val="clear" w:color="auto" w:fill="auto"/>
                  <w:vAlign w:val="center"/>
                </w:tcPr>
                <w:p w14:paraId="40A5FD84">
                  <w:pPr>
                    <w:jc w:val="center"/>
                    <w:rPr>
                      <w:rFonts w:hint="eastAsia" w:ascii="Times" w:hAnsi="Times" w:eastAsia="Times" w:cs="Times"/>
                      <w:color w:val="000000" w:themeColor="text1"/>
                      <w:kern w:val="0"/>
                      <w:szCs w:val="21"/>
                      <w:lang w:bidi="ar"/>
                      <w14:textFill>
                        <w14:solidFill>
                          <w14:schemeClr w14:val="tx1"/>
                        </w14:solidFill>
                      </w14:textFill>
                    </w:rPr>
                  </w:pPr>
                  <w:r>
                    <w:rPr>
                      <w:bCs/>
                      <w:color w:val="000000" w:themeColor="text1"/>
                      <w:szCs w:val="21"/>
                      <w14:textFill>
                        <w14:solidFill>
                          <w14:schemeClr w14:val="tx1"/>
                        </w14:solidFill>
                      </w14:textFill>
                    </w:rPr>
                    <w:t>/</w:t>
                  </w:r>
                </w:p>
              </w:tc>
              <w:tc>
                <w:tcPr>
                  <w:tcW w:w="521" w:type="pct"/>
                  <w:tcBorders>
                    <w:left w:val="single" w:color="auto" w:sz="4" w:space="0"/>
                  </w:tcBorders>
                  <w:shd w:val="clear" w:color="auto" w:fill="auto"/>
                  <w:vAlign w:val="center"/>
                </w:tcPr>
                <w:p w14:paraId="5D90351B">
                  <w:pPr>
                    <w:jc w:val="center"/>
                    <w:rPr>
                      <w:rFonts w:hint="eastAsia" w:ascii="Times" w:hAnsi="Times" w:eastAsia="Times" w:cs="Times"/>
                      <w:color w:val="000000" w:themeColor="text1"/>
                      <w:kern w:val="0"/>
                      <w:szCs w:val="21"/>
                      <w:lang w:bidi="ar"/>
                      <w14:textFill>
                        <w14:solidFill>
                          <w14:schemeClr w14:val="tx1"/>
                        </w14:solidFill>
                      </w14:textFill>
                    </w:rPr>
                  </w:pPr>
                  <w:r>
                    <w:rPr>
                      <w:rFonts w:hint="eastAsia"/>
                      <w:bCs/>
                      <w:color w:val="000000" w:themeColor="text1"/>
                      <w:szCs w:val="21"/>
                      <w14:textFill>
                        <w14:solidFill>
                          <w14:schemeClr w14:val="tx1"/>
                        </w14:solidFill>
                      </w14:textFill>
                    </w:rPr>
                    <w:t>/</w:t>
                  </w:r>
                </w:p>
              </w:tc>
              <w:tc>
                <w:tcPr>
                  <w:tcW w:w="300" w:type="pct"/>
                  <w:tcBorders>
                    <w:left w:val="single" w:color="auto" w:sz="4" w:space="0"/>
                  </w:tcBorders>
                  <w:shd w:val="clear" w:color="auto" w:fill="auto"/>
                  <w:vAlign w:val="center"/>
                </w:tcPr>
                <w:p w14:paraId="5881BAFC">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w:t>
                  </w:r>
                </w:p>
              </w:tc>
            </w:tr>
            <w:tr w14:paraId="3EBB72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823" w:type="pct"/>
                  <w:gridSpan w:val="2"/>
                  <w:tcBorders>
                    <w:top w:val="single" w:color="auto" w:sz="4" w:space="0"/>
                  </w:tcBorders>
                  <w:vAlign w:val="center"/>
                </w:tcPr>
                <w:p w14:paraId="40749FFB">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进入污水处理站混合废水</w:t>
                  </w:r>
                </w:p>
              </w:tc>
              <w:tc>
                <w:tcPr>
                  <w:tcW w:w="396" w:type="pct"/>
                  <w:shd w:val="clear" w:color="auto" w:fill="auto"/>
                  <w:vAlign w:val="center"/>
                </w:tcPr>
                <w:p w14:paraId="5DBDA690">
                  <w:pPr>
                    <w:keepNext w:val="0"/>
                    <w:keepLines w:val="0"/>
                    <w:widowControl/>
                    <w:suppressLineNumbers w:val="0"/>
                    <w:jc w:val="center"/>
                    <w:textAlignment w:val="center"/>
                    <w:rPr>
                      <w:rFonts w:hint="default"/>
                      <w:color w:val="000000" w:themeColor="text1"/>
                      <w:szCs w:val="21"/>
                      <w:lang w:val="en-US" w:eastAsia="zh-CN"/>
                      <w14:textFill>
                        <w14:solidFill>
                          <w14:schemeClr w14:val="tx1"/>
                        </w14:solidFill>
                      </w14:textFill>
                    </w:rPr>
                  </w:pPr>
                  <w:r>
                    <w:rPr>
                      <w:rFonts w:hint="eastAsia" w:cs="Times New Roman"/>
                      <w:i w:val="0"/>
                      <w:iCs w:val="0"/>
                      <w:color w:val="000000"/>
                      <w:kern w:val="0"/>
                      <w:sz w:val="22"/>
                      <w:szCs w:val="22"/>
                      <w:u w:val="none"/>
                      <w:lang w:val="en-US" w:eastAsia="zh-CN" w:bidi="ar"/>
                    </w:rPr>
                    <w:t>46.625</w:t>
                  </w:r>
                </w:p>
              </w:tc>
              <w:tc>
                <w:tcPr>
                  <w:tcW w:w="429" w:type="pct"/>
                  <w:shd w:val="clear" w:color="auto" w:fill="auto"/>
                  <w:vAlign w:val="center"/>
                </w:tcPr>
                <w:p w14:paraId="21B1FD83">
                  <w:pPr>
                    <w:keepNext w:val="0"/>
                    <w:keepLines w:val="0"/>
                    <w:widowControl/>
                    <w:suppressLineNumbers w:val="0"/>
                    <w:jc w:val="center"/>
                    <w:textAlignment w:val="center"/>
                    <w:rPr>
                      <w:rFonts w:hint="eastAsia"/>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903.485</w:t>
                  </w:r>
                </w:p>
              </w:tc>
              <w:tc>
                <w:tcPr>
                  <w:tcW w:w="429" w:type="pct"/>
                  <w:shd w:val="clear" w:color="auto" w:fill="auto"/>
                  <w:vAlign w:val="center"/>
                </w:tcPr>
                <w:p w14:paraId="6ACCCFDB">
                  <w:pPr>
                    <w:keepNext w:val="0"/>
                    <w:keepLines w:val="0"/>
                    <w:widowControl/>
                    <w:suppressLineNumbers w:val="0"/>
                    <w:jc w:val="center"/>
                    <w:textAlignment w:val="center"/>
                    <w:rPr>
                      <w:rFonts w:hint="eastAsia"/>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454.960</w:t>
                  </w:r>
                </w:p>
              </w:tc>
              <w:tc>
                <w:tcPr>
                  <w:tcW w:w="429" w:type="pct"/>
                  <w:shd w:val="clear" w:color="auto" w:fill="auto"/>
                  <w:vAlign w:val="center"/>
                </w:tcPr>
                <w:p w14:paraId="355389F9">
                  <w:pPr>
                    <w:keepNext w:val="0"/>
                    <w:keepLines w:val="0"/>
                    <w:widowControl/>
                    <w:suppressLineNumbers w:val="0"/>
                    <w:jc w:val="center"/>
                    <w:textAlignment w:val="center"/>
                    <w:rPr>
                      <w:rFonts w:hint="eastAsia"/>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454.960</w:t>
                  </w:r>
                </w:p>
              </w:tc>
              <w:tc>
                <w:tcPr>
                  <w:tcW w:w="371" w:type="pct"/>
                  <w:tcBorders>
                    <w:right w:val="single" w:color="auto" w:sz="4" w:space="0"/>
                  </w:tcBorders>
                  <w:shd w:val="clear" w:color="auto" w:fill="auto"/>
                  <w:vAlign w:val="center"/>
                </w:tcPr>
                <w:p w14:paraId="64D62545">
                  <w:pPr>
                    <w:keepNext w:val="0"/>
                    <w:keepLines w:val="0"/>
                    <w:widowControl/>
                    <w:suppressLineNumbers w:val="0"/>
                    <w:jc w:val="center"/>
                    <w:textAlignment w:val="center"/>
                    <w:rPr>
                      <w:rFonts w:hint="eastAsia" w:ascii="Times" w:hAnsi="Times" w:eastAsia="Times" w:cs="Times"/>
                      <w:color w:val="000000" w:themeColor="text1"/>
                      <w:kern w:val="0"/>
                      <w:sz w:val="21"/>
                      <w:szCs w:val="21"/>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30.000</w:t>
                  </w:r>
                </w:p>
              </w:tc>
              <w:tc>
                <w:tcPr>
                  <w:tcW w:w="298" w:type="pct"/>
                  <w:tcBorders>
                    <w:left w:val="single" w:color="auto" w:sz="4" w:space="0"/>
                  </w:tcBorders>
                  <w:shd w:val="clear" w:color="auto" w:fill="auto"/>
                  <w:vAlign w:val="center"/>
                </w:tcPr>
                <w:p w14:paraId="3A5229DF">
                  <w:pPr>
                    <w:keepNext w:val="0"/>
                    <w:keepLines w:val="0"/>
                    <w:widowControl/>
                    <w:suppressLineNumbers w:val="0"/>
                    <w:jc w:val="center"/>
                    <w:textAlignment w:val="center"/>
                    <w:rPr>
                      <w:rFonts w:hint="eastAsia" w:ascii="Times" w:hAnsi="Times" w:eastAsia="Times" w:cs="Times"/>
                      <w:color w:val="000000" w:themeColor="text1"/>
                      <w:kern w:val="0"/>
                      <w:sz w:val="21"/>
                      <w:szCs w:val="21"/>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8.713</w:t>
                  </w:r>
                </w:p>
              </w:tc>
              <w:tc>
                <w:tcPr>
                  <w:tcW w:w="521" w:type="pct"/>
                  <w:tcBorders>
                    <w:left w:val="single" w:color="auto" w:sz="4" w:space="0"/>
                  </w:tcBorders>
                  <w:shd w:val="clear" w:color="auto" w:fill="auto"/>
                  <w:vAlign w:val="center"/>
                </w:tcPr>
                <w:p w14:paraId="773DE7DA">
                  <w:pPr>
                    <w:keepNext w:val="0"/>
                    <w:keepLines w:val="0"/>
                    <w:widowControl/>
                    <w:suppressLineNumbers w:val="0"/>
                    <w:jc w:val="center"/>
                    <w:textAlignment w:val="center"/>
                    <w:rPr>
                      <w:rFonts w:hint="eastAsia" w:ascii="Times" w:hAnsi="Times" w:eastAsia="Times" w:cs="Times"/>
                      <w:color w:val="000000" w:themeColor="text1"/>
                      <w:kern w:val="0"/>
                      <w:sz w:val="21"/>
                      <w:szCs w:val="21"/>
                      <w:lang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43.566</w:t>
                  </w:r>
                </w:p>
              </w:tc>
              <w:tc>
                <w:tcPr>
                  <w:tcW w:w="300" w:type="pct"/>
                  <w:tcBorders>
                    <w:left w:val="single" w:color="auto" w:sz="4" w:space="0"/>
                  </w:tcBorders>
                  <w:shd w:val="clear" w:color="auto" w:fill="auto"/>
                  <w:vAlign w:val="center"/>
                </w:tcPr>
                <w:p w14:paraId="4FF6DB5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8.713</w:t>
                  </w:r>
                </w:p>
              </w:tc>
            </w:tr>
          </w:tbl>
          <w:p w14:paraId="3A1D82E1">
            <w:pPr>
              <w:adjustRightInd w:val="0"/>
              <w:snapToGrid w:val="0"/>
              <w:spacing w:line="360" w:lineRule="auto"/>
              <w:ind w:firstLine="480" w:firstLineChars="200"/>
              <w:rPr>
                <w:color w:val="000000"/>
                <w:kern w:val="0"/>
                <w:sz w:val="24"/>
                <w:u w:val="none"/>
              </w:rPr>
            </w:pPr>
            <w:r>
              <w:rPr>
                <w:color w:val="000000"/>
                <w:kern w:val="0"/>
                <w:sz w:val="24"/>
                <w:u w:val="none"/>
              </w:rPr>
              <w:t>项目营运期</w:t>
            </w:r>
            <w:r>
              <w:rPr>
                <w:bCs/>
                <w:color w:val="000000"/>
                <w:sz w:val="24"/>
                <w:u w:val="none"/>
              </w:rPr>
              <w:t>职工生活污水经化粪池</w:t>
            </w:r>
            <w:r>
              <w:rPr>
                <w:rFonts w:hint="eastAsia"/>
                <w:bCs/>
                <w:color w:val="000000"/>
                <w:sz w:val="24"/>
                <w:u w:val="none"/>
                <w:lang w:val="en-US" w:eastAsia="zh-CN"/>
              </w:rPr>
              <w:t>处理后与生产废水（</w:t>
            </w:r>
            <w:r>
              <w:rPr>
                <w:rFonts w:hint="eastAsia"/>
                <w:b w:val="0"/>
                <w:bCs/>
                <w:sz w:val="24"/>
                <w:szCs w:val="24"/>
                <w:lang w:eastAsia="zh-CN"/>
              </w:rPr>
              <w:t>肉类解冻清洗</w:t>
            </w:r>
            <w:r>
              <w:rPr>
                <w:rFonts w:hint="eastAsia" w:ascii="Times New Roman" w:hAnsi="Times New Roman" w:eastAsia="宋体" w:cs="Times New Roman"/>
                <w:color w:val="auto"/>
                <w:sz w:val="24"/>
                <w:szCs w:val="24"/>
                <w:u w:val="none"/>
                <w:lang w:val="en-US" w:eastAsia="zh-CN"/>
              </w:rPr>
              <w:t>废水</w:t>
            </w:r>
            <w:r>
              <w:rPr>
                <w:rFonts w:hint="eastAsia" w:ascii="Times New Roman" w:hAnsi="Times New Roman" w:cs="Times New Roman"/>
                <w:color w:val="auto"/>
                <w:sz w:val="24"/>
                <w:szCs w:val="24"/>
                <w:u w:val="none"/>
                <w:lang w:val="en-US" w:eastAsia="zh-CN"/>
              </w:rPr>
              <w:t>、</w:t>
            </w:r>
            <w:r>
              <w:rPr>
                <w:rFonts w:hint="eastAsia"/>
                <w:b w:val="0"/>
                <w:bCs/>
                <w:sz w:val="24"/>
                <w:szCs w:val="24"/>
                <w:lang w:val="en-US" w:eastAsia="zh-CN"/>
              </w:rPr>
              <w:t>蔬菜清洗</w:t>
            </w:r>
            <w:r>
              <w:rPr>
                <w:rFonts w:hint="eastAsia" w:ascii="Times New Roman" w:hAnsi="Times New Roman" w:eastAsia="宋体" w:cs="Times New Roman"/>
                <w:color w:val="auto"/>
                <w:sz w:val="24"/>
                <w:szCs w:val="24"/>
                <w:u w:val="none"/>
                <w:lang w:val="en-US" w:eastAsia="zh-CN"/>
              </w:rPr>
              <w:t>废水</w:t>
            </w:r>
            <w:r>
              <w:rPr>
                <w:rFonts w:hint="eastAsia" w:eastAsia="宋体"/>
                <w:sz w:val="24"/>
                <w:szCs w:val="24"/>
                <w:highlight w:val="none"/>
                <w:lang w:val="en-US" w:eastAsia="zh-CN"/>
              </w:rPr>
              <w:t>、</w:t>
            </w:r>
            <w:r>
              <w:rPr>
                <w:rFonts w:hint="eastAsia" w:ascii="Times New Roman" w:hAnsi="Times New Roman"/>
                <w:color w:val="000000" w:themeColor="text1"/>
                <w:sz w:val="24"/>
                <w:szCs w:val="24"/>
                <w:lang w:val="en-US" w:eastAsia="zh-CN"/>
                <w14:textFill>
                  <w14:solidFill>
                    <w14:schemeClr w14:val="tx1"/>
                  </w14:solidFill>
                </w14:textFill>
              </w:rPr>
              <w:t>洗米</w:t>
            </w:r>
            <w:r>
              <w:rPr>
                <w:rFonts w:hint="eastAsia" w:ascii="Times New Roman" w:hAnsi="Times New Roman" w:eastAsia="宋体" w:cs="Times New Roman"/>
                <w:color w:val="auto"/>
                <w:sz w:val="24"/>
                <w:szCs w:val="24"/>
                <w:u w:val="none"/>
                <w:lang w:val="en-US" w:eastAsia="zh-CN"/>
              </w:rPr>
              <w:t>废水</w:t>
            </w:r>
            <w:r>
              <w:rPr>
                <w:rFonts w:hint="eastAsia" w:ascii="Times New Roman" w:hAnsi="Times New Roman" w:cs="Times New Roman"/>
                <w:color w:val="auto"/>
                <w:sz w:val="24"/>
                <w:szCs w:val="24"/>
                <w:u w:val="none"/>
                <w:lang w:val="en-US" w:eastAsia="zh-CN"/>
              </w:rPr>
              <w:t>、</w:t>
            </w:r>
            <w:r>
              <w:rPr>
                <w:rFonts w:hint="eastAsia"/>
                <w:sz w:val="24"/>
                <w:szCs w:val="24"/>
                <w:lang w:val="en-US" w:eastAsia="zh-CN"/>
              </w:rPr>
              <w:t>设备清洗废</w:t>
            </w:r>
            <w:r>
              <w:rPr>
                <w:rFonts w:hint="eastAsia" w:hAnsi="宋体"/>
                <w:color w:val="000000"/>
                <w:sz w:val="24"/>
              </w:rPr>
              <w:t>水</w:t>
            </w:r>
            <w:r>
              <w:rPr>
                <w:rFonts w:hint="eastAsia" w:hAnsi="宋体"/>
                <w:color w:val="000000"/>
                <w:sz w:val="24"/>
                <w:lang w:eastAsia="zh-CN"/>
              </w:rPr>
              <w:t>、</w:t>
            </w:r>
            <w:r>
              <w:rPr>
                <w:rFonts w:hint="eastAsia"/>
                <w:sz w:val="24"/>
                <w:szCs w:val="24"/>
                <w:lang w:eastAsia="zh-CN"/>
              </w:rPr>
              <w:t>餐具回收清洗</w:t>
            </w:r>
            <w:r>
              <w:rPr>
                <w:rFonts w:hint="eastAsia"/>
                <w:color w:val="000000" w:themeColor="text1"/>
                <w:kern w:val="0"/>
                <w:sz w:val="24"/>
                <w:lang w:val="en-US" w:eastAsia="zh-CN" w:bidi="ar"/>
                <w14:textFill>
                  <w14:solidFill>
                    <w14:schemeClr w14:val="tx1"/>
                  </w14:solidFill>
                </w14:textFill>
              </w:rPr>
              <w:t>废</w:t>
            </w:r>
            <w:r>
              <w:rPr>
                <w:rFonts w:hint="eastAsia"/>
                <w:color w:val="000000" w:themeColor="text1"/>
                <w:kern w:val="0"/>
                <w:sz w:val="24"/>
                <w:lang w:bidi="ar"/>
                <w14:textFill>
                  <w14:solidFill>
                    <w14:schemeClr w14:val="tx1"/>
                  </w14:solidFill>
                </w14:textFill>
              </w:rPr>
              <w:t>水</w:t>
            </w:r>
            <w:r>
              <w:rPr>
                <w:rFonts w:hint="eastAsia"/>
                <w:color w:val="000000" w:themeColor="text1"/>
                <w:kern w:val="0"/>
                <w:sz w:val="24"/>
                <w:lang w:eastAsia="zh-CN" w:bidi="ar"/>
                <w14:textFill>
                  <w14:solidFill>
                    <w14:schemeClr w14:val="tx1"/>
                  </w14:solidFill>
                </w14:textFill>
              </w:rPr>
              <w:t>、</w:t>
            </w:r>
            <w:r>
              <w:rPr>
                <w:rFonts w:hint="eastAsia" w:hAnsi="宋体"/>
                <w:color w:val="000000"/>
                <w:sz w:val="24"/>
                <w:lang w:val="en-US" w:eastAsia="zh-CN"/>
              </w:rPr>
              <w:t>蒸汽发生器</w:t>
            </w:r>
            <w:r>
              <w:rPr>
                <w:rFonts w:hint="eastAsia" w:hAnsi="宋体"/>
                <w:color w:val="000000"/>
                <w:sz w:val="24"/>
              </w:rPr>
              <w:t>排污水</w:t>
            </w:r>
            <w:r>
              <w:rPr>
                <w:rFonts w:hint="eastAsia" w:hAnsi="宋体"/>
                <w:color w:val="000000"/>
                <w:sz w:val="24"/>
                <w:lang w:eastAsia="zh-CN"/>
              </w:rPr>
              <w:t>、</w:t>
            </w:r>
            <w:r>
              <w:rPr>
                <w:rFonts w:hint="eastAsia" w:hAnsi="宋体"/>
                <w:color w:val="000000"/>
                <w:sz w:val="24"/>
                <w:lang w:val="en-US" w:eastAsia="zh-CN"/>
              </w:rPr>
              <w:t>纯</w:t>
            </w:r>
            <w:r>
              <w:rPr>
                <w:rFonts w:hint="eastAsia" w:hAnsi="宋体"/>
                <w:color w:val="000000"/>
                <w:sz w:val="24"/>
              </w:rPr>
              <w:t>水制备</w:t>
            </w:r>
            <w:r>
              <w:rPr>
                <w:rFonts w:hint="eastAsia" w:hAnsi="宋体"/>
                <w:color w:val="000000"/>
                <w:sz w:val="24"/>
                <w:lang w:val="en-US" w:eastAsia="zh-CN"/>
              </w:rPr>
              <w:t>浓</w:t>
            </w:r>
            <w:r>
              <w:rPr>
                <w:rFonts w:hint="eastAsia" w:hAnsi="宋体"/>
                <w:color w:val="000000"/>
                <w:sz w:val="24"/>
              </w:rPr>
              <w:t>水</w:t>
            </w:r>
            <w:r>
              <w:rPr>
                <w:rFonts w:hint="eastAsia" w:hAnsi="宋体"/>
                <w:color w:val="000000"/>
                <w:sz w:val="24"/>
                <w:lang w:val="en-US" w:eastAsia="zh-CN"/>
              </w:rPr>
              <w:t>以及</w:t>
            </w:r>
            <w:r>
              <w:rPr>
                <w:rFonts w:hint="eastAsia"/>
                <w:color w:val="000000" w:themeColor="text1"/>
                <w:kern w:val="0"/>
                <w:sz w:val="24"/>
                <w:lang w:val="en-US" w:eastAsia="zh-CN" w:bidi="ar"/>
                <w14:textFill>
                  <w14:solidFill>
                    <w14:schemeClr w14:val="tx1"/>
                  </w14:solidFill>
                </w14:textFill>
              </w:rPr>
              <w:t>化</w:t>
            </w:r>
            <w:r>
              <w:rPr>
                <w:rFonts w:hint="eastAsia"/>
                <w:color w:val="000000" w:themeColor="text1"/>
                <w:kern w:val="0"/>
                <w:sz w:val="24"/>
                <w:lang w:bidi="ar"/>
                <w14:textFill>
                  <w14:solidFill>
                    <w14:schemeClr w14:val="tx1"/>
                  </w14:solidFill>
                </w14:textFill>
              </w:rPr>
              <w:t>验室</w:t>
            </w:r>
            <w:r>
              <w:rPr>
                <w:rFonts w:hint="eastAsia" w:eastAsia="宋体"/>
                <w:sz w:val="24"/>
                <w:szCs w:val="24"/>
                <w:highlight w:val="none"/>
                <w:lang w:val="en-US" w:eastAsia="zh-CN"/>
              </w:rPr>
              <w:t>废水</w:t>
            </w:r>
            <w:r>
              <w:rPr>
                <w:rFonts w:hint="eastAsia"/>
                <w:bCs/>
                <w:color w:val="000000"/>
                <w:sz w:val="24"/>
                <w:u w:val="none"/>
                <w:lang w:val="en-US" w:eastAsia="zh-CN"/>
              </w:rPr>
              <w:t>）经厂区污水处理设施处理后通过厂区污水总排口接入市政污水管网进入</w:t>
            </w:r>
            <w:r>
              <w:rPr>
                <w:color w:val="000000" w:themeColor="text1"/>
                <w:kern w:val="0"/>
                <w:sz w:val="24"/>
                <w:highlight w:val="none"/>
                <w14:textFill>
                  <w14:solidFill>
                    <w14:schemeClr w14:val="tx1"/>
                  </w14:solidFill>
                </w14:textFill>
              </w:rPr>
              <w:t>镇平县第二污水处理厂</w:t>
            </w:r>
            <w:r>
              <w:rPr>
                <w:rFonts w:hint="eastAsia"/>
                <w:bCs/>
                <w:color w:val="000000"/>
                <w:sz w:val="24"/>
                <w:u w:val="none"/>
                <w:lang w:val="en-US" w:eastAsia="zh-CN"/>
              </w:rPr>
              <w:t>进一步处理达标后</w:t>
            </w:r>
            <w:r>
              <w:rPr>
                <w:color w:val="000000"/>
                <w:sz w:val="24"/>
                <w:u w:val="none"/>
              </w:rPr>
              <w:t>排</w:t>
            </w:r>
            <w:r>
              <w:rPr>
                <w:rFonts w:hint="eastAsia"/>
                <w:color w:val="000000"/>
                <w:sz w:val="24"/>
                <w:u w:val="none"/>
                <w:lang w:val="en-US" w:eastAsia="zh-CN"/>
              </w:rPr>
              <w:t>放</w:t>
            </w:r>
            <w:r>
              <w:rPr>
                <w:color w:val="000000"/>
                <w:kern w:val="0"/>
                <w:sz w:val="24"/>
                <w:u w:val="none"/>
              </w:rPr>
              <w:t>。</w:t>
            </w:r>
          </w:p>
          <w:p w14:paraId="539317D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kern w:val="0"/>
                <w:sz w:val="24"/>
                <w:szCs w:val="24"/>
                <w:u w:val="none"/>
              </w:rPr>
            </w:pPr>
            <w:r>
              <w:rPr>
                <w:rFonts w:hint="default" w:ascii="Times New Roman" w:hAnsi="Times New Roman" w:eastAsia="宋体" w:cs="Times New Roman"/>
                <w:color w:val="000000"/>
                <w:kern w:val="0"/>
                <w:sz w:val="24"/>
                <w:szCs w:val="24"/>
                <w:u w:val="none"/>
              </w:rPr>
              <w:t>2.2废水处理措施可行性及达标性分析</w:t>
            </w:r>
          </w:p>
          <w:p w14:paraId="400F6FB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（1）生活</w:t>
            </w:r>
            <w:r>
              <w:rPr>
                <w:rFonts w:hint="eastAsia"/>
                <w:color w:val="000000" w:themeColor="text1"/>
                <w:sz w:val="24"/>
                <w14:textFill>
                  <w14:solidFill>
                    <w14:schemeClr w14:val="tx1"/>
                  </w14:solidFill>
                </w14:textFill>
              </w:rPr>
              <w:t>污水化粪池预</w:t>
            </w:r>
            <w:r>
              <w:rPr>
                <w:color w:val="000000" w:themeColor="text1"/>
                <w:sz w:val="24"/>
                <w14:textFill>
                  <w14:solidFill>
                    <w14:schemeClr w14:val="tx1"/>
                  </w14:solidFill>
                </w14:textFill>
              </w:rPr>
              <w:t>处理措施</w:t>
            </w:r>
          </w:p>
          <w:p w14:paraId="0128D090">
            <w:pPr>
              <w:adjustRightInd w:val="0"/>
              <w:snapToGrid w:val="0"/>
              <w:spacing w:line="360" w:lineRule="auto"/>
              <w:ind w:firstLine="480" w:firstLineChars="200"/>
              <w:rPr>
                <w:rFonts w:hint="eastAsia"/>
                <w:color w:val="000000"/>
                <w:sz w:val="24"/>
                <w:szCs w:val="24"/>
                <w:u w:val="none"/>
                <w:lang w:eastAsia="zh-CN"/>
              </w:rPr>
            </w:pPr>
            <w:r>
              <w:rPr>
                <w:color w:val="000000" w:themeColor="text1"/>
                <w:sz w:val="24"/>
                <w14:textFill>
                  <w14:solidFill>
                    <w14:schemeClr w14:val="tx1"/>
                  </w14:solidFill>
                </w14:textFill>
              </w:rPr>
              <w:t>本项目劳动定员</w:t>
            </w:r>
            <w:r>
              <w:rPr>
                <w:rFonts w:hint="eastAsia" w:cs="Times New Roman"/>
                <w:bCs/>
                <w:color w:val="000000" w:themeColor="text1"/>
                <w:sz w:val="24"/>
                <w:szCs w:val="24"/>
                <w:u w:val="none"/>
                <w:lang w:val="en-US" w:eastAsia="zh-CN"/>
                <w14:textFill>
                  <w14:solidFill>
                    <w14:schemeClr w14:val="tx1"/>
                  </w14:solidFill>
                </w14:textFill>
              </w:rPr>
              <w:t>150</w:t>
            </w:r>
            <w:r>
              <w:rPr>
                <w:color w:val="000000" w:themeColor="text1"/>
                <w:sz w:val="24"/>
                <w14:textFill>
                  <w14:solidFill>
                    <w14:schemeClr w14:val="tx1"/>
                  </w14:solidFill>
                </w14:textFill>
              </w:rPr>
              <w:t>人，均不在厂区食宿，职工办公生活废水量为</w:t>
            </w:r>
            <w:r>
              <w:rPr>
                <w:rFonts w:hint="eastAsia" w:cs="Times New Roman"/>
                <w:bCs/>
                <w:color w:val="auto"/>
                <w:sz w:val="24"/>
                <w:szCs w:val="24"/>
                <w:u w:val="none"/>
                <w:lang w:val="en-US" w:eastAsia="zh-CN"/>
              </w:rPr>
              <w:t>6.0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color w:val="000000" w:themeColor="text1"/>
                <w:sz w:val="24"/>
                <w14:textFill>
                  <w14:solidFill>
                    <w14:schemeClr w14:val="tx1"/>
                  </w14:solidFill>
                </w14:textFill>
              </w:rPr>
              <w:t>，废水中主要污染物为COD、BOD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-N、SS，产生浓度分别为350mg/L、250mg/L、30mg/L、280mg/L，生活废水经化粪池（</w:t>
            </w:r>
            <w:r>
              <w:rPr>
                <w:rFonts w:hint="eastAsia"/>
                <w:color w:val="000000" w:themeColor="text1"/>
                <w:sz w:val="24"/>
                <w:lang w:val="en-US" w:eastAsia="zh-CN"/>
                <w14:textFill>
                  <w14:solidFill>
                    <w14:schemeClr w14:val="tx1"/>
                  </w14:solidFill>
                </w14:textFill>
              </w:rPr>
              <w:t>15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三防</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措施）处理后</w:t>
            </w:r>
            <w:r>
              <w:rPr>
                <w:rFonts w:hint="eastAsia"/>
                <w:color w:val="000000" w:themeColor="text1"/>
                <w:sz w:val="24"/>
                <w14:textFill>
                  <w14:solidFill>
                    <w14:schemeClr w14:val="tx1"/>
                  </w14:solidFill>
                </w14:textFill>
              </w:rPr>
              <w:t>进入厂区</w:t>
            </w:r>
            <w:r>
              <w:rPr>
                <w:rFonts w:hint="eastAsia"/>
                <w:color w:val="000000" w:themeColor="text1"/>
                <w:sz w:val="24"/>
                <w:lang w:val="en-US" w:eastAsia="zh-CN"/>
                <w14:textFill>
                  <w14:solidFill>
                    <w14:schemeClr w14:val="tx1"/>
                  </w14:solidFill>
                </w14:textFill>
              </w:rPr>
              <w:t>废水处理设施</w:t>
            </w:r>
            <w:r>
              <w:rPr>
                <w:rFonts w:hint="eastAsia"/>
                <w:color w:val="000000" w:themeColor="text1"/>
                <w:sz w:val="24"/>
                <w14:textFill>
                  <w14:solidFill>
                    <w14:schemeClr w14:val="tx1"/>
                  </w14:solidFill>
                </w14:textFill>
              </w:rPr>
              <w:t>处理</w:t>
            </w:r>
            <w:r>
              <w:rPr>
                <w:color w:val="000000" w:themeColor="text1"/>
                <w:sz w:val="24"/>
                <w14:textFill>
                  <w14:solidFill>
                    <w14:schemeClr w14:val="tx1"/>
                  </w14:solidFill>
                </w14:textFill>
              </w:rPr>
              <w:t>。项目废水产生量为</w:t>
            </w:r>
            <w:r>
              <w:rPr>
                <w:rFonts w:hint="eastAsia" w:cs="Times New Roman"/>
                <w:bCs/>
                <w:color w:val="auto"/>
                <w:sz w:val="24"/>
                <w:szCs w:val="24"/>
                <w:u w:val="none"/>
                <w:lang w:val="en-US" w:eastAsia="zh-CN"/>
              </w:rPr>
              <w:t>6.0</w:t>
            </w:r>
            <w:r>
              <w:rPr>
                <w:rFonts w:hint="default" w:ascii="Times New Roman" w:hAnsi="Times New Roman" w:eastAsia="宋体" w:cs="Times New Roman"/>
                <w:bCs/>
                <w:color w:val="auto"/>
                <w:sz w:val="24"/>
                <w:szCs w:val="24"/>
                <w:u w:val="none"/>
              </w:rPr>
              <w:t>m</w:t>
            </w:r>
            <w:r>
              <w:rPr>
                <w:rFonts w:hint="default" w:ascii="Times New Roman" w:hAnsi="Times New Roman" w:eastAsia="宋体" w:cs="Times New Roman"/>
                <w:bCs/>
                <w:color w:val="auto"/>
                <w:sz w:val="24"/>
                <w:szCs w:val="24"/>
                <w:u w:val="none"/>
                <w:vertAlign w:val="superscript"/>
              </w:rPr>
              <w:t>3</w:t>
            </w:r>
            <w:r>
              <w:rPr>
                <w:rFonts w:hint="default" w:ascii="Times New Roman" w:hAnsi="Times New Roman" w:eastAsia="宋体" w:cs="Times New Roman"/>
                <w:bCs/>
                <w:color w:val="auto"/>
                <w:sz w:val="24"/>
                <w:szCs w:val="24"/>
                <w:u w:val="none"/>
              </w:rPr>
              <w:t>/d</w:t>
            </w:r>
            <w:r>
              <w:rPr>
                <w:color w:val="000000" w:themeColor="text1"/>
                <w:sz w:val="24"/>
                <w14:textFill>
                  <w14:solidFill>
                    <w14:schemeClr w14:val="tx1"/>
                  </w14:solidFill>
                </w14:textFill>
              </w:rPr>
              <w:t>，化粪池容积为</w:t>
            </w:r>
            <w:r>
              <w:rPr>
                <w:rFonts w:hint="eastAsia"/>
                <w:color w:val="000000" w:themeColor="text1"/>
                <w:sz w:val="24"/>
                <w:lang w:val="en-US" w:eastAsia="zh-CN"/>
                <w14:textFill>
                  <w14:solidFill>
                    <w14:schemeClr w14:val="tx1"/>
                  </w14:solidFill>
                </w14:textFill>
              </w:rPr>
              <w:t>15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，处理能力能够满足需求</w:t>
            </w:r>
            <w:r>
              <w:rPr>
                <w:rFonts w:hint="eastAsia"/>
                <w:color w:val="000000" w:themeColor="text1"/>
                <w:sz w:val="24"/>
                <w14:textFill>
                  <w14:solidFill>
                    <w14:schemeClr w14:val="tx1"/>
                  </w14:solidFill>
                </w14:textFill>
              </w:rPr>
              <w:t>，因此处理措施可行</w:t>
            </w:r>
            <w:r>
              <w:rPr>
                <w:color w:val="000000" w:themeColor="text1"/>
                <w:sz w:val="24"/>
                <w14:textFill>
                  <w14:solidFill>
                    <w14:schemeClr w14:val="tx1"/>
                  </w14:solidFill>
                </w14:textFill>
              </w:rPr>
              <w:t>。</w:t>
            </w:r>
          </w:p>
          <w:p w14:paraId="303F59C3">
            <w:pPr>
              <w:adjustRightInd w:val="0"/>
              <w:snapToGrid w:val="0"/>
              <w:spacing w:line="360" w:lineRule="auto"/>
              <w:ind w:firstLine="480" w:firstLineChars="200"/>
              <w:rPr>
                <w:rFonts w:hint="default" w:eastAsia="宋体"/>
                <w:color w:val="000000"/>
                <w:sz w:val="24"/>
                <w:szCs w:val="24"/>
                <w:u w:val="none"/>
                <w:lang w:val="en-US" w:eastAsia="zh-CN"/>
              </w:rPr>
            </w:pPr>
            <w:r>
              <w:rPr>
                <w:rFonts w:hint="eastAsia"/>
                <w:color w:val="000000"/>
                <w:sz w:val="24"/>
                <w:szCs w:val="24"/>
                <w:u w:val="none"/>
                <w:lang w:eastAsia="zh-CN"/>
              </w:rPr>
              <w:t>（</w:t>
            </w:r>
            <w:r>
              <w:rPr>
                <w:rFonts w:hint="eastAsia"/>
                <w:color w:val="000000"/>
                <w:sz w:val="24"/>
                <w:szCs w:val="24"/>
                <w:u w:val="none"/>
                <w:lang w:val="en-US" w:eastAsia="zh-CN"/>
              </w:rPr>
              <w:t>2</w:t>
            </w:r>
            <w:r>
              <w:rPr>
                <w:rFonts w:hint="eastAsia"/>
                <w:color w:val="000000"/>
                <w:sz w:val="24"/>
                <w:szCs w:val="24"/>
                <w:u w:val="none"/>
                <w:lang w:eastAsia="zh-CN"/>
              </w:rPr>
              <w:t>）</w:t>
            </w:r>
            <w:r>
              <w:rPr>
                <w:rFonts w:hint="eastAsia"/>
                <w:color w:val="000000"/>
                <w:sz w:val="24"/>
                <w:szCs w:val="24"/>
                <w:u w:val="none"/>
                <w:lang w:val="en-US" w:eastAsia="zh-CN"/>
              </w:rPr>
              <w:t>废水处理设施</w:t>
            </w:r>
          </w:p>
          <w:p w14:paraId="52D5474D">
            <w:pPr>
              <w:adjustRightInd w:val="0"/>
              <w:snapToGrid w:val="0"/>
              <w:spacing w:line="360" w:lineRule="auto"/>
              <w:ind w:firstLine="480" w:firstLineChars="200"/>
              <w:rPr>
                <w:rFonts w:hint="default" w:ascii="Times New Roman" w:hAnsi="Times New Roman" w:eastAsia="宋体" w:cs="Times New Roman"/>
                <w:color w:val="000000"/>
                <w:sz w:val="24"/>
                <w:szCs w:val="24"/>
                <w:u w:val="none"/>
              </w:rPr>
            </w:pPr>
            <w:r>
              <w:rPr>
                <w:rFonts w:hint="eastAsia"/>
                <w:color w:val="000000"/>
                <w:sz w:val="24"/>
                <w:szCs w:val="24"/>
                <w:u w:val="none"/>
                <w:lang w:val="en-US" w:eastAsia="zh-CN"/>
              </w:rPr>
              <w:t>本项目废水处理工艺均为：</w:t>
            </w:r>
            <w:r>
              <w:rPr>
                <w:rFonts w:hint="eastAsia" w:ascii="Times" w:hAnsi="Times" w:eastAsia="Times" w:cs="Times"/>
                <w:color w:val="000000"/>
                <w:kern w:val="0"/>
                <w:sz w:val="24"/>
                <w:szCs w:val="24"/>
                <w:lang w:val="en-US" w:eastAsia="zh-CN" w:bidi="ar"/>
              </w:rPr>
              <w:t>生产废水—</w:t>
            </w:r>
            <w:r>
              <w:rPr>
                <w:rFonts w:hint="eastAsia"/>
                <w:sz w:val="24"/>
                <w:szCs w:val="24"/>
                <w:highlight w:val="none"/>
                <w:lang w:val="en-US" w:eastAsia="zh-CN"/>
              </w:rPr>
              <w:t>格栅</w:t>
            </w:r>
            <w:r>
              <w:rPr>
                <w:rFonts w:hint="eastAsia" w:ascii="Times" w:hAnsi="Times" w:eastAsia="Times" w:cs="Times"/>
                <w:color w:val="000000"/>
                <w:kern w:val="0"/>
                <w:sz w:val="24"/>
                <w:szCs w:val="24"/>
                <w:lang w:val="en-US" w:eastAsia="zh-CN" w:bidi="ar"/>
              </w:rPr>
              <w:t>—</w:t>
            </w:r>
            <w:r>
              <w:rPr>
                <w:rFonts w:hint="eastAsia" w:eastAsia="宋体"/>
                <w:sz w:val="24"/>
                <w:szCs w:val="24"/>
                <w:highlight w:val="none"/>
                <w:lang w:val="en-US" w:eastAsia="zh-CN"/>
              </w:rPr>
              <w:t>隔油</w:t>
            </w:r>
            <w:r>
              <w:rPr>
                <w:rFonts w:hint="eastAsia"/>
                <w:sz w:val="24"/>
                <w:szCs w:val="24"/>
                <w:highlight w:val="none"/>
                <w:lang w:val="en-US" w:eastAsia="zh-CN"/>
              </w:rPr>
              <w:t>池</w:t>
            </w:r>
            <w:r>
              <w:rPr>
                <w:rFonts w:hint="eastAsia" w:ascii="Times" w:hAnsi="Times" w:eastAsia="Times" w:cs="Times"/>
                <w:color w:val="000000"/>
                <w:kern w:val="0"/>
                <w:sz w:val="24"/>
                <w:szCs w:val="24"/>
                <w:lang w:val="en-US" w:eastAsia="zh-CN" w:bidi="ar"/>
              </w:rPr>
              <w:t>—</w:t>
            </w:r>
            <w:r>
              <w:rPr>
                <w:rFonts w:hint="eastAsia"/>
                <w:sz w:val="24"/>
                <w:szCs w:val="24"/>
                <w:highlight w:val="none"/>
                <w:lang w:val="en-US" w:eastAsia="zh-CN"/>
              </w:rPr>
              <w:t>A/O</w:t>
            </w:r>
            <w:r>
              <w:rPr>
                <w:rFonts w:hint="eastAsia" w:ascii="Times" w:hAnsi="Times" w:eastAsia="Times" w:cs="Times"/>
                <w:color w:val="000000"/>
                <w:kern w:val="0"/>
                <w:sz w:val="24"/>
                <w:szCs w:val="24"/>
                <w:lang w:val="en-US" w:eastAsia="zh-CN" w:bidi="ar"/>
              </w:rPr>
              <w:t>，污水处理规模为50m</w:t>
            </w:r>
            <w:r>
              <w:rPr>
                <w:rFonts w:hint="eastAsia" w:ascii="Times" w:hAnsi="Times" w:eastAsia="Times" w:cs="Times"/>
                <w:color w:val="000000"/>
                <w:kern w:val="0"/>
                <w:sz w:val="24"/>
                <w:szCs w:val="24"/>
                <w:vertAlign w:val="superscript"/>
                <w:lang w:val="en-US" w:eastAsia="zh-CN" w:bidi="ar"/>
              </w:rPr>
              <w:t>3</w:t>
            </w:r>
            <w:r>
              <w:rPr>
                <w:rFonts w:hint="eastAsia" w:ascii="Times" w:hAnsi="Times" w:eastAsia="Times" w:cs="Times"/>
                <w:color w:val="000000"/>
                <w:kern w:val="0"/>
                <w:sz w:val="24"/>
                <w:szCs w:val="24"/>
                <w:lang w:val="en-US" w:eastAsia="zh-CN" w:bidi="ar"/>
              </w:rPr>
              <w:t>/d，</w:t>
            </w:r>
            <w:r>
              <w:rPr>
                <w:rFonts w:hint="eastAsia" w:ascii="Times" w:hAnsi="Times" w:eastAsia="Times" w:cs="Times"/>
                <w:color w:val="000000" w:themeColor="text1"/>
                <w:kern w:val="0"/>
                <w:sz w:val="24"/>
                <w:lang w:bidi="ar"/>
                <w14:textFill>
                  <w14:solidFill>
                    <w14:schemeClr w14:val="tx1"/>
                  </w14:solidFill>
                </w14:textFill>
              </w:rPr>
              <w:t>本项目生产废水总计为</w:t>
            </w:r>
            <w:r>
              <w:rPr>
                <w:rFonts w:hint="eastAsia" w:ascii="Times" w:hAnsi="Times" w:eastAsia="Times" w:cs="Times"/>
                <w:color w:val="000000" w:themeColor="text1"/>
                <w:kern w:val="0"/>
                <w:sz w:val="24"/>
                <w:lang w:val="en-US" w:eastAsia="zh-CN" w:bidi="ar"/>
                <w14:textFill>
                  <w14:solidFill>
                    <w14:schemeClr w14:val="tx1"/>
                  </w14:solidFill>
                </w14:textFill>
              </w:rPr>
              <w:t>40.625</w:t>
            </w:r>
            <w:r>
              <w:rPr>
                <w:color w:val="000000" w:themeColor="text1"/>
                <w:kern w:val="0"/>
                <w:sz w:val="24"/>
                <w:lang w:bidi="ar"/>
                <w14:textFill>
                  <w14:solidFill>
                    <w14:schemeClr w14:val="tx1"/>
                  </w14:solidFill>
                </w14:textFill>
              </w:rPr>
              <w:t>m</w:t>
            </w:r>
            <w:r>
              <w:rPr>
                <w:rFonts w:hint="eastAsia"/>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/d</w:t>
            </w:r>
            <w:r>
              <w:rPr>
                <w:rFonts w:hint="eastAsia"/>
                <w:color w:val="000000" w:themeColor="text1"/>
                <w:kern w:val="0"/>
                <w:sz w:val="24"/>
                <w:lang w:bidi="ar"/>
                <w14:textFill>
                  <w14:solidFill>
                    <w14:schemeClr w14:val="tx1"/>
                  </w14:solidFill>
                </w14:textFill>
              </w:rPr>
              <w:t>。污水处理站处理规模能够满足本项目废水处理需要。</w:t>
            </w:r>
            <w:r>
              <w:rPr>
                <w:color w:val="000000" w:themeColor="text1"/>
                <w:sz w:val="24"/>
                <w14:textFill>
                  <w14:solidFill>
                    <w14:schemeClr w14:val="tx1"/>
                  </w14:solidFill>
                </w14:textFill>
              </w:rPr>
              <w:t>污水站处理工艺流程见下图。</w:t>
            </w:r>
          </w:p>
          <w:p w14:paraId="2D4DBA1D">
            <w:pPr>
              <w:bidi w:val="0"/>
              <w:rPr>
                <w:rFonts w:hint="eastAsia" w:eastAsia="宋体"/>
                <w:color w:val="000000"/>
                <w:lang w:eastAsia="zh-CN"/>
              </w:rPr>
            </w:pPr>
            <w:r>
              <w:rPr>
                <w:sz w:val="21"/>
              </w:rPr>
              <mc:AlternateContent>
                <mc:Choice Requires="wpc">
                  <w:drawing>
                    <wp:inline distT="0" distB="0" distL="114300" distR="114300">
                      <wp:extent cx="5839460" cy="1764665"/>
                      <wp:effectExtent l="0" t="0" r="8890" b="6985"/>
                      <wp:docPr id="78" name="画布 78"/>
                      <wp:cNvGraphicFramePr/>
                      <a:graphic xmlns:a="http://schemas.openxmlformats.org/drawingml/2006/main">
                        <a:graphicData uri="http://schemas.microsoft.com/office/word/2010/wordprocessingCanvas">
                          <wpc:wpc>
                            <wpc:bg/>
                            <wpc:whole/>
                            <wps:wsp>
                              <wps:cNvPr id="95" name="直接箭头连接符 95"/>
                              <wps:cNvCnPr>
                                <a:endCxn id="90" idx="1"/>
                              </wps:cNvCnPr>
                              <wps:spPr>
                                <a:xfrm>
                                  <a:off x="718185" y="246380"/>
                                  <a:ext cx="420370"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96" name="直接箭头连接符 96"/>
                              <wps:cNvCnPr/>
                              <wps:spPr>
                                <a:xfrm>
                                  <a:off x="1285875" y="403225"/>
                                  <a:ext cx="1905" cy="45974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g:wgp>
                              <wpg:cNvPr id="8" name="组合 8"/>
                              <wpg:cNvGrpSpPr/>
                              <wpg:grpSpPr>
                                <a:xfrm>
                                  <a:off x="11430" y="87630"/>
                                  <a:ext cx="5828030" cy="1638935"/>
                                  <a:chOff x="18" y="360"/>
                                  <a:chExt cx="9178" cy="2581"/>
                                </a:xfrm>
                              </wpg:grpSpPr>
                              <wpg:grpSp>
                                <wpg:cNvPr id="94" name="组合 94"/>
                                <wpg:cNvGrpSpPr/>
                                <wpg:grpSpPr>
                                  <a:xfrm>
                                    <a:off x="18" y="360"/>
                                    <a:ext cx="9178" cy="1514"/>
                                    <a:chOff x="18" y="391"/>
                                    <a:chExt cx="9178" cy="1635"/>
                                  </a:xfrm>
                                </wpg:grpSpPr>
                                <wpg:grpSp>
                                  <wpg:cNvPr id="88" name="组合 88"/>
                                  <wpg:cNvGrpSpPr/>
                                  <wpg:grpSpPr>
                                    <a:xfrm>
                                      <a:off x="39" y="1486"/>
                                      <a:ext cx="9157" cy="540"/>
                                      <a:chOff x="38" y="1145"/>
                                      <a:chExt cx="9157" cy="540"/>
                                    </a:xfrm>
                                  </wpg:grpSpPr>
                                  <wps:wsp>
                                    <wps:cNvPr id="79" name="矩形 79"/>
                                    <wps:cNvSpPr/>
                                    <wps:spPr>
                                      <a:xfrm>
                                        <a:off x="38" y="1145"/>
                                        <a:ext cx="1395" cy="54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9AB77C6">
                                          <w:pPr>
                                            <w:jc w:val="center"/>
                                            <w:rPr>
                                              <w:rFonts w:hint="eastAsia"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生产废水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0" name="矩形 80"/>
                                    <wps:cNvSpPr/>
                                    <wps:spPr>
                                      <a:xfrm>
                                        <a:off x="2285" y="1145"/>
                                        <a:ext cx="976" cy="5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1B513F1">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格栅</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1" name="矩形 81"/>
                                    <wps:cNvSpPr/>
                                    <wps:spPr>
                                      <a:xfrm>
                                        <a:off x="4113" y="1145"/>
                                        <a:ext cx="1126" cy="5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AEE5EC1">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隔油池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2" name="矩形 82"/>
                                    <wps:cNvSpPr/>
                                    <wps:spPr>
                                      <a:xfrm>
                                        <a:off x="6091" y="1145"/>
                                        <a:ext cx="1126" cy="5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A1E9D7">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A/O</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3" name="矩形 83"/>
                                    <wps:cNvSpPr/>
                                    <wps:spPr>
                                      <a:xfrm>
                                        <a:off x="8069" y="1145"/>
                                        <a:ext cx="1126" cy="5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1CD0F08">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4" name="直接箭头连接符 84"/>
                                    <wps:cNvCnPr>
                                      <a:stCxn id="79" idx="3"/>
                                      <a:endCxn id="80" idx="1"/>
                                    </wps:cNvCnPr>
                                    <wps:spPr>
                                      <a:xfrm>
                                        <a:off x="1433" y="1415"/>
                                        <a:ext cx="852"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85" name="直接箭头连接符 85"/>
                                    <wps:cNvCnPr>
                                      <a:stCxn id="80" idx="3"/>
                                      <a:endCxn id="81" idx="1"/>
                                    </wps:cNvCnPr>
                                    <wps:spPr>
                                      <a:xfrm>
                                        <a:off x="3261" y="1415"/>
                                        <a:ext cx="852"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86" name="直接箭头连接符 86"/>
                                    <wps:cNvCnPr>
                                      <a:stCxn id="81" idx="3"/>
                                      <a:endCxn id="82" idx="1"/>
                                    </wps:cNvCnPr>
                                    <wps:spPr>
                                      <a:xfrm>
                                        <a:off x="5239" y="1415"/>
                                        <a:ext cx="852"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87" name="直接箭头连接符 87"/>
                                    <wps:cNvCnPr>
                                      <a:stCxn id="82" idx="3"/>
                                      <a:endCxn id="83" idx="1"/>
                                    </wps:cNvCnPr>
                                    <wps:spPr>
                                      <a:xfrm>
                                        <a:off x="7217" y="1415"/>
                                        <a:ext cx="852" cy="0"/>
                                      </a:xfrm>
                                      <a:prstGeom prst="straightConnector1">
                                        <a:avLst/>
                                      </a:prstGeom>
                                      <a:ln w="635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g:grpSp>
                                <wpg:grpSp>
                                  <wpg:cNvPr id="93" name="组合 93"/>
                                  <wpg:cNvGrpSpPr/>
                                  <wpg:grpSpPr>
                                    <a:xfrm>
                                      <a:off x="18" y="391"/>
                                      <a:ext cx="2901" cy="540"/>
                                      <a:chOff x="18" y="391"/>
                                      <a:chExt cx="2901" cy="540"/>
                                    </a:xfrm>
                                  </wpg:grpSpPr>
                                  <wps:wsp>
                                    <wps:cNvPr id="89" name="矩形 89"/>
                                    <wps:cNvSpPr/>
                                    <wps:spPr>
                                      <a:xfrm>
                                        <a:off x="18" y="391"/>
                                        <a:ext cx="1395" cy="54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585AF3E">
                                          <w:pPr>
                                            <w:jc w:val="center"/>
                                            <w:rPr>
                                              <w:rFonts w:hint="eastAsia"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生活污水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0" name="矩形 90"/>
                                    <wps:cNvSpPr/>
                                    <wps:spPr>
                                      <a:xfrm>
                                        <a:off x="1793" y="391"/>
                                        <a:ext cx="1126" cy="54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E3B48D4">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grpSp>
                              <wps:wsp>
                                <wps:cNvPr id="1" name="矩形 1"/>
                                <wps:cNvSpPr/>
                                <wps:spPr>
                                  <a:xfrm>
                                    <a:off x="8070" y="2441"/>
                                    <a:ext cx="1126" cy="5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90A6CA8">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总排口</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 name="直接箭头连接符 2"/>
                                <wps:cNvCnPr>
                                  <a:stCxn id="83" idx="2"/>
                                  <a:endCxn id="1" idx="0"/>
                                </wps:cNvCnPr>
                                <wps:spPr>
                                  <a:xfrm>
                                    <a:off x="8633" y="1874"/>
                                    <a:ext cx="0" cy="567"/>
                                  </a:xfrm>
                                  <a:prstGeom prst="straightConnector1">
                                    <a:avLst/>
                                  </a:prstGeom>
                                  <a:ln>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g:wgp>
                          </wpc:wpc>
                        </a:graphicData>
                      </a:graphic>
                    </wp:inline>
                  </w:drawing>
                </mc:Choice>
                <mc:Fallback>
                  <w:pict>
                    <v:group id="_x0000_s1026" o:spid="_x0000_s1026" o:spt="203" style="height:138.95pt;width:459.8pt;" coordsize="5839460,1764665" editas="canvas" o:gfxdata="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">
                      <o:lock v:ext="edit" aspectratio="f"/>
                      <v:shape id="_x0000_s1026" o:spid="_x0000_s1026" style="position:absolute;left:0;top:0;height:1764665;width:5839460;" filled="f" stroked="f" coordsize="21600,21600" o:gfxdata="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">
                        <v:fill on="f" focussize="0,0"/>
                        <v:stroke on="f"/>
                        <v:imagedata o:title=""/>
                        <o:lock v:ext="edit" aspectratio="f"/>
                      </v:shape>
                      <v:shape id="_x0000_s1026" o:spid="_x0000_s1026" o:spt="32" type="#_x0000_t32" style="position:absolute;left:718185;top:246380;height:0;width:420370;" filled="f" stroked="t" coordsize="21600,21600" o:gfxdata="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5yJ8e1AAA&#10;AAUBAAAPAAAAAAAAAAEAIAAAACIAAABkcnMvZG93bnJldi54bWxQSwECFAAUAAAACACHTuJAFftk&#10;mSICAAAUBAAADgAAAAAAAAABACAAAAAjAQAAZHJzL2Uyb0RvYy54bWxQSwUGAAAAAAYABgBZAQAA&#10;twUAAAAA&#10;">
                        <v:fill on="f" focussize="0,0"/>
                        <v:stroke weight="0.5pt" color="#000000 [3213]" miterlimit="8" joinstyle="miter" endarrow="block"/>
                        <v:imagedata o:title=""/>
                        <o:lock v:ext="edit" aspectratio="f"/>
                      </v:shape>
                      <v:shape id="_x0000_s1026" o:spid="_x0000_s1026" o:spt="32" type="#_x0000_t32" style="position:absolute;left:1285875;top:403225;height:459740;width:1905;" filled="f" stroked="t" coordsize="21600,21600" o:gfxdata="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5yJ8e1AAAAAUBAAAPAAAAAAAA&#10;AAEAIAAAACIAAABkcnMvZG93bnJldi54bWxQSwECFAAUAAAACACHTuJABB38URYCAADwAwAADgAA&#10;AAAAAAABACAAAAAjAQAAZHJzL2Uyb0RvYy54bWxQSwUGAAAAAAYABgBZAQAAqwUAAAAA&#10;">
                        <v:fill on="f" focussize="0,0"/>
                        <v:stroke weight="0.5pt" color="#000000 [3213]" miterlimit="8" joinstyle="miter" endarrow="block"/>
                        <v:imagedata o:title=""/>
                        <o:lock v:ext="edit" aspectratio="f"/>
                      </v:shape>
                      <v:group id="_x0000_s1026" o:spid="_x0000_s1026" o:spt="203" style="position:absolute;left:11430;top:87630;height:1638935;width:5828030;" coordorigin="18,360" coordsize="9178,2581" o:gfxdata="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">
                        <o:lock v:ext="edit" aspectratio="f"/>
                        <v:group id="_x0000_s1026" o:spid="_x0000_s1026" o:spt="203" style="position:absolute;left:18;top:360;height:1514;width:9178;" coordorigin="18,391" coordsize="9178,1635" o:gfxdata="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g5pRMvwAAANsAAAAPAAAAAAAAAAEAIAAAACIAAABkcnMvZG93bnJldi54&#10;bWxQSwECFAAUAAAACACHTuJAMy8FnjsAAAA5AAAAFQAAAAAAAAABACAAAAAOAQAAZHJzL2dyb3Vw&#10;c2hhcGV4bWwueG1sUEsFBgAAAAAGAAYAYAEAAMsDAAAAAA==&#10;">
                          <o:lock v:ext="edit" aspectratio="f"/>
                          <v:group id="_x0000_s1026" o:spid="_x0000_s1026" o:spt="203" style="position:absolute;left:39;top:1486;height:540;width:9157;" coordorigin="38,1145" coordsize="9157,540" o:gfxdata="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RyCJS7AAAA2wAAAA8AAAAAAAAAAQAgAAAAIgAAAGRycy9kb3ducmV2LnhtbFBL&#10;AQIUABQAAAAIAIdO4kAzLwWeOwAAADkAAAAVAAAAAAAAAAEAIAAAAAoBAABkcnMvZ3JvdXBzaGFw&#10;ZXhtbC54bWxQSwUGAAAAAAYABgBgAQAAxwMAAAAA&#10;">
                            <o:lock v:ext="edit" aspectratio="f"/>
                            <v:rect id="_x0000_s1026" o:spid="_x0000_s1026" o:spt="1" style="position:absolute;left:38;top:1145;height:540;width:1395;v-text-anchor:middle;" filled="f" stroked="f" coordsize="21600,21600" o:gfxdata="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AgtavQAA&#10;ANsAAAAPAAAAAAAAAAEAIAAAACIAAABkcnMvZG93bnJldi54bWxQSwECFAAUAAAACACHTuJAMy8F&#10;njsAAAA5AAAAEAAAAAAAAAABACAAAAAMAQAAZHJzL3NoYXBleG1sLnhtbFBLBQYAAAAABgAGAFsB&#10;AAC2AwAAAAA=&#10;">
                              <v:fill on="f" focussize="0,0"/>
                              <v:stroke on="f" weight="1pt" miterlimit="8" joinstyle="miter"/>
                              <v:imagedata o:title=""/>
                              <o:lock v:ext="edit" aspectratio="f"/>
                              <v:textbox>
                                <w:txbxContent>
                                  <w:p w14:paraId="39AB77C6">
                                    <w:pPr>
                                      <w:jc w:val="center"/>
                                      <w:rPr>
                                        <w:rFonts w:hint="eastAsia"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生产废水</w:t>
                                    </w:r>
                                  </w:p>
                                </w:txbxContent>
                              </v:textbox>
                            </v:rect>
                            <v:rect id="_x0000_s1026" o:spid="_x0000_s1026" o:spt="1" style="position:absolute;left:2285;top:1145;height:540;width:976;v-text-anchor:middle;" filled="f" stroked="t" coordsize="21600,21600" o:gfxdata="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4guaugAAANsA&#10;AAAPAAAAAAAAAAEAIAAAACIAAABkcnMvZG93bnJldi54bWxQSwECFAAUAAAACACHTuJAMy8FnjsA&#10;AAA5AAAAEAAAAAAAAAABACAAAAAJAQAAZHJzL3NoYXBleG1sLnhtbFBLBQYAAAAABgAGAFsBAACz&#10;AwAAAAA=&#10;">
                              <v:fill on="f" focussize="0,0"/>
                              <v:stroke weight="1pt" color="#000000 [3213]" miterlimit="8" joinstyle="miter"/>
                              <v:imagedata o:title=""/>
                              <o:lock v:ext="edit" aspectratio="f"/>
                              <v:textbox>
                                <w:txbxContent>
                                  <w:p w14:paraId="11B513F1">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格栅</w:t>
                                    </w:r>
                                  </w:p>
                                </w:txbxContent>
                              </v:textbox>
                            </v:rect>
                            <v:rect id="_x0000_s1026" o:spid="_x0000_s1026" o:spt="1" style="position:absolute;left:4113;top:1145;height:540;width:1126;v-text-anchor:middle;" filled="f" stroked="t" coordsize="21600,21600" o:gfxdata="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rq4B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textbox>
                                <w:txbxContent>
                                  <w:p w14:paraId="5AEE5EC1">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隔油池</w:t>
                                    </w:r>
                                  </w:p>
                                </w:txbxContent>
                              </v:textbox>
                            </v:rect>
                            <v:rect id="_x0000_s1026" o:spid="_x0000_s1026" o:spt="1" style="position:absolute;left:6091;top:1145;height:540;width:1126;v-text-anchor:middle;" filled="f" stroked="t" coordsize="21600,21600" o:gfxdata="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fDB2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textbox>
                                <w:txbxContent>
                                  <w:p w14:paraId="1FA1E9D7">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A/O</w:t>
                                    </w:r>
                                  </w:p>
                                </w:txbxContent>
                              </v:textbox>
                            </v:rect>
                            <v:rect id="_x0000_s1026" o:spid="_x0000_s1026" o:spt="1" style="position:absolute;left:8069;top:1145;height:540;width:1126;v-text-anchor:middle;" filled="f" stroked="t" coordsize="21600,21600" o:gfxdata="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MJXt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textbox>
                                <w:txbxContent>
                                  <w:p w14:paraId="61CD0F08">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沉淀池</w:t>
                                    </w:r>
                                  </w:p>
                                </w:txbxContent>
                              </v:textbox>
                            </v:rect>
                            <v:shape id="_x0000_s1026" o:spid="_x0000_s1026" o:spt="32" type="#_x0000_t32" style="position:absolute;left:1433;top:1415;height:0;width:852;" filled="f" stroked="t" coordsize="21600,21600" o:gfxdata="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krzS7sAAADb&#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3261;top:1415;height:0;width:852;" filled="f" stroked="t" coordsize="21600,21600" o:gfxdata="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QZW0LsAAADb&#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5239;top:1415;height:0;width:852;" filled="f" stroked="t" coordsize="21600,21600" o:gfxdata="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1Min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7217;top:1415;height:0;width:852;" filled="f" stroked="t" coordsize="21600,21600" o:gfxdata="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phtPLsAAADb&#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group>
                          <v:group id="_x0000_s1026" o:spid="_x0000_s1026" o:spt="203" style="position:absolute;left:18;top:391;height:540;width:2901;" coordorigin="18,391" coordsize="2901,540" o:gfxdata="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w8MOL0AAADbAAAADwAAAAAAAAABACAAAAAiAAAAZHJzL2Rvd25yZXYueG1s&#10;UEsBAhQAFAAAAAgAh07iQDMvBZ47AAAAOQAAABUAAAAAAAAAAQAgAAAADAEAAGRycy9ncm91cHNo&#10;YXBleG1sLnhtbFBLBQYAAAAABgAGAGABAADJAwAAAAA=&#10;">
                            <o:lock v:ext="edit" aspectratio="f"/>
                            <v:rect id="_x0000_s1026" o:spid="_x0000_s1026" o:spt="1" style="position:absolute;left:18;top:391;height:540;width:1395;v-text-anchor:middle;" filled="f" stroked="f" coordsize="21600,21600" o:gfxdata="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13t9vQAA&#10;ANsAAAAPAAAAAAAAAAEAIAAAACIAAABkcnMvZG93bnJldi54bWxQSwECFAAUAAAACACHTuJAMy8F&#10;njsAAAA5AAAAEAAAAAAAAAABACAAAAAMAQAAZHJzL3NoYXBleG1sLnhtbFBLBQYAAAAABgAGAFsB&#10;AAC2AwAAAAA=&#10;">
                              <v:fill on="f" focussize="0,0"/>
                              <v:stroke on="f" weight="1pt" miterlimit="8" joinstyle="miter"/>
                              <v:imagedata o:title=""/>
                              <o:lock v:ext="edit" aspectratio="f"/>
                              <v:textbox>
                                <w:txbxContent>
                                  <w:p w14:paraId="4585AF3E">
                                    <w:pPr>
                                      <w:jc w:val="center"/>
                                      <w:rPr>
                                        <w:rFonts w:hint="eastAsia"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生活污水</w:t>
                                    </w:r>
                                  </w:p>
                                </w:txbxContent>
                              </v:textbox>
                            </v:rect>
                            <v:rect id="_x0000_s1026" o:spid="_x0000_s1026" o:spt="1" style="position:absolute;left:1793;top:391;height:540;width:1126;v-text-anchor:middle;" filled="f" stroked="t" coordsize="21600,21600" o:gfxdata="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O51HugAAANsA&#10;AAAPAAAAAAAAAAEAIAAAACIAAABkcnMvZG93bnJldi54bWxQSwECFAAUAAAACACHTuJAMy8FnjsA&#10;AAA5AAAAEAAAAAAAAAABACAAAAAJAQAAZHJzL3NoYXBleG1sLnhtbFBLBQYAAAAABgAGAFsBAACz&#10;AwAAAAA=&#10;">
                              <v:fill on="f" focussize="0,0"/>
                              <v:stroke weight="1pt" color="#000000 [3213]" miterlimit="8" joinstyle="miter"/>
                              <v:imagedata o:title=""/>
                              <o:lock v:ext="edit" aspectratio="f"/>
                              <v:textbox>
                                <w:txbxContent>
                                  <w:p w14:paraId="2E3B48D4">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化粪池</w:t>
                                    </w:r>
                                  </w:p>
                                </w:txbxContent>
                              </v:textbox>
                            </v:rect>
                          </v:group>
                        </v:group>
                        <v:rect id="_x0000_s1026" o:spid="_x0000_s1026" o:spt="1" style="position:absolute;left:8070;top:2441;height:500;width:1126;v-text-anchor:middle;" filled="f" stroked="t" coordsize="21600,21600" o:gfxdata="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PpQaugAAANoA&#10;AAAPAAAAAAAAAAEAIAAAACIAAABkcnMvZG93bnJldi54bWxQSwECFAAUAAAACACHTuJAMy8FnjsA&#10;AAA5AAAAEAAAAAAAAAABACAAAAAJAQAAZHJzL3NoYXBleG1sLnhtbFBLBQYAAAAABgAGAFsBAACz&#10;AwAAAAA=&#10;">
                          <v:fill on="f" focussize="0,0"/>
                          <v:stroke weight="1pt" color="#000000 [3213]" miterlimit="8" joinstyle="miter"/>
                          <v:imagedata o:title=""/>
                          <o:lock v:ext="edit" aspectratio="f"/>
                          <v:textbox>
                            <w:txbxContent>
                              <w:p w14:paraId="390A6CA8">
                                <w:pPr>
                                  <w:jc w:val="center"/>
                                  <w:rPr>
                                    <w:rFonts w:hint="default" w:eastAsia="宋体"/>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总排口</w:t>
                                </w:r>
                              </w:p>
                            </w:txbxContent>
                          </v:textbox>
                        </v:rect>
                        <v:shape id="_x0000_s1026" o:spid="_x0000_s1026" o:spt="32" type="#_x0000_t32" style="position:absolute;left:8633;top:1874;height:567;width:0;" filled="f" stroked="t" coordsize="21600,21600" o:gfxdata="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YG5kvQAA&#10;ANoAAAAPAAAAAAAAAAEAIAAAACIAAABkcnMvZG93bnJldi54bWxQSwECFAAUAAAACACHTuJAMy8F&#10;njsAAAA5AAAAEAAAAAAAAAABACAAAAAMAQAAZHJzL3NoYXBleG1sLnhtbFBLBQYAAAAABgAGAFsB&#10;AAC2AwAAAAA=&#10;">
                          <v:fill on="f" focussize="0,0"/>
                          <v:stroke weight="1pt" color="#000000 [3213]" miterlimit="8" joinstyle="miter" endarrow="block"/>
                          <v:imagedata o:title=""/>
                          <o:lock v:ext="edit" aspectratio="f"/>
                        </v:shape>
                      </v:group>
                      <w10:wrap type="none"/>
                      <w10:anchorlock/>
                    </v:group>
                  </w:pict>
                </mc:Fallback>
              </mc:AlternateContent>
            </w:r>
          </w:p>
          <w:p w14:paraId="69934756">
            <w:pPr>
              <w:adjustRightInd w:val="0"/>
              <w:snapToGrid w:val="0"/>
              <w:spacing w:line="360" w:lineRule="auto"/>
              <w:jc w:val="center"/>
              <w:rPr>
                <w:rFonts w:hint="default" w:ascii="Times New Roman" w:hAnsi="Times New Roman" w:eastAsia="宋体" w:cs="Times New Roman"/>
                <w:b/>
                <w:color w:val="000000"/>
                <w:sz w:val="24"/>
                <w:szCs w:val="24"/>
                <w:u w:val="none"/>
              </w:rPr>
            </w:pPr>
            <w:r>
              <w:rPr>
                <w:rFonts w:hint="default" w:ascii="Times New Roman" w:hAnsi="Times New Roman" w:eastAsia="宋体" w:cs="Times New Roman"/>
                <w:b/>
                <w:color w:val="000000"/>
                <w:sz w:val="24"/>
                <w:szCs w:val="24"/>
                <w:u w:val="none"/>
              </w:rPr>
              <w:t>图4-1</w:t>
            </w:r>
            <w:r>
              <w:rPr>
                <w:rFonts w:hint="eastAsia" w:cs="Times New Roman"/>
                <w:b/>
                <w:color w:val="000000"/>
                <w:sz w:val="24"/>
                <w:szCs w:val="24"/>
                <w:u w:val="none"/>
                <w:lang w:val="en-US" w:eastAsia="zh-CN"/>
              </w:rPr>
              <w:t xml:space="preserve">  </w:t>
            </w:r>
            <w:r>
              <w:rPr>
                <w:rFonts w:hint="default" w:ascii="Times New Roman" w:hAnsi="Times New Roman" w:eastAsia="宋体" w:cs="Times New Roman"/>
                <w:b/>
                <w:color w:val="000000"/>
                <w:sz w:val="24"/>
                <w:szCs w:val="24"/>
                <w:u w:val="none"/>
              </w:rPr>
              <w:t>污水处理站处理工艺流程图</w:t>
            </w:r>
          </w:p>
          <w:p w14:paraId="47885BE2">
            <w:pPr>
              <w:keepNext w:val="0"/>
              <w:keepLines w:val="0"/>
              <w:pageBreakBefore w:val="0"/>
              <w:widowControl/>
              <w:kinsoku/>
              <w:wordWrap/>
              <w:overflowPunct/>
              <w:topLinePunct w:val="0"/>
              <w:autoSpaceDE/>
              <w:autoSpaceDN/>
              <w:bidi w:val="0"/>
              <w:snapToGrid w:val="0"/>
              <w:spacing w:line="360" w:lineRule="auto"/>
              <w:ind w:right="0" w:firstLine="482" w:firstLineChars="200"/>
              <w:textAlignment w:val="auto"/>
              <w:rPr>
                <w:rFonts w:hint="default" w:ascii="Times New Roman" w:hAnsi="Times New Roman" w:eastAsia="宋体" w:cs="Times New Roman"/>
                <w:b/>
                <w:bCs/>
                <w:color w:val="000000"/>
                <w:sz w:val="24"/>
                <w:szCs w:val="24"/>
                <w:u w:val="none"/>
              </w:rPr>
            </w:pPr>
            <w:r>
              <w:rPr>
                <w:rFonts w:hint="default" w:ascii="Times New Roman" w:hAnsi="Times New Roman" w:eastAsia="宋体" w:cs="Times New Roman"/>
                <w:b/>
                <w:bCs/>
                <w:color w:val="000000"/>
                <w:sz w:val="24"/>
                <w:szCs w:val="24"/>
                <w:u w:val="none"/>
              </w:rPr>
              <w:t>工艺流程简述：</w:t>
            </w:r>
          </w:p>
          <w:p w14:paraId="449C836E">
            <w:pPr>
              <w:widowControl/>
              <w:snapToGrid w:val="0"/>
              <w:spacing w:line="360" w:lineRule="auto"/>
              <w:ind w:firstLine="480" w:firstLineChars="200"/>
              <w:rPr>
                <w:rFonts w:hint="eastAsia" w:eastAsia="宋体"/>
                <w:sz w:val="24"/>
                <w:lang w:eastAsia="zh-CN"/>
              </w:rPr>
            </w:pPr>
            <w:r>
              <w:rPr>
                <w:rFonts w:hint="eastAsia"/>
                <w:color w:val="000000"/>
                <w:sz w:val="24"/>
                <w:u w:val="none"/>
                <w:lang w:val="en-US" w:eastAsia="zh-CN"/>
              </w:rPr>
              <w:t>①格栅、隔油池：</w:t>
            </w:r>
            <w:r>
              <w:rPr>
                <w:sz w:val="24"/>
              </w:rPr>
              <w:t>为防止废水中含大量的固体悬浮物，杂质堵塞，损坏后续处理设施，污水在进入</w:t>
            </w:r>
            <w:r>
              <w:rPr>
                <w:rFonts w:hint="eastAsia"/>
                <w:sz w:val="24"/>
                <w:lang w:val="en-US" w:eastAsia="zh-CN"/>
              </w:rPr>
              <w:t>隔油</w:t>
            </w:r>
            <w:r>
              <w:rPr>
                <w:sz w:val="24"/>
              </w:rPr>
              <w:t>池前，设置格栅，废水经机械格栅拦截污水中的大块漂浮物（固体杂物等）后进入</w:t>
            </w:r>
            <w:r>
              <w:rPr>
                <w:rFonts w:hint="eastAsia"/>
                <w:sz w:val="24"/>
                <w:lang w:val="en-US" w:eastAsia="zh-CN"/>
              </w:rPr>
              <w:t>隔油</w:t>
            </w:r>
            <w:r>
              <w:rPr>
                <w:sz w:val="24"/>
              </w:rPr>
              <w:t>池，</w:t>
            </w:r>
            <w:r>
              <w:rPr>
                <w:rFonts w:hint="eastAsia"/>
                <w:sz w:val="24"/>
              </w:rPr>
              <w:t>通过</w:t>
            </w:r>
            <w:commentRangeStart w:id="88"/>
            <w:r>
              <w:rPr>
                <w:rFonts w:hint="eastAsia"/>
                <w:sz w:val="24"/>
              </w:rPr>
              <w:t>隔油调节池</w:t>
            </w:r>
            <w:commentRangeEnd w:id="88"/>
            <w:r>
              <w:commentReference w:id="88"/>
            </w:r>
            <w:r>
              <w:rPr>
                <w:rFonts w:hint="eastAsia"/>
                <w:sz w:val="24"/>
              </w:rPr>
              <w:t>对浮油的拦截以及水质的均质后</w:t>
            </w:r>
            <w:r>
              <w:rPr>
                <w:sz w:val="24"/>
              </w:rPr>
              <w:t>进入</w:t>
            </w:r>
            <w:r>
              <w:rPr>
                <w:rFonts w:hint="eastAsia"/>
                <w:color w:val="000000"/>
                <w:sz w:val="24"/>
                <w:u w:val="none"/>
                <w:lang w:val="en-US" w:eastAsia="zh-CN"/>
              </w:rPr>
              <w:t>A/O</w:t>
            </w:r>
            <w:r>
              <w:rPr>
                <w:sz w:val="24"/>
              </w:rPr>
              <w:t>池</w:t>
            </w:r>
            <w:r>
              <w:rPr>
                <w:rFonts w:hint="eastAsia"/>
                <w:sz w:val="24"/>
                <w:lang w:eastAsia="zh-CN"/>
              </w:rPr>
              <w:t>。</w:t>
            </w:r>
          </w:p>
          <w:p w14:paraId="510B01F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color w:val="000000"/>
                <w:sz w:val="24"/>
                <w:u w:val="none"/>
                <w:lang w:val="en-US" w:eastAsia="zh-CN"/>
              </w:rPr>
            </w:pPr>
            <w:r>
              <w:rPr>
                <w:rFonts w:hint="eastAsia"/>
                <w:color w:val="000000"/>
                <w:sz w:val="24"/>
                <w:u w:val="none"/>
                <w:lang w:val="en-US" w:eastAsia="zh-CN"/>
              </w:rPr>
              <w:t>②A/O：</w:t>
            </w:r>
          </w:p>
          <w:p w14:paraId="69FAE73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commentRangeStart w:id="89"/>
            <w:r>
              <w:rPr>
                <w:rFonts w:hint="eastAsia"/>
                <w:color w:val="000000"/>
                <w:sz w:val="24"/>
                <w:u w:val="none"/>
                <w:lang w:val="en-US" w:eastAsia="zh-CN"/>
              </w:rPr>
              <w:t>A/O</w:t>
            </w:r>
            <w:r>
              <w:rPr>
                <w:rFonts w:hint="default" w:ascii="Times New Roman" w:hAnsi="Times New Roman" w:eastAsia="宋体" w:cs="Times New Roman"/>
                <w:color w:val="000000"/>
                <w:kern w:val="0"/>
                <w:sz w:val="24"/>
                <w:szCs w:val="24"/>
                <w:lang w:val="en-US" w:eastAsia="zh-CN" w:bidi="ar"/>
              </w:rPr>
              <w:t>是除了使有机污染物得到降解之外，还具有一定的脱氮除磷功能，</w:t>
            </w:r>
            <w:commentRangeEnd w:id="89"/>
            <w:r>
              <w:commentReference w:id="89"/>
            </w:r>
            <w:r>
              <w:rPr>
                <w:rFonts w:hint="default" w:ascii="Times New Roman" w:hAnsi="Times New Roman" w:eastAsia="宋体" w:cs="Times New Roman"/>
                <w:color w:val="000000"/>
                <w:kern w:val="0"/>
                <w:sz w:val="24"/>
                <w:szCs w:val="24"/>
                <w:lang w:val="en-US" w:eastAsia="zh-CN" w:bidi="ar"/>
              </w:rPr>
              <w:t>在缺氧段异养菌将污水中的淀粉、纤维、碳水化合物等悬浮污染物和可溶性有机物水解为有机酸，使大分子有机物分解为小分子有机物，不溶性的有机物转化成可溶性有机物，当这些经缺氧水解的产物进入好氧池进行好氧处理时，提高污水的可生化性，提高氧的效率；在缺氧段异养菌将蛋白质、脂肪等污染物进行氨化（有机链上的N或氨基酸中的氨基）游离出氨（NH</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lang w:val="en-US" w:eastAsia="zh-CN" w:bidi="ar"/>
              </w:rPr>
              <w:t>、NH</w:t>
            </w:r>
            <w:r>
              <w:rPr>
                <w:rFonts w:hint="default" w:ascii="Times New Roman" w:hAnsi="Times New Roman" w:eastAsia="宋体" w:cs="Times New Roman"/>
                <w:color w:val="000000"/>
                <w:kern w:val="0"/>
                <w:sz w:val="24"/>
                <w:szCs w:val="24"/>
                <w:vertAlign w:val="subscript"/>
                <w:lang w:val="en-US" w:eastAsia="zh-CN" w:bidi="ar"/>
              </w:rPr>
              <w:t>4</w:t>
            </w:r>
            <w:r>
              <w:rPr>
                <w:rFonts w:hint="default" w:ascii="Times New Roman" w:hAnsi="Times New Roman" w:eastAsia="宋体" w:cs="Times New Roman"/>
                <w:color w:val="000000"/>
                <w:kern w:val="0"/>
                <w:sz w:val="24"/>
                <w:szCs w:val="24"/>
                <w:vertAlign w:val="superscript"/>
                <w:lang w:val="en-US" w:eastAsia="zh-CN" w:bidi="ar"/>
              </w:rPr>
              <w:t>+</w:t>
            </w:r>
            <w:r>
              <w:rPr>
                <w:rFonts w:hint="default" w:ascii="Times New Roman" w:hAnsi="Times New Roman" w:eastAsia="宋体" w:cs="Times New Roman"/>
                <w:color w:val="000000"/>
                <w:kern w:val="0"/>
                <w:sz w:val="24"/>
                <w:szCs w:val="24"/>
                <w:lang w:val="en-US" w:eastAsia="zh-CN" w:bidi="ar"/>
              </w:rPr>
              <w:t>），在充足供氧条件下，自养菌的硝化作用将NH</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lang w:val="en-US" w:eastAsia="zh-CN" w:bidi="ar"/>
              </w:rPr>
              <w:t>-N（NH</w:t>
            </w:r>
            <w:r>
              <w:rPr>
                <w:rFonts w:hint="default" w:ascii="Times New Roman" w:hAnsi="Times New Roman" w:eastAsia="宋体" w:cs="Times New Roman"/>
                <w:color w:val="000000"/>
                <w:kern w:val="0"/>
                <w:sz w:val="24"/>
                <w:szCs w:val="24"/>
                <w:vertAlign w:val="subscript"/>
                <w:lang w:val="en-US" w:eastAsia="zh-CN" w:bidi="ar"/>
              </w:rPr>
              <w:t>4</w:t>
            </w:r>
            <w:r>
              <w:rPr>
                <w:rFonts w:hint="default" w:ascii="Times New Roman" w:hAnsi="Times New Roman" w:eastAsia="宋体" w:cs="Times New Roman"/>
                <w:color w:val="000000"/>
                <w:kern w:val="0"/>
                <w:sz w:val="24"/>
                <w:szCs w:val="24"/>
                <w:vertAlign w:val="superscript"/>
                <w:lang w:val="en-US" w:eastAsia="zh-CN" w:bidi="ar"/>
              </w:rPr>
              <w:t>+</w:t>
            </w:r>
            <w:r>
              <w:rPr>
                <w:rFonts w:hint="default" w:ascii="Times New Roman" w:hAnsi="Times New Roman" w:eastAsia="宋体" w:cs="Times New Roman"/>
                <w:color w:val="000000"/>
                <w:kern w:val="0"/>
                <w:sz w:val="24"/>
                <w:szCs w:val="24"/>
                <w:lang w:val="en-US" w:eastAsia="zh-CN" w:bidi="ar"/>
              </w:rPr>
              <w:t>）氧化为NO</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vertAlign w:val="superscript"/>
                <w:lang w:val="en-US" w:eastAsia="zh-CN" w:bidi="ar"/>
              </w:rPr>
              <w:t>-</w:t>
            </w:r>
            <w:r>
              <w:rPr>
                <w:rFonts w:hint="default" w:ascii="Times New Roman" w:hAnsi="Times New Roman" w:eastAsia="宋体" w:cs="Times New Roman"/>
                <w:color w:val="000000"/>
                <w:kern w:val="0"/>
                <w:sz w:val="24"/>
                <w:szCs w:val="24"/>
                <w:lang w:val="en-US" w:eastAsia="zh-CN" w:bidi="ar"/>
              </w:rPr>
              <w:t>，通过回流控制返回至A池，在缺氧条件下，异氧菌的反硝化作用将NO</w:t>
            </w:r>
            <w:r>
              <w:rPr>
                <w:rFonts w:hint="default" w:ascii="Times New Roman" w:hAnsi="Times New Roman" w:eastAsia="宋体" w:cs="Times New Roman"/>
                <w:color w:val="000000"/>
                <w:kern w:val="0"/>
                <w:sz w:val="24"/>
                <w:szCs w:val="24"/>
                <w:vertAlign w:val="subscript"/>
                <w:lang w:val="en-US" w:eastAsia="zh-CN" w:bidi="ar"/>
              </w:rPr>
              <w:t>3</w:t>
            </w:r>
            <w:r>
              <w:rPr>
                <w:rFonts w:hint="default" w:ascii="Times New Roman" w:hAnsi="Times New Roman" w:eastAsia="宋体" w:cs="Times New Roman"/>
                <w:color w:val="000000"/>
                <w:kern w:val="0"/>
                <w:sz w:val="24"/>
                <w:szCs w:val="24"/>
                <w:vertAlign w:val="superscript"/>
                <w:lang w:val="en-US" w:eastAsia="zh-CN" w:bidi="ar"/>
              </w:rPr>
              <w:t>-</w:t>
            </w:r>
            <w:r>
              <w:rPr>
                <w:rFonts w:hint="default" w:ascii="Times New Roman" w:hAnsi="Times New Roman" w:eastAsia="宋体" w:cs="Times New Roman"/>
                <w:color w:val="000000"/>
                <w:kern w:val="0"/>
                <w:sz w:val="24"/>
                <w:szCs w:val="24"/>
                <w:lang w:val="en-US" w:eastAsia="zh-CN" w:bidi="ar"/>
              </w:rPr>
              <w:t>还原为分子态氮（N2）完成C、N、O在生态中的循环，实现污水无害化处理。</w:t>
            </w:r>
          </w:p>
          <w:p w14:paraId="7812441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eastAsia"/>
                <w:color w:val="000000" w:themeColor="text1"/>
                <w:sz w:val="24"/>
                <w14:textFill>
                  <w14:solidFill>
                    <w14:schemeClr w14:val="tx1"/>
                  </w14:solidFill>
                </w14:textFill>
              </w:rPr>
              <w:t>③沉淀池：</w:t>
            </w:r>
          </w:p>
          <w:p w14:paraId="16EA0A9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沉淀池通过沉淀，进一步去除污水中的COD、SS等；还通过重力沉降作用进行泥水分离，部分回流，作为污泥补充，剩余</w:t>
            </w:r>
            <w:commentRangeStart w:id="90"/>
            <w:r>
              <w:rPr>
                <w:rFonts w:hint="default" w:ascii="Times New Roman" w:hAnsi="Times New Roman" w:eastAsia="宋体" w:cs="Times New Roman"/>
                <w:color w:val="000000"/>
                <w:kern w:val="0"/>
                <w:sz w:val="24"/>
                <w:szCs w:val="24"/>
                <w:lang w:val="en-US" w:eastAsia="zh-CN" w:bidi="ar"/>
              </w:rPr>
              <w:t>污泥脱水后</w:t>
            </w:r>
            <w:commentRangeEnd w:id="90"/>
            <w:r>
              <w:commentReference w:id="90"/>
            </w:r>
            <w:r>
              <w:rPr>
                <w:rFonts w:hint="default" w:ascii="Times New Roman" w:hAnsi="Times New Roman" w:eastAsia="宋体" w:cs="Times New Roman"/>
                <w:color w:val="000000"/>
                <w:kern w:val="0"/>
                <w:sz w:val="24"/>
                <w:szCs w:val="24"/>
                <w:lang w:val="en-US" w:eastAsia="zh-CN" w:bidi="ar"/>
              </w:rPr>
              <w:t>定期外运。</w:t>
            </w:r>
          </w:p>
          <w:p w14:paraId="1CCD3D2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color w:val="000000"/>
                <w:kern w:val="21"/>
                <w:sz w:val="24"/>
                <w:szCs w:val="24"/>
                <w:u w:val="none"/>
                <w:lang w:val="en-US" w:eastAsia="zh-CN"/>
              </w:rPr>
            </w:pPr>
            <w:r>
              <w:rPr>
                <w:rFonts w:hint="eastAsia"/>
                <w:color w:val="000000"/>
                <w:sz w:val="24"/>
                <w:u w:val="none"/>
                <w:lang w:val="en-US" w:eastAsia="zh-CN"/>
              </w:rPr>
              <w:t>本项目为食品制造业</w:t>
            </w:r>
            <w:r>
              <w:rPr>
                <w:rFonts w:hint="eastAsia"/>
                <w:color w:val="000000"/>
                <w:kern w:val="21"/>
                <w:sz w:val="24"/>
                <w:szCs w:val="24"/>
                <w:u w:val="none"/>
                <w:lang w:val="en-US" w:eastAsia="zh-CN"/>
              </w:rPr>
              <w:t>，比对《固定污染源排污许可分类管理名录（2019年版）》，属于简化管理</w:t>
            </w:r>
            <w:r>
              <w:rPr>
                <w:rFonts w:hint="eastAsia"/>
                <w:color w:val="000000"/>
                <w:kern w:val="21"/>
                <w:sz w:val="24"/>
                <w:szCs w:val="24"/>
                <w:u w:val="none"/>
                <w:lang w:eastAsia="zh-CN"/>
              </w:rPr>
              <w:t>，</w:t>
            </w:r>
            <w:r>
              <w:rPr>
                <w:rFonts w:hint="eastAsia"/>
                <w:color w:val="000000"/>
                <w:kern w:val="21"/>
                <w:sz w:val="24"/>
                <w:szCs w:val="24"/>
                <w:u w:val="none"/>
                <w:lang w:val="en-US" w:eastAsia="zh-CN"/>
              </w:rPr>
              <w:t>适用《排污许可证申请与核发技术规范 食品制造工业—方便食品、食品及饲料添加剂制造工业》（HJ1030.3-2019）。根据《排污许可证申请与核发技术规范 食品制造工业—方便食品、食品及饲料添加剂制造工业》（HJ1030.3-2019）中表A.2 食品及饲料添加剂制造工业排污单位废水污染防治可行技术参考表，本项目比对分析如下：</w:t>
            </w:r>
          </w:p>
          <w:p w14:paraId="21EEF36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b/>
                <w:bCs/>
                <w:color w:val="000000"/>
                <w:sz w:val="24"/>
                <w:u w:val="none"/>
                <w:lang w:val="en-US" w:eastAsia="zh-CN"/>
              </w:rPr>
            </w:pPr>
            <w:r>
              <w:rPr>
                <w:rFonts w:hint="default" w:ascii="Times New Roman" w:hAnsi="Times New Roman" w:cs="Times New Roman"/>
                <w:b/>
                <w:bCs/>
                <w:color w:val="000000"/>
                <w:sz w:val="24"/>
                <w:u w:val="none"/>
                <w:lang w:val="en-US" w:eastAsia="zh-CN"/>
              </w:rPr>
              <w:t>表4-</w:t>
            </w:r>
            <w:r>
              <w:rPr>
                <w:rFonts w:hint="eastAsia" w:cs="Times New Roman"/>
                <w:b/>
                <w:bCs/>
                <w:color w:val="000000"/>
                <w:sz w:val="24"/>
                <w:u w:val="none"/>
                <w:lang w:val="en-US" w:eastAsia="zh-CN"/>
              </w:rPr>
              <w:t>10</w:t>
            </w:r>
            <w:r>
              <w:rPr>
                <w:rFonts w:hint="default" w:ascii="Times New Roman" w:hAnsi="Times New Roman" w:cs="Times New Roman"/>
                <w:b/>
                <w:bCs/>
                <w:color w:val="000000"/>
                <w:sz w:val="24"/>
                <w:u w:val="none"/>
                <w:lang w:val="en-US" w:eastAsia="zh-CN"/>
              </w:rPr>
              <w:t xml:space="preserve">  与HJ1030.3-2019中可行技术比对分析表</w:t>
            </w:r>
          </w:p>
          <w:tbl>
            <w:tblPr>
              <w:tblStyle w:val="2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1"/>
              <w:gridCol w:w="1120"/>
              <w:gridCol w:w="3548"/>
              <w:gridCol w:w="1935"/>
              <w:gridCol w:w="1241"/>
            </w:tblGrid>
            <w:tr w14:paraId="4BFB3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74" w:type="pct"/>
                  <w:gridSpan w:val="3"/>
                  <w:noWrap w:val="0"/>
                  <w:vAlign w:val="center"/>
                </w:tcPr>
                <w:p w14:paraId="7291259F">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lang w:val="en-US" w:eastAsia="zh-CN"/>
                    </w:rPr>
                    <w:t>HJ 1028-2019</w:t>
                  </w:r>
                </w:p>
              </w:tc>
              <w:tc>
                <w:tcPr>
                  <w:tcW w:w="1051" w:type="pct"/>
                  <w:vMerge w:val="restart"/>
                  <w:noWrap w:val="0"/>
                  <w:vAlign w:val="center"/>
                </w:tcPr>
                <w:p w14:paraId="41987ADD">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本项目采取措施</w:t>
                  </w:r>
                </w:p>
              </w:tc>
              <w:tc>
                <w:tcPr>
                  <w:tcW w:w="674" w:type="pct"/>
                  <w:vMerge w:val="restart"/>
                  <w:noWrap w:val="0"/>
                  <w:vAlign w:val="center"/>
                </w:tcPr>
                <w:p w14:paraId="6A598C2B">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是否为可行技术</w:t>
                  </w:r>
                </w:p>
              </w:tc>
            </w:tr>
            <w:tr w14:paraId="5934E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9" w:type="pct"/>
                  <w:noWrap w:val="0"/>
                  <w:vAlign w:val="center"/>
                </w:tcPr>
                <w:p w14:paraId="57B8282A">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废水类别</w:t>
                  </w:r>
                </w:p>
              </w:tc>
              <w:tc>
                <w:tcPr>
                  <w:tcW w:w="608" w:type="pct"/>
                  <w:noWrap w:val="0"/>
                  <w:vAlign w:val="center"/>
                </w:tcPr>
                <w:p w14:paraId="14533A13">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排放去向</w:t>
                  </w:r>
                </w:p>
              </w:tc>
              <w:tc>
                <w:tcPr>
                  <w:tcW w:w="1926" w:type="pct"/>
                  <w:noWrap w:val="0"/>
                  <w:vAlign w:val="center"/>
                </w:tcPr>
                <w:p w14:paraId="48B06A58">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可行技术（一般排污单位）</w:t>
                  </w:r>
                </w:p>
              </w:tc>
              <w:tc>
                <w:tcPr>
                  <w:tcW w:w="1051" w:type="pct"/>
                  <w:vMerge w:val="continue"/>
                  <w:noWrap w:val="0"/>
                  <w:vAlign w:val="center"/>
                </w:tcPr>
                <w:p w14:paraId="3C1460B0">
                  <w:pPr>
                    <w:adjustRightInd w:val="0"/>
                    <w:snapToGrid w:val="0"/>
                    <w:spacing w:line="240" w:lineRule="auto"/>
                    <w:jc w:val="center"/>
                    <w:rPr>
                      <w:rFonts w:hint="default"/>
                      <w:color w:val="000000"/>
                      <w:kern w:val="21"/>
                      <w:sz w:val="21"/>
                      <w:szCs w:val="21"/>
                      <w:u w:val="none"/>
                      <w:vertAlign w:val="baseline"/>
                      <w:lang w:val="en-US" w:eastAsia="zh-CN"/>
                    </w:rPr>
                  </w:pPr>
                </w:p>
              </w:tc>
              <w:tc>
                <w:tcPr>
                  <w:tcW w:w="674" w:type="pct"/>
                  <w:vMerge w:val="continue"/>
                  <w:noWrap w:val="0"/>
                  <w:vAlign w:val="center"/>
                </w:tcPr>
                <w:p w14:paraId="41FBE5E8">
                  <w:pPr>
                    <w:adjustRightInd w:val="0"/>
                    <w:snapToGrid w:val="0"/>
                    <w:spacing w:line="240" w:lineRule="auto"/>
                    <w:jc w:val="center"/>
                    <w:rPr>
                      <w:rFonts w:hint="default"/>
                      <w:color w:val="000000"/>
                      <w:kern w:val="21"/>
                      <w:sz w:val="21"/>
                      <w:szCs w:val="21"/>
                      <w:u w:val="none"/>
                      <w:vertAlign w:val="baseline"/>
                      <w:lang w:val="en-US" w:eastAsia="zh-CN"/>
                    </w:rPr>
                  </w:pPr>
                </w:p>
              </w:tc>
            </w:tr>
            <w:tr w14:paraId="3CF56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9" w:type="pct"/>
                  <w:noWrap w:val="0"/>
                  <w:vAlign w:val="center"/>
                </w:tcPr>
                <w:p w14:paraId="4A8799E8">
                  <w:pPr>
                    <w:adjustRightInd w:val="0"/>
                    <w:snapToGrid w:val="0"/>
                    <w:spacing w:line="240" w:lineRule="auto"/>
                    <w:jc w:val="center"/>
                    <w:rPr>
                      <w:rFonts w:hint="default"/>
                      <w:color w:val="000000"/>
                      <w:kern w:val="21"/>
                      <w:sz w:val="21"/>
                      <w:szCs w:val="21"/>
                      <w:u w:val="none"/>
                      <w:vertAlign w:val="baseline"/>
                      <w:lang w:val="en-US" w:eastAsia="zh-CN"/>
                    </w:rPr>
                  </w:pPr>
                  <w:r>
                    <w:rPr>
                      <w:rFonts w:hint="default"/>
                      <w:color w:val="000000"/>
                      <w:kern w:val="21"/>
                      <w:sz w:val="21"/>
                      <w:szCs w:val="21"/>
                      <w:u w:val="none"/>
                      <w:vertAlign w:val="baseline"/>
                      <w:lang w:val="en-US" w:eastAsia="zh-CN"/>
                    </w:rPr>
                    <w:t>厂内综合污水处理站的综合污水</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生产废水、生活污水等</w:t>
                  </w:r>
                  <w:r>
                    <w:rPr>
                      <w:rFonts w:hint="eastAsia"/>
                      <w:color w:val="000000"/>
                      <w:kern w:val="21"/>
                      <w:sz w:val="21"/>
                      <w:szCs w:val="21"/>
                      <w:u w:val="none"/>
                      <w:vertAlign w:val="baseline"/>
                      <w:lang w:val="en-US" w:eastAsia="zh-CN"/>
                    </w:rPr>
                    <w:t>）</w:t>
                  </w:r>
                </w:p>
              </w:tc>
              <w:tc>
                <w:tcPr>
                  <w:tcW w:w="608" w:type="pct"/>
                  <w:noWrap w:val="0"/>
                  <w:vAlign w:val="center"/>
                </w:tcPr>
                <w:p w14:paraId="344BB378">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间接排放</w:t>
                  </w:r>
                </w:p>
              </w:tc>
              <w:tc>
                <w:tcPr>
                  <w:tcW w:w="1926" w:type="pct"/>
                  <w:noWrap w:val="0"/>
                  <w:vAlign w:val="center"/>
                </w:tcPr>
                <w:p w14:paraId="7E0C84F8">
                  <w:pPr>
                    <w:adjustRightInd w:val="0"/>
                    <w:snapToGrid w:val="0"/>
                    <w:spacing w:line="240" w:lineRule="auto"/>
                    <w:jc w:val="both"/>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1）</w:t>
                  </w:r>
                  <w:r>
                    <w:rPr>
                      <w:rFonts w:hint="default"/>
                      <w:color w:val="000000"/>
                      <w:kern w:val="21"/>
                      <w:sz w:val="21"/>
                      <w:szCs w:val="21"/>
                      <w:u w:val="none"/>
                      <w:vertAlign w:val="baseline"/>
                      <w:lang w:val="en-US" w:eastAsia="zh-CN"/>
                    </w:rPr>
                    <w:t>预处理</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粗</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细</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格</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竖流或辐流式沉淀、混凝沉淀</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气浮</w:t>
                  </w:r>
                </w:p>
                <w:p w14:paraId="04A068B4">
                  <w:pPr>
                    <w:adjustRightInd w:val="0"/>
                    <w:snapToGrid w:val="0"/>
                    <w:spacing w:line="240" w:lineRule="auto"/>
                    <w:jc w:val="both"/>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2）</w:t>
                  </w:r>
                  <w:r>
                    <w:rPr>
                      <w:rFonts w:hint="default"/>
                      <w:color w:val="000000"/>
                      <w:kern w:val="21"/>
                      <w:sz w:val="21"/>
                      <w:szCs w:val="21"/>
                      <w:u w:val="none"/>
                      <w:vertAlign w:val="baseline"/>
                      <w:lang w:val="en-US" w:eastAsia="zh-CN"/>
                    </w:rPr>
                    <w:t>生化处理</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升流式厌氧污泥床</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UASB</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IC反应器或水解酸化技术</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厌氧滤池</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AF</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活性污泥法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氧化沟及其各类改型工艺</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生物接触氧化法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序批式活性污泥法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SBR</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缺氧/好氧活性污泥法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A/O法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厌氧-缺氧-好氧活性污泥法</w:t>
                  </w:r>
                  <w:r>
                    <w:rPr>
                      <w:rFonts w:hint="eastAsia"/>
                      <w:color w:val="000000"/>
                      <w:kern w:val="21"/>
                      <w:sz w:val="21"/>
                      <w:szCs w:val="21"/>
                      <w:u w:val="none"/>
                      <w:vertAlign w:val="baseline"/>
                      <w:lang w:val="en-US" w:eastAsia="zh-CN"/>
                    </w:rPr>
                    <w:t>（</w:t>
                  </w:r>
                  <w:r>
                    <w:rPr>
                      <w:rFonts w:hint="default"/>
                      <w:color w:val="000000"/>
                      <w:kern w:val="21"/>
                      <w:sz w:val="21"/>
                      <w:szCs w:val="21"/>
                      <w:u w:val="none"/>
                      <w:vertAlign w:val="baseline"/>
                      <w:lang w:val="en-US" w:eastAsia="zh-CN"/>
                    </w:rPr>
                    <w:t>A</w:t>
                  </w:r>
                  <w:r>
                    <w:rPr>
                      <w:rFonts w:hint="default"/>
                      <w:color w:val="000000"/>
                      <w:kern w:val="21"/>
                      <w:sz w:val="21"/>
                      <w:szCs w:val="21"/>
                      <w:u w:val="none"/>
                      <w:vertAlign w:val="superscript"/>
                      <w:lang w:val="en-US" w:eastAsia="zh-CN"/>
                    </w:rPr>
                    <w:t>2</w:t>
                  </w:r>
                  <w:r>
                    <w:rPr>
                      <w:rFonts w:hint="default"/>
                      <w:color w:val="000000"/>
                      <w:kern w:val="21"/>
                      <w:sz w:val="21"/>
                      <w:szCs w:val="21"/>
                      <w:u w:val="none"/>
                      <w:vertAlign w:val="baseline"/>
                      <w:lang w:val="en-US" w:eastAsia="zh-CN"/>
                    </w:rPr>
                    <w:t>/O法</w:t>
                  </w:r>
                  <w:r>
                    <w:rPr>
                      <w:rFonts w:hint="eastAsia"/>
                      <w:color w:val="000000"/>
                      <w:kern w:val="21"/>
                      <w:sz w:val="21"/>
                      <w:szCs w:val="21"/>
                      <w:u w:val="none"/>
                      <w:vertAlign w:val="baseline"/>
                      <w:lang w:val="en-US" w:eastAsia="zh-CN"/>
                    </w:rPr>
                    <w:t>）</w:t>
                  </w:r>
                </w:p>
              </w:tc>
              <w:tc>
                <w:tcPr>
                  <w:tcW w:w="1051" w:type="pct"/>
                  <w:noWrap w:val="0"/>
                  <w:vAlign w:val="center"/>
                </w:tcPr>
                <w:p w14:paraId="06469DD6">
                  <w:pPr>
                    <w:adjustRightInd w:val="0"/>
                    <w:snapToGrid w:val="0"/>
                    <w:spacing w:line="240" w:lineRule="auto"/>
                    <w:jc w:val="both"/>
                    <w:rPr>
                      <w:rFonts w:hint="eastAsia"/>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预处理：化粪池、格栅、隔油池；</w:t>
                  </w:r>
                </w:p>
                <w:p w14:paraId="6CA4D6B7">
                  <w:pPr>
                    <w:adjustRightInd w:val="0"/>
                    <w:snapToGrid w:val="0"/>
                    <w:spacing w:line="240" w:lineRule="auto"/>
                    <w:jc w:val="both"/>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二级处理：A/O</w:t>
                  </w:r>
                </w:p>
              </w:tc>
              <w:tc>
                <w:tcPr>
                  <w:tcW w:w="674" w:type="pct"/>
                  <w:noWrap w:val="0"/>
                  <w:vAlign w:val="center"/>
                </w:tcPr>
                <w:p w14:paraId="5FE532F3">
                  <w:pPr>
                    <w:adjustRightInd w:val="0"/>
                    <w:snapToGrid w:val="0"/>
                    <w:spacing w:line="240" w:lineRule="auto"/>
                    <w:jc w:val="center"/>
                    <w:rPr>
                      <w:rFonts w:hint="default"/>
                      <w:color w:val="000000"/>
                      <w:kern w:val="21"/>
                      <w:sz w:val="21"/>
                      <w:szCs w:val="21"/>
                      <w:u w:val="none"/>
                      <w:vertAlign w:val="baseline"/>
                      <w:lang w:val="en-US" w:eastAsia="zh-CN"/>
                    </w:rPr>
                  </w:pPr>
                  <w:r>
                    <w:rPr>
                      <w:rFonts w:hint="eastAsia"/>
                      <w:color w:val="000000"/>
                      <w:kern w:val="21"/>
                      <w:sz w:val="21"/>
                      <w:szCs w:val="21"/>
                      <w:u w:val="none"/>
                      <w:vertAlign w:val="baseline"/>
                      <w:lang w:val="en-US" w:eastAsia="zh-CN"/>
                    </w:rPr>
                    <w:t>是</w:t>
                  </w:r>
                </w:p>
              </w:tc>
            </w:tr>
          </w:tbl>
          <w:p w14:paraId="58D00D1C">
            <w:pPr>
              <w:tabs>
                <w:tab w:val="left" w:pos="0"/>
                <w:tab w:val="left" w:pos="6305"/>
              </w:tabs>
              <w:snapToGrid w:val="0"/>
              <w:spacing w:line="360" w:lineRule="auto"/>
              <w:ind w:firstLine="480" w:firstLineChars="200"/>
              <w:rPr>
                <w:b/>
                <w:color w:val="000000"/>
                <w:sz w:val="24"/>
              </w:rPr>
            </w:pPr>
            <w:r>
              <w:rPr>
                <w:color w:val="000000"/>
                <w:sz w:val="24"/>
              </w:rPr>
              <w:t>项目废水处理设施处理效率见下表。</w:t>
            </w:r>
          </w:p>
          <w:p w14:paraId="72B9FF7C">
            <w:pPr>
              <w:keepNext w:val="0"/>
              <w:keepLines w:val="0"/>
              <w:pageBreakBefore w:val="0"/>
              <w:widowControl w:val="0"/>
              <w:tabs>
                <w:tab w:val="left" w:pos="0"/>
                <w:tab w:val="left" w:pos="6305"/>
              </w:tabs>
              <w:kinsoku/>
              <w:wordWrap/>
              <w:overflowPunct/>
              <w:topLinePunct w:val="0"/>
              <w:autoSpaceDE/>
              <w:autoSpaceDN/>
              <w:bidi w:val="0"/>
              <w:adjustRightInd/>
              <w:snapToGrid w:val="0"/>
              <w:spacing w:line="360" w:lineRule="auto"/>
              <w:ind w:right="0"/>
              <w:jc w:val="center"/>
              <w:textAlignment w:val="auto"/>
              <w:rPr>
                <w:rFonts w:hint="default"/>
                <w:b/>
                <w:bCs/>
                <w:color w:val="000000"/>
                <w:sz w:val="24"/>
                <w:szCs w:val="24"/>
              </w:rPr>
            </w:pPr>
            <w:r>
              <w:rPr>
                <w:rFonts w:hint="default"/>
                <w:b/>
                <w:bCs/>
                <w:color w:val="000000"/>
                <w:sz w:val="24"/>
                <w:szCs w:val="24"/>
                <w:highlight w:val="none"/>
              </w:rPr>
              <w:t>表4-</w:t>
            </w:r>
            <w:r>
              <w:rPr>
                <w:rFonts w:hint="eastAsia"/>
                <w:b/>
                <w:bCs/>
                <w:color w:val="000000"/>
                <w:sz w:val="24"/>
                <w:szCs w:val="24"/>
                <w:highlight w:val="none"/>
                <w:lang w:val="en-US" w:eastAsia="zh-CN"/>
              </w:rPr>
              <w:t>11</w:t>
            </w:r>
            <w:r>
              <w:rPr>
                <w:rFonts w:hint="eastAsia"/>
                <w:b/>
                <w:bCs/>
                <w:color w:val="000000"/>
                <w:sz w:val="24"/>
                <w:szCs w:val="24"/>
                <w:lang w:val="en-US" w:eastAsia="zh-CN"/>
              </w:rPr>
              <w:t xml:space="preserve">  </w:t>
            </w:r>
            <w:r>
              <w:rPr>
                <w:rFonts w:hint="default"/>
                <w:b/>
                <w:bCs/>
                <w:color w:val="000000"/>
                <w:sz w:val="24"/>
                <w:szCs w:val="24"/>
              </w:rPr>
              <w:t>污水处理设施各工序处理效率</w:t>
            </w:r>
            <w:r>
              <w:rPr>
                <w:rFonts w:hint="default"/>
                <w:b/>
                <w:bCs/>
                <w:color w:val="000000"/>
                <w:sz w:val="24"/>
                <w:szCs w:val="24"/>
                <w:lang w:val="en-US" w:eastAsia="zh-CN"/>
              </w:rPr>
              <w:t>以及污染物排放浓度</w:t>
            </w:r>
            <w:r>
              <w:rPr>
                <w:rFonts w:hint="default"/>
                <w:b/>
                <w:bCs/>
                <w:color w:val="000000"/>
                <w:sz w:val="24"/>
                <w:szCs w:val="24"/>
              </w:rPr>
              <w:t>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2"/>
              <w:gridCol w:w="966"/>
              <w:gridCol w:w="1171"/>
              <w:gridCol w:w="899"/>
              <w:gridCol w:w="899"/>
              <w:gridCol w:w="899"/>
              <w:gridCol w:w="809"/>
              <w:gridCol w:w="689"/>
              <w:gridCol w:w="819"/>
              <w:gridCol w:w="689"/>
            </w:tblGrid>
            <w:tr w14:paraId="1BAF7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09" w:type="dxa"/>
                  <w:gridSpan w:val="3"/>
                  <w:tcBorders>
                    <w:left w:val="single" w:color="auto" w:sz="4" w:space="0"/>
                    <w:tl2br w:val="single" w:color="auto" w:sz="4" w:space="0"/>
                  </w:tcBorders>
                  <w:noWrap w:val="0"/>
                  <w:vAlign w:val="center"/>
                </w:tcPr>
                <w:p w14:paraId="526C7D3E">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r>
                    <w:rPr>
                      <w:rFonts w:hint="eastAsia" w:cs="Times New Roman"/>
                      <w:color w:val="000000"/>
                      <w:sz w:val="21"/>
                      <w:szCs w:val="21"/>
                      <w:u w:val="none"/>
                      <w:lang w:val="en-US" w:eastAsia="zh-CN"/>
                    </w:rPr>
                    <w:t xml:space="preserve">                          </w:t>
                  </w:r>
                  <w:r>
                    <w:rPr>
                      <w:rFonts w:hint="default" w:ascii="Times New Roman" w:hAnsi="Times New Roman" w:eastAsia="宋体" w:cs="Times New Roman"/>
                      <w:color w:val="000000"/>
                      <w:sz w:val="21"/>
                      <w:szCs w:val="21"/>
                      <w:u w:val="none"/>
                    </w:rPr>
                    <w:t>项目</w:t>
                  </w:r>
                </w:p>
                <w:p w14:paraId="2790D30C">
                  <w:pPr>
                    <w:keepNext w:val="0"/>
                    <w:keepLines w:val="0"/>
                    <w:pageBreakBefore w:val="0"/>
                    <w:kinsoku/>
                    <w:wordWrap/>
                    <w:overflowPunct/>
                    <w:topLinePunct w:val="0"/>
                    <w:autoSpaceDE/>
                    <w:autoSpaceDN/>
                    <w:bidi w:val="0"/>
                    <w:snapToGrid/>
                    <w:spacing w:line="240" w:lineRule="auto"/>
                    <w:ind w:right="0" w:firstLine="0" w:firstLineChars="0"/>
                    <w:jc w:val="both"/>
                    <w:textAlignment w:val="auto"/>
                    <w:rPr>
                      <w:rFonts w:hint="default" w:ascii="Times New Roman" w:hAnsi="Times New Roman" w:eastAsia="宋体" w:cs="Times New Roman"/>
                      <w:color w:val="000000"/>
                      <w:sz w:val="21"/>
                      <w:szCs w:val="21"/>
                      <w:u w:val="none"/>
                    </w:rPr>
                  </w:pPr>
                </w:p>
                <w:p w14:paraId="1CAA9329">
                  <w:pPr>
                    <w:keepNext w:val="0"/>
                    <w:keepLines w:val="0"/>
                    <w:pageBreakBefore w:val="0"/>
                    <w:kinsoku/>
                    <w:wordWrap/>
                    <w:overflowPunct/>
                    <w:topLinePunct w:val="0"/>
                    <w:autoSpaceDE/>
                    <w:autoSpaceDN/>
                    <w:bidi w:val="0"/>
                    <w:snapToGrid/>
                    <w:spacing w:line="240" w:lineRule="auto"/>
                    <w:ind w:right="0" w:firstLine="0" w:firstLineChars="0"/>
                    <w:jc w:val="both"/>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工段</w:t>
                  </w:r>
                </w:p>
              </w:tc>
              <w:tc>
                <w:tcPr>
                  <w:tcW w:w="899" w:type="dxa"/>
                  <w:noWrap w:val="0"/>
                  <w:vAlign w:val="center"/>
                </w:tcPr>
                <w:p w14:paraId="286A9B83">
                  <w:pPr>
                    <w:jc w:val="center"/>
                    <w:rPr>
                      <w:rFonts w:hint="default" w:ascii="Times New Roman" w:hAnsi="Times New Roman" w:eastAsia="宋体" w:cs="Times New Roman"/>
                      <w:bCs/>
                      <w:color w:val="000000"/>
                      <w:kern w:val="2"/>
                      <w:sz w:val="21"/>
                      <w:szCs w:val="21"/>
                      <w:u w:val="none"/>
                      <w:lang w:val="en-US" w:eastAsia="zh-CN" w:bidi="ar-SA"/>
                    </w:rPr>
                  </w:pPr>
                  <w:r>
                    <w:rPr>
                      <w:bCs/>
                      <w:color w:val="000000" w:themeColor="text1"/>
                      <w:sz w:val="21"/>
                      <w:szCs w:val="21"/>
                      <w14:textFill>
                        <w14:solidFill>
                          <w14:schemeClr w14:val="tx1"/>
                        </w14:solidFill>
                      </w14:textFill>
                    </w:rPr>
                    <w:t>COD</w:t>
                  </w:r>
                </w:p>
              </w:tc>
              <w:tc>
                <w:tcPr>
                  <w:tcW w:w="899" w:type="dxa"/>
                  <w:noWrap w:val="0"/>
                  <w:vAlign w:val="center"/>
                </w:tcPr>
                <w:p w14:paraId="4B43E9E8">
                  <w:pPr>
                    <w:jc w:val="center"/>
                    <w:rPr>
                      <w:rFonts w:hint="default" w:ascii="Times New Roman" w:hAnsi="Times New Roman" w:eastAsia="宋体" w:cs="Times New Roman"/>
                      <w:bCs/>
                      <w:color w:val="000000"/>
                      <w:kern w:val="2"/>
                      <w:sz w:val="21"/>
                      <w:szCs w:val="21"/>
                      <w:u w:val="none"/>
                      <w:lang w:val="en-US" w:eastAsia="zh-CN" w:bidi="ar-SA"/>
                    </w:rPr>
                  </w:pPr>
                  <w:r>
                    <w:rPr>
                      <w:bCs/>
                      <w:color w:val="000000" w:themeColor="text1"/>
                      <w:sz w:val="21"/>
                      <w:szCs w:val="21"/>
                      <w14:textFill>
                        <w14:solidFill>
                          <w14:schemeClr w14:val="tx1"/>
                        </w14:solidFill>
                      </w14:textFill>
                    </w:rPr>
                    <w:t>BOD</w:t>
                  </w:r>
                  <w:r>
                    <w:rPr>
                      <w:bCs/>
                      <w:color w:val="000000" w:themeColor="text1"/>
                      <w:sz w:val="21"/>
                      <w:szCs w:val="21"/>
                      <w:vertAlign w:val="subscript"/>
                      <w14:textFill>
                        <w14:solidFill>
                          <w14:schemeClr w14:val="tx1"/>
                        </w14:solidFill>
                      </w14:textFill>
                    </w:rPr>
                    <w:t>5</w:t>
                  </w:r>
                </w:p>
              </w:tc>
              <w:tc>
                <w:tcPr>
                  <w:tcW w:w="899" w:type="dxa"/>
                  <w:noWrap w:val="0"/>
                  <w:vAlign w:val="center"/>
                </w:tcPr>
                <w:p w14:paraId="29117AA5">
                  <w:pPr>
                    <w:jc w:val="center"/>
                    <w:rPr>
                      <w:rFonts w:hint="default" w:ascii="Times New Roman" w:hAnsi="Times New Roman" w:eastAsia="宋体" w:cs="Times New Roman"/>
                      <w:bCs/>
                      <w:color w:val="000000"/>
                      <w:kern w:val="2"/>
                      <w:sz w:val="21"/>
                      <w:szCs w:val="21"/>
                      <w:u w:val="none"/>
                      <w:lang w:val="en-US" w:eastAsia="zh-CN" w:bidi="ar-SA"/>
                    </w:rPr>
                  </w:pPr>
                  <w:r>
                    <w:rPr>
                      <w:bCs/>
                      <w:color w:val="000000" w:themeColor="text1"/>
                      <w:sz w:val="21"/>
                      <w:szCs w:val="21"/>
                      <w14:textFill>
                        <w14:solidFill>
                          <w14:schemeClr w14:val="tx1"/>
                        </w14:solidFill>
                      </w14:textFill>
                    </w:rPr>
                    <w:t>SS</w:t>
                  </w:r>
                </w:p>
              </w:tc>
              <w:tc>
                <w:tcPr>
                  <w:tcW w:w="809" w:type="dxa"/>
                  <w:noWrap w:val="0"/>
                  <w:vAlign w:val="center"/>
                </w:tcPr>
                <w:p w14:paraId="36C9D6F3">
                  <w:pPr>
                    <w:jc w:val="center"/>
                    <w:rPr>
                      <w:rFonts w:hint="default" w:ascii="Times New Roman" w:hAnsi="Times New Roman" w:eastAsia="宋体" w:cs="Times New Roman"/>
                      <w:bCs/>
                      <w:color w:val="000000"/>
                      <w:kern w:val="2"/>
                      <w:sz w:val="21"/>
                      <w:szCs w:val="21"/>
                      <w:u w:val="none"/>
                      <w:lang w:val="en-US" w:eastAsia="zh-CN" w:bidi="ar-SA"/>
                    </w:rPr>
                  </w:pPr>
                  <w:r>
                    <w:rPr>
                      <w:bCs/>
                      <w:color w:val="000000" w:themeColor="text1"/>
                      <w:sz w:val="21"/>
                      <w:szCs w:val="21"/>
                      <w14:textFill>
                        <w14:solidFill>
                          <w14:schemeClr w14:val="tx1"/>
                        </w14:solidFill>
                      </w14:textFill>
                    </w:rPr>
                    <w:t>NH</w:t>
                  </w:r>
                  <w:r>
                    <w:rPr>
                      <w:bCs/>
                      <w:color w:val="000000" w:themeColor="text1"/>
                      <w:sz w:val="21"/>
                      <w:szCs w:val="21"/>
                      <w:vertAlign w:val="subscript"/>
                      <w14:textFill>
                        <w14:solidFill>
                          <w14:schemeClr w14:val="tx1"/>
                        </w14:solidFill>
                      </w14:textFill>
                    </w:rPr>
                    <w:t>3</w:t>
                  </w:r>
                  <w:r>
                    <w:rPr>
                      <w:bCs/>
                      <w:color w:val="000000" w:themeColor="text1"/>
                      <w:sz w:val="21"/>
                      <w:szCs w:val="21"/>
                      <w14:textFill>
                        <w14:solidFill>
                          <w14:schemeClr w14:val="tx1"/>
                        </w14:solidFill>
                      </w14:textFill>
                    </w:rPr>
                    <w:t>-N</w:t>
                  </w:r>
                </w:p>
              </w:tc>
              <w:tc>
                <w:tcPr>
                  <w:tcW w:w="689" w:type="dxa"/>
                  <w:noWrap w:val="0"/>
                  <w:vAlign w:val="center"/>
                </w:tcPr>
                <w:p w14:paraId="198D6439">
                  <w:pPr>
                    <w:jc w:val="center"/>
                    <w:rPr>
                      <w:rFonts w:hint="default" w:ascii="Times New Roman" w:hAnsi="Times New Roman" w:eastAsia="宋体" w:cs="Times New Roman"/>
                      <w:bCs/>
                      <w:color w:val="000000"/>
                      <w:sz w:val="21"/>
                      <w:szCs w:val="21"/>
                      <w:u w:val="none"/>
                    </w:rPr>
                  </w:pPr>
                  <w:r>
                    <w:rPr>
                      <w:rFonts w:hint="eastAsia"/>
                      <w:bCs/>
                      <w:color w:val="000000" w:themeColor="text1"/>
                      <w:sz w:val="21"/>
                      <w:szCs w:val="21"/>
                      <w14:textFill>
                        <w14:solidFill>
                          <w14:schemeClr w14:val="tx1"/>
                        </w14:solidFill>
                      </w14:textFill>
                    </w:rPr>
                    <w:t>TP</w:t>
                  </w:r>
                </w:p>
              </w:tc>
              <w:tc>
                <w:tcPr>
                  <w:tcW w:w="819" w:type="dxa"/>
                  <w:noWrap w:val="0"/>
                  <w:vAlign w:val="center"/>
                </w:tcPr>
                <w:p w14:paraId="2895BB61">
                  <w:pPr>
                    <w:jc w:val="center"/>
                    <w:rPr>
                      <w:rFonts w:hint="default" w:ascii="Times New Roman" w:hAnsi="Times New Roman" w:eastAsia="宋体" w:cs="Times New Roman"/>
                      <w:bCs/>
                      <w:color w:val="000000"/>
                      <w:sz w:val="21"/>
                      <w:szCs w:val="21"/>
                      <w:u w:val="none"/>
                    </w:rPr>
                  </w:pPr>
                  <w:r>
                    <w:rPr>
                      <w:rFonts w:hint="eastAsia"/>
                      <w:bCs/>
                      <w:color w:val="000000" w:themeColor="text1"/>
                      <w:sz w:val="21"/>
                      <w:szCs w:val="21"/>
                      <w:lang w:val="en-US" w:eastAsia="zh-CN"/>
                      <w14:textFill>
                        <w14:solidFill>
                          <w14:schemeClr w14:val="tx1"/>
                        </w14:solidFill>
                      </w14:textFill>
                    </w:rPr>
                    <w:t>动植物油</w:t>
                  </w:r>
                </w:p>
              </w:tc>
              <w:tc>
                <w:tcPr>
                  <w:tcW w:w="689" w:type="dxa"/>
                  <w:noWrap w:val="0"/>
                  <w:vAlign w:val="center"/>
                </w:tcPr>
                <w:p w14:paraId="7C013E3C">
                  <w:pPr>
                    <w:jc w:val="center"/>
                    <w:rPr>
                      <w:rFonts w:hint="eastAsia"/>
                      <w:bCs/>
                      <w:color w:val="000000" w:themeColor="text1"/>
                      <w:sz w:val="2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LAS</w:t>
                  </w:r>
                </w:p>
              </w:tc>
            </w:tr>
            <w:tr w14:paraId="0B51C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2" w:type="dxa"/>
                  <w:vMerge w:val="restart"/>
                  <w:tcBorders>
                    <w:left w:val="single" w:color="auto" w:sz="4" w:space="0"/>
                  </w:tcBorders>
                  <w:noWrap w:val="0"/>
                  <w:vAlign w:val="center"/>
                </w:tcPr>
                <w:p w14:paraId="2453678D">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r>
                    <w:rPr>
                      <w:rFonts w:hint="eastAsia" w:ascii="Times New Roman" w:hAnsi="Times New Roman" w:eastAsia="宋体" w:cs="Times New Roman"/>
                      <w:color w:val="000000"/>
                      <w:sz w:val="21"/>
                      <w:szCs w:val="21"/>
                      <w:u w:val="none"/>
                      <w:lang w:val="en-US" w:eastAsia="zh-CN"/>
                    </w:rPr>
                    <w:t>生活污水及生产废水46.625</w:t>
                  </w:r>
                  <w:r>
                    <w:rPr>
                      <w:rFonts w:hint="default" w:ascii="Times New Roman" w:hAnsi="Times New Roman" w:eastAsia="宋体" w:cs="Times New Roman"/>
                      <w:color w:val="000000"/>
                      <w:sz w:val="21"/>
                      <w:szCs w:val="21"/>
                      <w:u w:val="none"/>
                    </w:rPr>
                    <w:t>m</w:t>
                  </w:r>
                  <w:r>
                    <w:rPr>
                      <w:rFonts w:hint="default" w:ascii="Times New Roman" w:hAnsi="Times New Roman" w:eastAsia="宋体" w:cs="Times New Roman"/>
                      <w:color w:val="000000"/>
                      <w:sz w:val="21"/>
                      <w:szCs w:val="21"/>
                      <w:u w:val="none"/>
                      <w:vertAlign w:val="superscript"/>
                    </w:rPr>
                    <w:t>3</w:t>
                  </w:r>
                  <w:r>
                    <w:rPr>
                      <w:rFonts w:hint="default" w:ascii="Times New Roman" w:hAnsi="Times New Roman" w:eastAsia="宋体" w:cs="Times New Roman"/>
                      <w:color w:val="000000"/>
                      <w:sz w:val="21"/>
                      <w:szCs w:val="21"/>
                      <w:u w:val="none"/>
                    </w:rPr>
                    <w:t>/d</w:t>
                  </w:r>
                </w:p>
              </w:tc>
              <w:tc>
                <w:tcPr>
                  <w:tcW w:w="966" w:type="dxa"/>
                  <w:vMerge w:val="restart"/>
                  <w:tcBorders>
                    <w:left w:val="single" w:color="auto" w:sz="4" w:space="0"/>
                  </w:tcBorders>
                  <w:noWrap w:val="0"/>
                  <w:vAlign w:val="center"/>
                </w:tcPr>
                <w:p w14:paraId="772FB4A1">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lang w:val="en-US"/>
                    </w:rPr>
                  </w:pPr>
                  <w:r>
                    <w:rPr>
                      <w:rFonts w:hint="default" w:ascii="Times New Roman" w:hAnsi="Times New Roman" w:eastAsia="宋体" w:cs="Times New Roman"/>
                      <w:color w:val="000000"/>
                      <w:sz w:val="21"/>
                      <w:szCs w:val="21"/>
                      <w:u w:val="none"/>
                      <w:lang w:val="en-US" w:eastAsia="zh-CN"/>
                    </w:rPr>
                    <w:t>格栅+隔油池+A/O</w:t>
                  </w:r>
                  <w:r>
                    <w:rPr>
                      <w:rFonts w:hint="eastAsia" w:cs="Times New Roman"/>
                      <w:color w:val="000000"/>
                      <w:sz w:val="21"/>
                      <w:szCs w:val="21"/>
                      <w:u w:val="none"/>
                      <w:lang w:val="en-US" w:eastAsia="zh-CN"/>
                    </w:rPr>
                    <w:t>+沉淀</w:t>
                  </w:r>
                </w:p>
              </w:tc>
              <w:tc>
                <w:tcPr>
                  <w:tcW w:w="1171" w:type="dxa"/>
                  <w:noWrap w:val="0"/>
                  <w:vAlign w:val="center"/>
                </w:tcPr>
                <w:p w14:paraId="77EA8E36">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进水水质（mg/L）</w:t>
                  </w:r>
                </w:p>
              </w:tc>
              <w:tc>
                <w:tcPr>
                  <w:tcW w:w="899" w:type="dxa"/>
                  <w:noWrap w:val="0"/>
                  <w:vAlign w:val="center"/>
                </w:tcPr>
                <w:p w14:paraId="66037099">
                  <w:pPr>
                    <w:keepNext w:val="0"/>
                    <w:keepLines w:val="0"/>
                    <w:widowControl/>
                    <w:suppressLineNumbers w:val="0"/>
                    <w:jc w:val="center"/>
                    <w:textAlignment w:val="center"/>
                    <w:rPr>
                      <w:rFonts w:hint="default" w:eastAsia="宋体"/>
                      <w:bCs/>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903.485</w:t>
                  </w:r>
                </w:p>
              </w:tc>
              <w:tc>
                <w:tcPr>
                  <w:tcW w:w="899" w:type="dxa"/>
                  <w:noWrap w:val="0"/>
                  <w:vAlign w:val="center"/>
                </w:tcPr>
                <w:p w14:paraId="0313D961">
                  <w:pPr>
                    <w:keepNext w:val="0"/>
                    <w:keepLines w:val="0"/>
                    <w:widowControl/>
                    <w:suppressLineNumbers w:val="0"/>
                    <w:jc w:val="center"/>
                    <w:textAlignment w:val="center"/>
                    <w:rPr>
                      <w:rFonts w:hint="default" w:eastAsia="宋体"/>
                      <w:bCs/>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454.960</w:t>
                  </w:r>
                </w:p>
              </w:tc>
              <w:tc>
                <w:tcPr>
                  <w:tcW w:w="899" w:type="dxa"/>
                  <w:noWrap w:val="0"/>
                  <w:vAlign w:val="center"/>
                </w:tcPr>
                <w:p w14:paraId="361F3DC1">
                  <w:pPr>
                    <w:keepNext w:val="0"/>
                    <w:keepLines w:val="0"/>
                    <w:widowControl/>
                    <w:suppressLineNumbers w:val="0"/>
                    <w:jc w:val="center"/>
                    <w:textAlignment w:val="center"/>
                    <w:rPr>
                      <w:rFonts w:hint="default" w:eastAsia="宋体"/>
                      <w:bCs/>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454.960</w:t>
                  </w:r>
                </w:p>
              </w:tc>
              <w:tc>
                <w:tcPr>
                  <w:tcW w:w="809" w:type="dxa"/>
                  <w:noWrap w:val="0"/>
                  <w:vAlign w:val="center"/>
                </w:tcPr>
                <w:p w14:paraId="369F24F5">
                  <w:pPr>
                    <w:keepNext w:val="0"/>
                    <w:keepLines w:val="0"/>
                    <w:widowControl/>
                    <w:suppressLineNumbers w:val="0"/>
                    <w:jc w:val="center"/>
                    <w:textAlignment w:val="center"/>
                    <w:rPr>
                      <w:rFonts w:hint="default" w:eastAsia="宋体"/>
                      <w:bCs/>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30.000</w:t>
                  </w:r>
                </w:p>
              </w:tc>
              <w:tc>
                <w:tcPr>
                  <w:tcW w:w="689" w:type="dxa"/>
                  <w:noWrap w:val="0"/>
                  <w:vAlign w:val="center"/>
                </w:tcPr>
                <w:p w14:paraId="29EB589F">
                  <w:pPr>
                    <w:keepNext w:val="0"/>
                    <w:keepLines w:val="0"/>
                    <w:widowControl/>
                    <w:suppressLineNumbers w:val="0"/>
                    <w:jc w:val="center"/>
                    <w:textAlignment w:val="center"/>
                    <w:rPr>
                      <w:rFonts w:hint="eastAsia" w:eastAsia="宋体"/>
                      <w:bCs/>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8.713</w:t>
                  </w:r>
                </w:p>
              </w:tc>
              <w:tc>
                <w:tcPr>
                  <w:tcW w:w="819" w:type="dxa"/>
                  <w:noWrap w:val="0"/>
                  <w:vAlign w:val="center"/>
                </w:tcPr>
                <w:p w14:paraId="5E1539A7">
                  <w:pPr>
                    <w:keepNext w:val="0"/>
                    <w:keepLines w:val="0"/>
                    <w:widowControl/>
                    <w:suppressLineNumbers w:val="0"/>
                    <w:jc w:val="center"/>
                    <w:textAlignment w:val="center"/>
                    <w:rPr>
                      <w:rFonts w:hint="eastAsia" w:eastAsia="宋体"/>
                      <w:bCs/>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43.566</w:t>
                  </w:r>
                </w:p>
              </w:tc>
              <w:tc>
                <w:tcPr>
                  <w:tcW w:w="689" w:type="dxa"/>
                  <w:noWrap w:val="0"/>
                  <w:vAlign w:val="center"/>
                </w:tcPr>
                <w:p w14:paraId="615AF43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8.713</w:t>
                  </w:r>
                </w:p>
              </w:tc>
            </w:tr>
            <w:tr w14:paraId="51FF9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2" w:type="dxa"/>
                  <w:vMerge w:val="continue"/>
                  <w:tcBorders>
                    <w:left w:val="single" w:color="auto" w:sz="4" w:space="0"/>
                  </w:tcBorders>
                  <w:noWrap w:val="0"/>
                  <w:vAlign w:val="center"/>
                </w:tcPr>
                <w:p w14:paraId="03AE5E84">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p>
              </w:tc>
              <w:tc>
                <w:tcPr>
                  <w:tcW w:w="966" w:type="dxa"/>
                  <w:vMerge w:val="continue"/>
                  <w:tcBorders>
                    <w:left w:val="single" w:color="auto" w:sz="4" w:space="0"/>
                  </w:tcBorders>
                  <w:noWrap w:val="0"/>
                  <w:vAlign w:val="center"/>
                </w:tcPr>
                <w:p w14:paraId="037A6193">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p>
              </w:tc>
              <w:tc>
                <w:tcPr>
                  <w:tcW w:w="1171" w:type="dxa"/>
                  <w:noWrap w:val="0"/>
                  <w:vAlign w:val="center"/>
                </w:tcPr>
                <w:p w14:paraId="263AB868">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出水水质（mg/L）</w:t>
                  </w:r>
                </w:p>
              </w:tc>
              <w:tc>
                <w:tcPr>
                  <w:tcW w:w="899" w:type="dxa"/>
                  <w:noWrap w:val="0"/>
                  <w:vAlign w:val="center"/>
                </w:tcPr>
                <w:p w14:paraId="5D78DE2F">
                  <w:pPr>
                    <w:keepNext w:val="0"/>
                    <w:keepLines w:val="0"/>
                    <w:widowControl/>
                    <w:suppressLineNumbers w:val="0"/>
                    <w:jc w:val="center"/>
                    <w:textAlignment w:val="center"/>
                    <w:rPr>
                      <w:rFonts w:hint="default" w:ascii="Times New Roman" w:hAnsi="Times New Roman" w:eastAsia="宋体" w:cs="Times New Roman"/>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225.871</w:t>
                  </w:r>
                </w:p>
              </w:tc>
              <w:tc>
                <w:tcPr>
                  <w:tcW w:w="899" w:type="dxa"/>
                  <w:noWrap w:val="0"/>
                  <w:vAlign w:val="center"/>
                </w:tcPr>
                <w:p w14:paraId="39CFDF8F">
                  <w:pPr>
                    <w:keepNext w:val="0"/>
                    <w:keepLines w:val="0"/>
                    <w:widowControl/>
                    <w:suppressLineNumbers w:val="0"/>
                    <w:jc w:val="center"/>
                    <w:textAlignment w:val="center"/>
                    <w:rPr>
                      <w:rFonts w:hint="default" w:ascii="Times New Roman" w:hAnsi="Times New Roman" w:eastAsia="宋体" w:cs="Times New Roman"/>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145.587</w:t>
                  </w:r>
                </w:p>
              </w:tc>
              <w:tc>
                <w:tcPr>
                  <w:tcW w:w="899" w:type="dxa"/>
                  <w:noWrap w:val="0"/>
                  <w:vAlign w:val="center"/>
                </w:tcPr>
                <w:p w14:paraId="5296C202">
                  <w:pPr>
                    <w:keepNext w:val="0"/>
                    <w:keepLines w:val="0"/>
                    <w:widowControl/>
                    <w:suppressLineNumbers w:val="0"/>
                    <w:jc w:val="center"/>
                    <w:textAlignment w:val="center"/>
                    <w:rPr>
                      <w:rFonts w:hint="default" w:ascii="Times New Roman" w:hAnsi="Times New Roman" w:eastAsia="宋体" w:cs="Times New Roman"/>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218.381</w:t>
                  </w:r>
                </w:p>
              </w:tc>
              <w:tc>
                <w:tcPr>
                  <w:tcW w:w="809" w:type="dxa"/>
                  <w:noWrap w:val="0"/>
                  <w:vAlign w:val="center"/>
                </w:tcPr>
                <w:p w14:paraId="5CACF730">
                  <w:pPr>
                    <w:keepNext w:val="0"/>
                    <w:keepLines w:val="0"/>
                    <w:widowControl/>
                    <w:suppressLineNumbers w:val="0"/>
                    <w:jc w:val="center"/>
                    <w:textAlignment w:val="center"/>
                    <w:rPr>
                      <w:rFonts w:hint="default" w:ascii="Times New Roman" w:hAnsi="Times New Roman" w:eastAsia="宋体" w:cs="Times New Roman"/>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24.000</w:t>
                  </w:r>
                </w:p>
              </w:tc>
              <w:tc>
                <w:tcPr>
                  <w:tcW w:w="689" w:type="dxa"/>
                  <w:noWrap w:val="0"/>
                  <w:vAlign w:val="center"/>
                </w:tcPr>
                <w:p w14:paraId="77B3EF67">
                  <w:pPr>
                    <w:keepNext w:val="0"/>
                    <w:keepLines w:val="0"/>
                    <w:widowControl/>
                    <w:suppressLineNumbers w:val="0"/>
                    <w:jc w:val="center"/>
                    <w:textAlignment w:val="center"/>
                    <w:rPr>
                      <w:rFonts w:hint="default" w:cs="Times New Roman"/>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3.485</w:t>
                  </w:r>
                </w:p>
              </w:tc>
              <w:tc>
                <w:tcPr>
                  <w:tcW w:w="819" w:type="dxa"/>
                  <w:noWrap w:val="0"/>
                  <w:vAlign w:val="center"/>
                </w:tcPr>
                <w:p w14:paraId="301BDFAC">
                  <w:pPr>
                    <w:keepNext w:val="0"/>
                    <w:keepLines w:val="0"/>
                    <w:widowControl/>
                    <w:suppressLineNumbers w:val="0"/>
                    <w:jc w:val="center"/>
                    <w:textAlignment w:val="center"/>
                    <w:rPr>
                      <w:rFonts w:hint="default" w:cs="Times New Roman"/>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26.139</w:t>
                  </w:r>
                </w:p>
              </w:tc>
              <w:tc>
                <w:tcPr>
                  <w:tcW w:w="689" w:type="dxa"/>
                  <w:noWrap w:val="0"/>
                  <w:vAlign w:val="center"/>
                </w:tcPr>
                <w:p w14:paraId="5EC57F59">
                  <w:pPr>
                    <w:keepNext w:val="0"/>
                    <w:keepLines w:val="0"/>
                    <w:widowControl/>
                    <w:suppressLineNumbers w:val="0"/>
                    <w:jc w:val="center"/>
                    <w:textAlignment w:val="center"/>
                    <w:rPr>
                      <w:rFonts w:hint="eastAsia" w:cs="Times New Roman"/>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6.099</w:t>
                  </w:r>
                </w:p>
              </w:tc>
            </w:tr>
            <w:tr w14:paraId="31D18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2" w:type="dxa"/>
                  <w:vMerge w:val="continue"/>
                  <w:tcBorders>
                    <w:left w:val="single" w:color="auto" w:sz="4" w:space="0"/>
                  </w:tcBorders>
                  <w:noWrap w:val="0"/>
                  <w:vAlign w:val="center"/>
                </w:tcPr>
                <w:p w14:paraId="2C6CBD32">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p>
              </w:tc>
              <w:tc>
                <w:tcPr>
                  <w:tcW w:w="2137" w:type="dxa"/>
                  <w:gridSpan w:val="2"/>
                  <w:tcBorders>
                    <w:left w:val="single" w:color="auto" w:sz="4" w:space="0"/>
                  </w:tcBorders>
                  <w:noWrap w:val="0"/>
                  <w:vAlign w:val="center"/>
                </w:tcPr>
                <w:p w14:paraId="5860DAD1">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去除率（%）</w:t>
                  </w:r>
                </w:p>
              </w:tc>
              <w:tc>
                <w:tcPr>
                  <w:tcW w:w="899" w:type="dxa"/>
                  <w:noWrap w:val="0"/>
                  <w:vAlign w:val="center"/>
                </w:tcPr>
                <w:p w14:paraId="26CC4F1D">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75</w:t>
                  </w:r>
                </w:p>
              </w:tc>
              <w:tc>
                <w:tcPr>
                  <w:tcW w:w="899" w:type="dxa"/>
                  <w:noWrap w:val="0"/>
                  <w:vAlign w:val="center"/>
                </w:tcPr>
                <w:p w14:paraId="14E23EE8">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68</w:t>
                  </w:r>
                </w:p>
              </w:tc>
              <w:tc>
                <w:tcPr>
                  <w:tcW w:w="899" w:type="dxa"/>
                  <w:noWrap w:val="0"/>
                  <w:vAlign w:val="center"/>
                </w:tcPr>
                <w:p w14:paraId="22A9A285">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70</w:t>
                  </w:r>
                </w:p>
              </w:tc>
              <w:tc>
                <w:tcPr>
                  <w:tcW w:w="809" w:type="dxa"/>
                  <w:noWrap w:val="0"/>
                  <w:vAlign w:val="center"/>
                </w:tcPr>
                <w:p w14:paraId="5C56F833">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20</w:t>
                  </w:r>
                </w:p>
              </w:tc>
              <w:tc>
                <w:tcPr>
                  <w:tcW w:w="689" w:type="dxa"/>
                  <w:noWrap w:val="0"/>
                  <w:vAlign w:val="center"/>
                </w:tcPr>
                <w:p w14:paraId="1A5E2444">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60</w:t>
                  </w:r>
                </w:p>
              </w:tc>
              <w:tc>
                <w:tcPr>
                  <w:tcW w:w="819" w:type="dxa"/>
                  <w:noWrap w:val="0"/>
                  <w:vAlign w:val="center"/>
                </w:tcPr>
                <w:p w14:paraId="70FCB15F">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40</w:t>
                  </w:r>
                </w:p>
              </w:tc>
              <w:tc>
                <w:tcPr>
                  <w:tcW w:w="689" w:type="dxa"/>
                  <w:noWrap w:val="0"/>
                  <w:vAlign w:val="center"/>
                </w:tcPr>
                <w:p w14:paraId="2C4A01D7">
                  <w:pPr>
                    <w:keepNext w:val="0"/>
                    <w:keepLines w:val="0"/>
                    <w:pageBreakBefore w:val="0"/>
                    <w:kinsoku/>
                    <w:wordWrap/>
                    <w:overflowPunct/>
                    <w:topLinePunct w:val="0"/>
                    <w:autoSpaceDE/>
                    <w:autoSpaceDN/>
                    <w:bidi w:val="0"/>
                    <w:snapToGrid/>
                    <w:spacing w:line="240" w:lineRule="auto"/>
                    <w:ind w:right="0" w:firstLine="0" w:firstLineChars="0"/>
                    <w:jc w:val="center"/>
                    <w:textAlignment w:val="auto"/>
                    <w:rPr>
                      <w:rFonts w:hint="default" w:cs="Times New Roman"/>
                      <w:color w:val="000000"/>
                      <w:sz w:val="21"/>
                      <w:szCs w:val="21"/>
                      <w:u w:val="none"/>
                      <w:lang w:val="en-US" w:eastAsia="zh-CN"/>
                    </w:rPr>
                  </w:pPr>
                  <w:r>
                    <w:rPr>
                      <w:rFonts w:hint="eastAsia" w:cs="Times New Roman"/>
                      <w:color w:val="000000"/>
                      <w:sz w:val="21"/>
                      <w:szCs w:val="21"/>
                      <w:u w:val="none"/>
                      <w:lang w:val="en-US" w:eastAsia="zh-CN"/>
                    </w:rPr>
                    <w:t>30</w:t>
                  </w:r>
                </w:p>
              </w:tc>
            </w:tr>
            <w:tr w14:paraId="2B150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09" w:type="dxa"/>
                  <w:gridSpan w:val="3"/>
                  <w:tcBorders>
                    <w:left w:val="single" w:color="auto" w:sz="4" w:space="0"/>
                  </w:tcBorders>
                  <w:noWrap w:val="0"/>
                  <w:vAlign w:val="center"/>
                </w:tcPr>
                <w:p w14:paraId="3F9E2143">
                  <w:pPr>
                    <w:keepNext w:val="0"/>
                    <w:keepLines w:val="0"/>
                    <w:pageBreakBefore w:val="0"/>
                    <w:kinsoku/>
                    <w:wordWrap/>
                    <w:overflowPunct/>
                    <w:topLinePunct w:val="0"/>
                    <w:autoSpaceDE/>
                    <w:autoSpaceDN/>
                    <w:bidi w:val="0"/>
                    <w:spacing w:line="240" w:lineRule="auto"/>
                    <w:jc w:val="center"/>
                    <w:rPr>
                      <w:rFonts w:hint="eastAsia" w:ascii="Times New Roman" w:hAnsi="Times New Roman" w:eastAsia="宋体" w:cs="Times New Roman"/>
                      <w:color w:val="000000"/>
                      <w:kern w:val="2"/>
                      <w:sz w:val="21"/>
                      <w:szCs w:val="21"/>
                      <w:u w:val="none"/>
                      <w:lang w:val="en-US" w:eastAsia="zh-CN" w:bidi="ar-SA"/>
                    </w:rPr>
                  </w:pPr>
                  <w:r>
                    <w:rPr>
                      <w:rFonts w:hint="eastAsia"/>
                      <w:color w:val="000000"/>
                      <w:sz w:val="21"/>
                      <w:szCs w:val="21"/>
                      <w:u w:val="none"/>
                    </w:rPr>
                    <w:t>厂区污水（</w:t>
                  </w:r>
                  <w:r>
                    <w:rPr>
                      <w:rFonts w:hint="eastAsia" w:ascii="Times New Roman" w:hAnsi="Times New Roman" w:eastAsia="宋体" w:cs="Times New Roman"/>
                      <w:color w:val="000000"/>
                      <w:sz w:val="21"/>
                      <w:szCs w:val="21"/>
                      <w:u w:val="none"/>
                      <w:lang w:val="en-US" w:eastAsia="zh-CN"/>
                    </w:rPr>
                    <w:t>46.625</w:t>
                  </w:r>
                  <w:r>
                    <w:rPr>
                      <w:rFonts w:hint="eastAsia"/>
                      <w:color w:val="000000"/>
                      <w:sz w:val="21"/>
                      <w:szCs w:val="21"/>
                      <w:u w:val="none"/>
                    </w:rPr>
                    <w:t>m</w:t>
                  </w:r>
                  <w:r>
                    <w:rPr>
                      <w:rFonts w:hint="eastAsia"/>
                      <w:color w:val="000000"/>
                      <w:sz w:val="21"/>
                      <w:szCs w:val="21"/>
                      <w:u w:val="none"/>
                      <w:vertAlign w:val="superscript"/>
                    </w:rPr>
                    <w:t>3</w:t>
                  </w:r>
                  <w:r>
                    <w:rPr>
                      <w:rFonts w:hint="eastAsia"/>
                      <w:color w:val="000000"/>
                      <w:sz w:val="21"/>
                      <w:szCs w:val="21"/>
                      <w:u w:val="none"/>
                    </w:rPr>
                    <w:t>/d）</w:t>
                  </w:r>
                  <w:commentRangeStart w:id="91"/>
                  <w:r>
                    <w:rPr>
                      <w:rFonts w:hint="eastAsia"/>
                      <w:color w:val="000000"/>
                      <w:sz w:val="21"/>
                      <w:szCs w:val="21"/>
                      <w:u w:val="none"/>
                    </w:rPr>
                    <w:t>总排口浓度</w:t>
                  </w:r>
                  <w:commentRangeEnd w:id="91"/>
                  <w:r>
                    <w:commentReference w:id="91"/>
                  </w:r>
                </w:p>
              </w:tc>
              <w:tc>
                <w:tcPr>
                  <w:tcW w:w="899" w:type="dxa"/>
                  <w:noWrap w:val="0"/>
                  <w:vAlign w:val="center"/>
                </w:tcPr>
                <w:p w14:paraId="2BC62EFB">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225.871</w:t>
                  </w:r>
                </w:p>
              </w:tc>
              <w:tc>
                <w:tcPr>
                  <w:tcW w:w="899" w:type="dxa"/>
                  <w:noWrap w:val="0"/>
                  <w:vAlign w:val="center"/>
                </w:tcPr>
                <w:p w14:paraId="6E268529">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145.587</w:t>
                  </w:r>
                </w:p>
              </w:tc>
              <w:tc>
                <w:tcPr>
                  <w:tcW w:w="899" w:type="dxa"/>
                  <w:noWrap w:val="0"/>
                  <w:vAlign w:val="center"/>
                </w:tcPr>
                <w:p w14:paraId="68C83594">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136.488</w:t>
                  </w:r>
                </w:p>
              </w:tc>
              <w:tc>
                <w:tcPr>
                  <w:tcW w:w="809" w:type="dxa"/>
                  <w:noWrap w:val="0"/>
                  <w:vAlign w:val="center"/>
                </w:tcPr>
                <w:p w14:paraId="4D59805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24.000</w:t>
                  </w:r>
                </w:p>
              </w:tc>
              <w:tc>
                <w:tcPr>
                  <w:tcW w:w="689" w:type="dxa"/>
                  <w:noWrap w:val="0"/>
                  <w:vAlign w:val="center"/>
                </w:tcPr>
                <w:p w14:paraId="17CC3D6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3.485</w:t>
                  </w:r>
                </w:p>
              </w:tc>
              <w:tc>
                <w:tcPr>
                  <w:tcW w:w="819" w:type="dxa"/>
                  <w:noWrap w:val="0"/>
                  <w:vAlign w:val="center"/>
                </w:tcPr>
                <w:p w14:paraId="2A361814">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26.139</w:t>
                  </w:r>
                </w:p>
              </w:tc>
              <w:tc>
                <w:tcPr>
                  <w:tcW w:w="689" w:type="dxa"/>
                  <w:noWrap w:val="0"/>
                  <w:vAlign w:val="center"/>
                </w:tcPr>
                <w:p w14:paraId="4C890B9E">
                  <w:pPr>
                    <w:keepNext w:val="0"/>
                    <w:keepLines w:val="0"/>
                    <w:widowControl/>
                    <w:suppressLineNumbers w:val="0"/>
                    <w:jc w:val="center"/>
                    <w:textAlignment w:val="center"/>
                    <w:rPr>
                      <w:rFonts w:hint="eastAsia" w:cs="Times New Roman"/>
                      <w:color w:val="00000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6.099</w:t>
                  </w:r>
                </w:p>
              </w:tc>
            </w:tr>
            <w:tr w14:paraId="127BD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09" w:type="dxa"/>
                  <w:gridSpan w:val="3"/>
                  <w:tcBorders>
                    <w:left w:val="single" w:color="auto" w:sz="4" w:space="0"/>
                  </w:tcBorders>
                  <w:noWrap w:val="0"/>
                  <w:vAlign w:val="center"/>
                </w:tcPr>
                <w:p w14:paraId="00211058">
                  <w:pPr>
                    <w:keepNext w:val="0"/>
                    <w:keepLines w:val="0"/>
                    <w:pageBreakBefore w:val="0"/>
                    <w:kinsoku/>
                    <w:wordWrap/>
                    <w:overflowPunct/>
                    <w:topLinePunct w:val="0"/>
                    <w:autoSpaceDE/>
                    <w:autoSpaceDN/>
                    <w:bidi w:val="0"/>
                    <w:adjustRightInd w:val="0"/>
                    <w:snapToGrid/>
                    <w:spacing w:line="240" w:lineRule="auto"/>
                    <w:ind w:right="0" w:firstLine="0" w:firstLineChars="0"/>
                    <w:jc w:val="center"/>
                    <w:textAlignment w:val="auto"/>
                    <w:rPr>
                      <w:rFonts w:hint="default" w:ascii="Times New Roman" w:hAnsi="Times New Roman" w:eastAsia="宋体" w:cs="Times New Roman"/>
                      <w:color w:val="000000"/>
                      <w:kern w:val="0"/>
                      <w:sz w:val="21"/>
                      <w:szCs w:val="21"/>
                      <w:u w:val="none"/>
                    </w:rPr>
                  </w:pPr>
                  <w:r>
                    <w:rPr>
                      <w:rFonts w:hint="default" w:ascii="Times New Roman" w:hAnsi="Times New Roman" w:eastAsia="宋体" w:cs="Times New Roman"/>
                      <w:color w:val="000000"/>
                      <w:kern w:val="0"/>
                      <w:sz w:val="21"/>
                      <w:szCs w:val="21"/>
                      <w:u w:val="none"/>
                    </w:rPr>
                    <w:t>《污水综合排放标准》（GB8978-1996）三级标准</w:t>
                  </w:r>
                </w:p>
              </w:tc>
              <w:tc>
                <w:tcPr>
                  <w:tcW w:w="899" w:type="dxa"/>
                  <w:noWrap w:val="0"/>
                  <w:vAlign w:val="center"/>
                </w:tcPr>
                <w:p w14:paraId="56EC6875">
                  <w:pPr>
                    <w:widowControl/>
                    <w:jc w:val="center"/>
                    <w:textAlignment w:val="center"/>
                    <w:rPr>
                      <w:rFonts w:hint="default"/>
                      <w:color w:val="000000"/>
                      <w:kern w:val="0"/>
                      <w:sz w:val="21"/>
                      <w:szCs w:val="21"/>
                      <w:lang w:val="en-US" w:eastAsia="zh-CN" w:bidi="ar-SA"/>
                    </w:rPr>
                  </w:pPr>
                  <w:r>
                    <w:rPr>
                      <w:rFonts w:hint="eastAsia"/>
                      <w:color w:val="000000"/>
                      <w:kern w:val="0"/>
                      <w:sz w:val="21"/>
                      <w:szCs w:val="21"/>
                    </w:rPr>
                    <w:t>5</w:t>
                  </w:r>
                  <w:r>
                    <w:rPr>
                      <w:color w:val="000000"/>
                      <w:kern w:val="0"/>
                      <w:sz w:val="21"/>
                      <w:szCs w:val="21"/>
                    </w:rPr>
                    <w:t>00</w:t>
                  </w:r>
                </w:p>
              </w:tc>
              <w:tc>
                <w:tcPr>
                  <w:tcW w:w="899" w:type="dxa"/>
                  <w:noWrap w:val="0"/>
                  <w:vAlign w:val="center"/>
                </w:tcPr>
                <w:p w14:paraId="50BB0914">
                  <w:pPr>
                    <w:widowControl/>
                    <w:jc w:val="center"/>
                    <w:textAlignment w:val="center"/>
                    <w:rPr>
                      <w:rFonts w:hint="default"/>
                      <w:color w:val="000000"/>
                      <w:kern w:val="0"/>
                      <w:sz w:val="21"/>
                      <w:szCs w:val="21"/>
                      <w:lang w:val="en-US" w:eastAsia="zh-CN" w:bidi="ar-SA"/>
                    </w:rPr>
                  </w:pPr>
                  <w:r>
                    <w:rPr>
                      <w:rFonts w:hint="eastAsia"/>
                      <w:color w:val="000000"/>
                      <w:kern w:val="0"/>
                      <w:sz w:val="21"/>
                      <w:szCs w:val="21"/>
                    </w:rPr>
                    <w:t>300</w:t>
                  </w:r>
                </w:p>
              </w:tc>
              <w:tc>
                <w:tcPr>
                  <w:tcW w:w="899" w:type="dxa"/>
                  <w:noWrap w:val="0"/>
                  <w:vAlign w:val="center"/>
                </w:tcPr>
                <w:p w14:paraId="007D3EC6">
                  <w:pPr>
                    <w:widowControl/>
                    <w:jc w:val="center"/>
                    <w:textAlignment w:val="center"/>
                    <w:rPr>
                      <w:rFonts w:hint="default"/>
                      <w:color w:val="000000"/>
                      <w:kern w:val="0"/>
                      <w:sz w:val="21"/>
                      <w:szCs w:val="21"/>
                      <w:lang w:val="en-US" w:eastAsia="zh-CN" w:bidi="ar-SA"/>
                    </w:rPr>
                  </w:pPr>
                  <w:r>
                    <w:rPr>
                      <w:rFonts w:hint="eastAsia"/>
                      <w:color w:val="000000"/>
                      <w:kern w:val="0"/>
                      <w:sz w:val="21"/>
                      <w:szCs w:val="21"/>
                    </w:rPr>
                    <w:t>/</w:t>
                  </w:r>
                </w:p>
              </w:tc>
              <w:tc>
                <w:tcPr>
                  <w:tcW w:w="809" w:type="dxa"/>
                  <w:noWrap w:val="0"/>
                  <w:vAlign w:val="center"/>
                </w:tcPr>
                <w:p w14:paraId="680A5BBD">
                  <w:pPr>
                    <w:widowControl/>
                    <w:jc w:val="center"/>
                    <w:textAlignment w:val="center"/>
                    <w:rPr>
                      <w:rFonts w:hint="default"/>
                      <w:color w:val="000000"/>
                      <w:kern w:val="0"/>
                      <w:sz w:val="21"/>
                      <w:szCs w:val="21"/>
                      <w:lang w:val="en-US" w:eastAsia="zh-CN" w:bidi="ar-SA"/>
                    </w:rPr>
                  </w:pPr>
                  <w:r>
                    <w:rPr>
                      <w:rFonts w:hint="eastAsia"/>
                      <w:color w:val="000000"/>
                      <w:kern w:val="0"/>
                      <w:sz w:val="21"/>
                      <w:szCs w:val="21"/>
                    </w:rPr>
                    <w:t>400</w:t>
                  </w:r>
                </w:p>
              </w:tc>
              <w:tc>
                <w:tcPr>
                  <w:tcW w:w="689" w:type="dxa"/>
                  <w:noWrap w:val="0"/>
                  <w:vAlign w:val="center"/>
                </w:tcPr>
                <w:p w14:paraId="49394262">
                  <w:pPr>
                    <w:jc w:val="center"/>
                    <w:rPr>
                      <w:rFonts w:hint="eastAsia"/>
                      <w:color w:val="000000"/>
                      <w:kern w:val="0"/>
                      <w:sz w:val="21"/>
                      <w:szCs w:val="21"/>
                    </w:rPr>
                  </w:pPr>
                  <w:r>
                    <w:rPr>
                      <w:color w:val="000000" w:themeColor="text1"/>
                      <w:sz w:val="21"/>
                      <w:szCs w:val="21"/>
                      <w14:textFill>
                        <w14:solidFill>
                          <w14:schemeClr w14:val="tx1"/>
                        </w14:solidFill>
                      </w14:textFill>
                    </w:rPr>
                    <w:t>/</w:t>
                  </w:r>
                </w:p>
              </w:tc>
              <w:tc>
                <w:tcPr>
                  <w:tcW w:w="819" w:type="dxa"/>
                  <w:noWrap w:val="0"/>
                  <w:vAlign w:val="center"/>
                </w:tcPr>
                <w:p w14:paraId="47020978">
                  <w:pPr>
                    <w:jc w:val="center"/>
                    <w:rPr>
                      <w:rFonts w:hint="eastAsia"/>
                      <w:color w:val="000000"/>
                      <w:kern w:val="0"/>
                      <w:sz w:val="21"/>
                      <w:szCs w:val="21"/>
                    </w:rPr>
                  </w:pPr>
                  <w:r>
                    <w:rPr>
                      <w:rFonts w:hint="eastAsia"/>
                      <w:color w:val="000000" w:themeColor="text1"/>
                      <w:sz w:val="21"/>
                      <w:szCs w:val="21"/>
                      <w14:textFill>
                        <w14:solidFill>
                          <w14:schemeClr w14:val="tx1"/>
                        </w14:solidFill>
                      </w14:textFill>
                    </w:rPr>
                    <w:t>/</w:t>
                  </w:r>
                </w:p>
              </w:tc>
              <w:tc>
                <w:tcPr>
                  <w:tcW w:w="689" w:type="dxa"/>
                  <w:noWrap w:val="0"/>
                  <w:vAlign w:val="center"/>
                </w:tcPr>
                <w:p w14:paraId="67446409">
                  <w:pPr>
                    <w:jc w:val="center"/>
                    <w:rPr>
                      <w:rFonts w:hint="eastAsia"/>
                      <w:color w:val="000000" w:themeColor="text1"/>
                      <w:sz w:val="21"/>
                      <w:szCs w:val="21"/>
                      <w14:textFill>
                        <w14:solidFill>
                          <w14:schemeClr w14:val="tx1"/>
                        </w14:solidFill>
                      </w14:textFill>
                    </w:rPr>
                  </w:pPr>
                </w:p>
              </w:tc>
            </w:tr>
            <w:tr w14:paraId="15A82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09" w:type="dxa"/>
                  <w:gridSpan w:val="3"/>
                  <w:tcBorders>
                    <w:left w:val="single" w:color="auto" w:sz="4" w:space="0"/>
                  </w:tcBorders>
                  <w:noWrap w:val="0"/>
                  <w:vAlign w:val="center"/>
                </w:tcPr>
                <w:p w14:paraId="4F3B69C9">
                  <w:pPr>
                    <w:jc w:val="center"/>
                    <w:rPr>
                      <w:rFonts w:hint="default" w:ascii="Times New Roman" w:hAnsi="Times New Roman" w:eastAsia="宋体" w:cs="Times New Roman"/>
                      <w:color w:val="000000" w:themeColor="text1"/>
                      <w:sz w:val="21"/>
                      <w:szCs w:val="21"/>
                      <w:u w:val="none"/>
                      <w14:textFill>
                        <w14:solidFill>
                          <w14:schemeClr w14:val="tx1"/>
                        </w14:solidFill>
                      </w14:textFill>
                    </w:rPr>
                  </w:pPr>
                  <w:r>
                    <w:rPr>
                      <w:color w:val="000000" w:themeColor="text1"/>
                      <w:sz w:val="21"/>
                      <w:szCs w:val="21"/>
                      <w14:textFill>
                        <w14:solidFill>
                          <w14:schemeClr w14:val="tx1"/>
                        </w14:solidFill>
                      </w14:textFill>
                    </w:rPr>
                    <w:t>镇平县第二污水处理厂进水水质指标</w:t>
                  </w:r>
                </w:p>
              </w:tc>
              <w:tc>
                <w:tcPr>
                  <w:tcW w:w="899" w:type="dxa"/>
                  <w:noWrap w:val="0"/>
                  <w:vAlign w:val="center"/>
                </w:tcPr>
                <w:p w14:paraId="1182AD42">
                  <w:pPr>
                    <w:jc w:val="center"/>
                    <w:rPr>
                      <w:rFonts w:hint="default"/>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400</w:t>
                  </w:r>
                </w:p>
              </w:tc>
              <w:tc>
                <w:tcPr>
                  <w:tcW w:w="899" w:type="dxa"/>
                  <w:noWrap w:val="0"/>
                  <w:vAlign w:val="center"/>
                </w:tcPr>
                <w:p w14:paraId="014D667F">
                  <w:pPr>
                    <w:jc w:val="center"/>
                    <w:rPr>
                      <w:rFonts w:hint="default"/>
                      <w:color w:val="000000" w:themeColor="text1"/>
                      <w:kern w:val="0"/>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1</w:t>
                  </w: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0</w:t>
                  </w:r>
                </w:p>
              </w:tc>
              <w:tc>
                <w:tcPr>
                  <w:tcW w:w="899" w:type="dxa"/>
                  <w:noWrap w:val="0"/>
                  <w:vAlign w:val="center"/>
                </w:tcPr>
                <w:p w14:paraId="6BF7E7AA">
                  <w:pPr>
                    <w:jc w:val="center"/>
                    <w:rPr>
                      <w:rFonts w:hint="default"/>
                      <w:color w:val="000000" w:themeColor="text1"/>
                      <w:kern w:val="0"/>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300</w:t>
                  </w:r>
                </w:p>
              </w:tc>
              <w:tc>
                <w:tcPr>
                  <w:tcW w:w="809" w:type="dxa"/>
                  <w:noWrap w:val="0"/>
                  <w:vAlign w:val="center"/>
                </w:tcPr>
                <w:p w14:paraId="248905BD">
                  <w:pPr>
                    <w:jc w:val="center"/>
                    <w:rPr>
                      <w:rFonts w:hint="default"/>
                      <w:color w:val="000000" w:themeColor="text1"/>
                      <w:kern w:val="0"/>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40</w:t>
                  </w:r>
                </w:p>
              </w:tc>
              <w:tc>
                <w:tcPr>
                  <w:tcW w:w="689" w:type="dxa"/>
                  <w:noWrap w:val="0"/>
                  <w:vAlign w:val="center"/>
                </w:tcPr>
                <w:p w14:paraId="2241FCE6">
                  <w:pPr>
                    <w:jc w:val="center"/>
                    <w:rPr>
                      <w:color w:val="000000" w:themeColor="text1"/>
                      <w:kern w:val="0"/>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819" w:type="dxa"/>
                  <w:noWrap w:val="0"/>
                  <w:vAlign w:val="center"/>
                </w:tcPr>
                <w:p w14:paraId="3557D56A">
                  <w:pPr>
                    <w:jc w:val="center"/>
                    <w:rPr>
                      <w:color w:val="000000" w:themeColor="text1"/>
                      <w:kern w:val="0"/>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89" w:type="dxa"/>
                  <w:noWrap w:val="0"/>
                  <w:vAlign w:val="center"/>
                </w:tcPr>
                <w:p w14:paraId="6D5A2953">
                  <w:pPr>
                    <w:jc w:val="center"/>
                    <w:rPr>
                      <w:rFonts w:hint="eastAsia"/>
                      <w:color w:val="000000" w:themeColor="text1"/>
                      <w:sz w:val="21"/>
                      <w:szCs w:val="21"/>
                      <w14:textFill>
                        <w14:solidFill>
                          <w14:schemeClr w14:val="tx1"/>
                        </w14:solidFill>
                      </w14:textFill>
                    </w:rPr>
                  </w:pPr>
                </w:p>
              </w:tc>
            </w:tr>
          </w:tbl>
          <w:p w14:paraId="78275CF4">
            <w:pPr>
              <w:adjustRightInd w:val="0"/>
              <w:snapToGrid w:val="0"/>
              <w:spacing w:line="360" w:lineRule="auto"/>
              <w:ind w:firstLine="480" w:firstLineChars="200"/>
              <w:rPr>
                <w:color w:val="000000"/>
                <w:kern w:val="0"/>
                <w:sz w:val="24"/>
                <w:u w:val="none"/>
              </w:rPr>
            </w:pPr>
            <w:r>
              <w:rPr>
                <w:color w:val="000000"/>
                <w:kern w:val="0"/>
                <w:sz w:val="24"/>
                <w:u w:val="none"/>
              </w:rPr>
              <w:t>项目营运期</w:t>
            </w:r>
            <w:r>
              <w:rPr>
                <w:bCs/>
                <w:color w:val="000000"/>
                <w:sz w:val="24"/>
                <w:u w:val="none"/>
              </w:rPr>
              <w:t>职工生活污水经化粪池</w:t>
            </w:r>
            <w:r>
              <w:rPr>
                <w:rFonts w:hint="eastAsia"/>
                <w:bCs/>
                <w:color w:val="000000"/>
                <w:sz w:val="24"/>
                <w:u w:val="none"/>
                <w:lang w:val="en-US" w:eastAsia="zh-CN"/>
              </w:rPr>
              <w:t>处理后与生产废水一起经厂区污水处理站处理后</w:t>
            </w:r>
            <w:r>
              <w:rPr>
                <w:color w:val="000000"/>
                <w:kern w:val="0"/>
                <w:sz w:val="24"/>
                <w:u w:val="none"/>
              </w:rPr>
              <w:t>满足</w:t>
            </w:r>
            <w:r>
              <w:rPr>
                <w:rFonts w:hint="eastAsia"/>
                <w:color w:val="000000"/>
                <w:kern w:val="0"/>
                <w:sz w:val="24"/>
                <w:u w:val="none"/>
              </w:rPr>
              <w:t>《污水综合排放标准》（GB8978-1996）三级标准以及镇平县第二污水处理厂收水水质标准要求</w:t>
            </w:r>
            <w:r>
              <w:rPr>
                <w:color w:val="000000"/>
                <w:kern w:val="0"/>
                <w:sz w:val="24"/>
                <w:u w:val="none"/>
              </w:rPr>
              <w:t>后经市政污水管网进入镇平县第二污水处理厂进一步处理达到《城镇污水处理厂污染物排放标准》（GB18918-2002）一级A标准后</w:t>
            </w:r>
            <w:r>
              <w:rPr>
                <w:color w:val="000000"/>
                <w:sz w:val="24"/>
                <w:u w:val="none"/>
              </w:rPr>
              <w:t>排</w:t>
            </w:r>
            <w:r>
              <w:rPr>
                <w:rFonts w:hint="eastAsia"/>
                <w:color w:val="000000"/>
                <w:sz w:val="24"/>
                <w:u w:val="none"/>
                <w:lang w:val="en-US" w:eastAsia="zh-CN"/>
              </w:rPr>
              <w:t>放</w:t>
            </w:r>
            <w:r>
              <w:rPr>
                <w:color w:val="000000"/>
                <w:kern w:val="0"/>
                <w:sz w:val="24"/>
                <w:u w:val="none"/>
              </w:rPr>
              <w:t>。</w:t>
            </w:r>
          </w:p>
          <w:p w14:paraId="6968978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2.3</w:t>
            </w:r>
            <w:r>
              <w:rPr>
                <w:color w:val="000000" w:themeColor="text1"/>
                <w:sz w:val="24"/>
                <w14:textFill>
                  <w14:solidFill>
                    <w14:schemeClr w14:val="tx1"/>
                  </w14:solidFill>
                </w14:textFill>
              </w:rPr>
              <w:t>废水依托镇平县第二污水处理厂的可行性分析</w:t>
            </w:r>
          </w:p>
          <w:p w14:paraId="618D903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（1）镇平县第二污水处理厂简介</w:t>
            </w:r>
          </w:p>
          <w:p w14:paraId="18E0313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镇平县第二污水处理厂一期工程建设规模为2.5万m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/d，厂址位于镇平县玉源大道西侧、快速通道北侧，采用改良型氧化沟+混凝沉淀过滤工艺，主要收集镇平县产业集聚区废水。</w:t>
            </w:r>
          </w:p>
          <w:p w14:paraId="59B4A86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（2）废水依托镇平县第二污水处理厂的可行性分析</w:t>
            </w:r>
          </w:p>
          <w:p w14:paraId="0B884BD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①接管可行性分析</w:t>
            </w:r>
          </w:p>
          <w:p w14:paraId="245B7AC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lang w:val="en-US" w:eastAsia="zh-CN"/>
                <w14:textFill>
                  <w14:solidFill>
                    <w14:schemeClr w14:val="tx1"/>
                  </w14:solidFill>
                </w14:textFill>
              </w:rPr>
              <w:t>南阳市镇平县乡村振兴创业园4号楼1楼南</w:t>
            </w:r>
            <w:r>
              <w:rPr>
                <w:color w:val="000000" w:themeColor="text1"/>
                <w:sz w:val="24"/>
                <w14:textFill>
                  <w14:solidFill>
                    <w14:schemeClr w14:val="tx1"/>
                  </w14:solidFill>
                </w14:textFill>
              </w:rPr>
              <w:t>，位于镇平县第二污水处理厂收水范围内，且项目区污水管网已配套建设，因此项目</w:t>
            </w:r>
            <w:r>
              <w:rPr>
                <w:rFonts w:hint="eastAsia"/>
                <w:bCs/>
                <w:color w:val="000000" w:themeColor="text1"/>
                <w:sz w:val="24"/>
                <w14:textFill>
                  <w14:solidFill>
                    <w14:schemeClr w14:val="tx1"/>
                  </w14:solidFill>
                </w14:textFill>
              </w:rPr>
              <w:t>综合废水</w:t>
            </w:r>
            <w:r>
              <w:rPr>
                <w:color w:val="000000" w:themeColor="text1"/>
                <w:sz w:val="24"/>
                <w14:textFill>
                  <w14:solidFill>
                    <w14:schemeClr w14:val="tx1"/>
                  </w14:solidFill>
                </w14:textFill>
              </w:rPr>
              <w:t>可经市政污水管网进入镇平县第二污水处理厂。</w:t>
            </w:r>
          </w:p>
          <w:p w14:paraId="419721B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②进水水质可行性分析</w:t>
            </w:r>
          </w:p>
          <w:p w14:paraId="4F95375F">
            <w:pPr>
              <w:adjustRightInd w:val="0"/>
              <w:snapToGrid w:val="0"/>
              <w:spacing w:line="360" w:lineRule="auto"/>
              <w:ind w:firstLine="480" w:firstLineChars="200"/>
              <w:rPr>
                <w:color w:val="000000" w:themeColor="text1"/>
                <w:sz w:val="24"/>
                <w14:textFill>
                  <w14:solidFill>
                    <w14:schemeClr w14:val="tx1"/>
                  </w14:solidFill>
                </w14:textFill>
              </w:rPr>
            </w:pPr>
            <w:bookmarkStart w:id="7" w:name="_Toc11459"/>
            <w:bookmarkStart w:id="8" w:name="_Toc21740"/>
            <w:bookmarkStart w:id="9" w:name="_Toc17641"/>
            <w:bookmarkStart w:id="10" w:name="_Toc26133"/>
            <w:r>
              <w:rPr>
                <w:color w:val="000000" w:themeColor="text1"/>
                <w:sz w:val="24"/>
                <w14:textFill>
                  <w14:solidFill>
                    <w14:schemeClr w14:val="tx1"/>
                  </w14:solidFill>
                </w14:textFill>
              </w:rPr>
              <w:t>镇平县第二污水处理厂设计进水水质为</w:t>
            </w:r>
            <w:r>
              <w:rPr>
                <w:bCs/>
                <w:color w:val="000000" w:themeColor="text1"/>
                <w:sz w:val="24"/>
                <w14:textFill>
                  <w14:solidFill>
                    <w14:schemeClr w14:val="tx1"/>
                  </w14:solidFill>
                </w14:textFill>
              </w:rPr>
              <w:t>COD400mg/L、</w:t>
            </w:r>
            <w:r>
              <w:rPr>
                <w:color w:val="000000" w:themeColor="text1"/>
                <w:sz w:val="24"/>
                <w14:textFill>
                  <w14:solidFill>
                    <w14:schemeClr w14:val="tx1"/>
                  </w14:solidFill>
                </w14:textFill>
              </w:rPr>
              <w:t>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150mg/L、</w:t>
            </w:r>
            <w:r>
              <w:rPr>
                <w:bCs/>
                <w:color w:val="000000" w:themeColor="text1"/>
                <w:sz w:val="24"/>
                <w14:textFill>
                  <w14:solidFill>
                    <w14:schemeClr w14:val="tx1"/>
                  </w14:solidFill>
                </w14:textFill>
              </w:rPr>
              <w:t>SS300mg/L、NH</w:t>
            </w:r>
            <w:r>
              <w:rPr>
                <w:bCs/>
                <w:color w:val="000000" w:themeColor="text1"/>
                <w:sz w:val="24"/>
                <w:vertAlign w:val="subscript"/>
                <w14:textFill>
                  <w14:solidFill>
                    <w14:schemeClr w14:val="tx1"/>
                  </w14:solidFill>
                </w14:textFill>
              </w:rPr>
              <w:t>3</w:t>
            </w:r>
            <w:r>
              <w:rPr>
                <w:bCs/>
                <w:color w:val="000000" w:themeColor="text1"/>
                <w:sz w:val="24"/>
                <w14:textFill>
                  <w14:solidFill>
                    <w14:schemeClr w14:val="tx1"/>
                  </w14:solidFill>
                </w14:textFill>
              </w:rPr>
              <w:t>-N40mg/L，</w:t>
            </w: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综合废水</w:t>
            </w:r>
            <w:r>
              <w:rPr>
                <w:color w:val="000000" w:themeColor="text1"/>
                <w:sz w:val="24"/>
                <w14:textFill>
                  <w14:solidFill>
                    <w14:schemeClr w14:val="tx1"/>
                  </w14:solidFill>
                </w14:textFill>
              </w:rPr>
              <w:t>经处理后排放水质为COD</w:t>
            </w:r>
            <w:r>
              <w:rPr>
                <w:rFonts w:hint="default"/>
                <w:color w:val="000000" w:themeColor="text1"/>
                <w:sz w:val="24"/>
                <w:lang w:val="en-US" w:eastAsia="zh-CN"/>
                <w14:textFill>
                  <w14:solidFill>
                    <w14:schemeClr w14:val="tx1"/>
                  </w14:solidFill>
                </w14:textFill>
              </w:rPr>
              <w:t>225.871</w:t>
            </w:r>
            <w:r>
              <w:rPr>
                <w:color w:val="000000" w:themeColor="text1"/>
                <w:sz w:val="24"/>
                <w14:textFill>
                  <w14:solidFill>
                    <w14:schemeClr w14:val="tx1"/>
                  </w14:solidFill>
                </w14:textFill>
              </w:rPr>
              <w:t>mg/L、BOD</w:t>
            </w:r>
            <w:r>
              <w:rPr>
                <w:color w:val="000000" w:themeColor="text1"/>
                <w:sz w:val="24"/>
                <w:vertAlign w:val="subscript"/>
                <w14:textFill>
                  <w14:solidFill>
                    <w14:schemeClr w14:val="tx1"/>
                  </w14:solidFill>
                </w14:textFill>
              </w:rPr>
              <w:t>5</w:t>
            </w:r>
            <w:r>
              <w:rPr>
                <w:rFonts w:hint="eastAsia"/>
                <w:color w:val="000000" w:themeColor="text1"/>
                <w:sz w:val="24"/>
                <w:lang w:val="en-US" w:eastAsia="zh-CN"/>
                <w14:textFill>
                  <w14:solidFill>
                    <w14:schemeClr w14:val="tx1"/>
                  </w14:solidFill>
                </w14:textFill>
              </w:rPr>
              <w:t>145.587</w:t>
            </w:r>
            <w:r>
              <w:rPr>
                <w:color w:val="000000" w:themeColor="text1"/>
                <w:sz w:val="24"/>
                <w14:textFill>
                  <w14:solidFill>
                    <w14:schemeClr w14:val="tx1"/>
                  </w14:solidFill>
                </w14:textFill>
              </w:rPr>
              <w:t>mg/L、SS</w:t>
            </w:r>
            <w:r>
              <w:rPr>
                <w:rFonts w:hint="eastAsia"/>
                <w:color w:val="000000" w:themeColor="text1"/>
                <w:sz w:val="24"/>
                <w:lang w:val="en-US" w:eastAsia="zh-CN"/>
                <w14:textFill>
                  <w14:solidFill>
                    <w14:schemeClr w14:val="tx1"/>
                  </w14:solidFill>
                </w14:textFill>
              </w:rPr>
              <w:t>136.488</w:t>
            </w:r>
            <w:r>
              <w:rPr>
                <w:color w:val="000000" w:themeColor="text1"/>
                <w:sz w:val="24"/>
                <w14:textFill>
                  <w14:solidFill>
                    <w14:schemeClr w14:val="tx1"/>
                  </w14:solidFill>
                </w14:textFill>
              </w:rPr>
              <w:t>mg/L、NH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w:t>
            </w:r>
            <w:r>
              <w:rPr>
                <w:rFonts w:hint="default"/>
                <w:color w:val="000000" w:themeColor="text1"/>
                <w:sz w:val="24"/>
                <w:lang w:val="en-US" w:eastAsia="zh-CN"/>
                <w14:textFill>
                  <w14:solidFill>
                    <w14:schemeClr w14:val="tx1"/>
                  </w14:solidFill>
                </w14:textFill>
              </w:rPr>
              <w:t>24.000</w:t>
            </w:r>
            <w:r>
              <w:rPr>
                <w:color w:val="000000" w:themeColor="text1"/>
                <w:sz w:val="24"/>
                <w14:textFill>
                  <w14:solidFill>
                    <w14:schemeClr w14:val="tx1"/>
                  </w14:solidFill>
                </w14:textFill>
              </w:rPr>
              <w:t>mg/L</w:t>
            </w:r>
            <w:r>
              <w:rPr>
                <w:rFonts w:hint="eastAsia"/>
                <w:color w:val="000000" w:themeColor="text1"/>
                <w:sz w:val="24"/>
                <w:lang w:eastAsia="zh-CN"/>
                <w14:textFill>
                  <w14:solidFill>
                    <w14:schemeClr w14:val="tx1"/>
                  </w14:solidFill>
                </w14:textFill>
              </w:rPr>
              <w:t>、TP</w:t>
            </w:r>
            <w:r>
              <w:rPr>
                <w:rFonts w:hint="eastAsia"/>
                <w:color w:val="000000" w:themeColor="text1"/>
                <w:sz w:val="24"/>
                <w:lang w:val="en-US" w:eastAsia="zh-CN"/>
                <w14:textFill>
                  <w14:solidFill>
                    <w14:schemeClr w14:val="tx1"/>
                  </w14:solidFill>
                </w14:textFill>
              </w:rPr>
              <w:t>3.485</w:t>
            </w:r>
            <w:r>
              <w:rPr>
                <w:color w:val="000000" w:themeColor="text1"/>
                <w:sz w:val="24"/>
                <w14:textFill>
                  <w14:solidFill>
                    <w14:schemeClr w14:val="tx1"/>
                  </w14:solidFill>
                </w14:textFill>
              </w:rPr>
              <w:t>mg/L</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动植物油26.139</w:t>
            </w:r>
            <w:r>
              <w:rPr>
                <w:color w:val="000000" w:themeColor="text1"/>
                <w:sz w:val="24"/>
                <w14:textFill>
                  <w14:solidFill>
                    <w14:schemeClr w14:val="tx1"/>
                  </w14:solidFill>
                </w14:textFill>
              </w:rPr>
              <w:t>mg/L</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LAS6.099</w:t>
            </w:r>
            <w:r>
              <w:rPr>
                <w:color w:val="000000" w:themeColor="text1"/>
                <w:sz w:val="24"/>
                <w14:textFill>
                  <w14:solidFill>
                    <w14:schemeClr w14:val="tx1"/>
                  </w14:solidFill>
                </w14:textFill>
              </w:rPr>
              <w:t>mg/L，可以满足镇平县第二污水处理厂进水水质指标要求。</w:t>
            </w:r>
            <w:bookmarkEnd w:id="7"/>
            <w:bookmarkEnd w:id="8"/>
            <w:bookmarkEnd w:id="9"/>
            <w:bookmarkEnd w:id="10"/>
          </w:p>
          <w:p w14:paraId="036C0DD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③对镇平县第二污水处理厂的冲击影响</w:t>
            </w:r>
          </w:p>
          <w:p w14:paraId="35F9AF1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镇平县第二污水处理厂一期工程建设规模为2.5万m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/d，本项目外排废水量为</w:t>
            </w:r>
            <w:r>
              <w:rPr>
                <w:rFonts w:hint="eastAsia"/>
                <w:color w:val="000000" w:themeColor="text1"/>
                <w:sz w:val="24"/>
                <w:lang w:val="en-US" w:eastAsia="zh-CN"/>
                <w14:textFill>
                  <w14:solidFill>
                    <w14:schemeClr w14:val="tx1"/>
                  </w14:solidFill>
                </w14:textFill>
              </w:rPr>
              <w:t>46.625</w:t>
            </w:r>
            <w:r>
              <w:rPr>
                <w:color w:val="000000" w:themeColor="text1"/>
                <w:kern w:val="0"/>
                <w:sz w:val="24"/>
                <w:lang w:bidi="ar"/>
                <w14:textFill>
                  <w14:solidFill>
                    <w14:schemeClr w14:val="tx1"/>
                  </w14:solidFill>
                </w14:textFill>
              </w:rPr>
              <w:t>m</w:t>
            </w:r>
            <w:r>
              <w:rPr>
                <w:rFonts w:hint="eastAsia"/>
                <w:color w:val="000000" w:themeColor="text1"/>
                <w:kern w:val="0"/>
                <w:sz w:val="24"/>
                <w:vertAlign w:val="superscript"/>
                <w:lang w:bidi="ar"/>
                <w14:textFill>
                  <w14:solidFill>
                    <w14:schemeClr w14:val="tx1"/>
                  </w14:solidFill>
                </w14:textFill>
              </w:rPr>
              <w:t>3</w:t>
            </w:r>
            <w:r>
              <w:rPr>
                <w:color w:val="000000" w:themeColor="text1"/>
                <w:kern w:val="0"/>
                <w:sz w:val="24"/>
                <w:lang w:bidi="ar"/>
                <w14:textFill>
                  <w14:solidFill>
                    <w14:schemeClr w14:val="tx1"/>
                  </w14:solidFill>
                </w14:textFill>
              </w:rPr>
              <w:t>/d</w:t>
            </w:r>
            <w:r>
              <w:rPr>
                <w:color w:val="000000" w:themeColor="text1"/>
                <w:sz w:val="24"/>
                <w14:textFill>
                  <w14:solidFill>
                    <w14:schemeClr w14:val="tx1"/>
                  </w14:solidFill>
                </w14:textFill>
              </w:rPr>
              <w:t>，在镇平县第二污水处理厂的进水污染负荷量（2.5万m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/d）中所占的比重很小，因此从水量分析，本项目</w:t>
            </w:r>
            <w:r>
              <w:rPr>
                <w:rFonts w:hint="eastAsia"/>
                <w:color w:val="000000" w:themeColor="text1"/>
                <w:sz w:val="24"/>
                <w14:textFill>
                  <w14:solidFill>
                    <w14:schemeClr w14:val="tx1"/>
                  </w14:solidFill>
                </w14:textFill>
              </w:rPr>
              <w:t>综合废水</w:t>
            </w:r>
            <w:r>
              <w:rPr>
                <w:color w:val="000000" w:themeColor="text1"/>
                <w:sz w:val="24"/>
                <w14:textFill>
                  <w14:solidFill>
                    <w14:schemeClr w14:val="tx1"/>
                  </w14:solidFill>
                </w14:textFill>
              </w:rPr>
              <w:t>接管镇平县第二污水处理厂是可行的，不会对污水处理厂的正常运行产生冲击。</w:t>
            </w:r>
            <w:bookmarkStart w:id="11" w:name="_Toc14106"/>
            <w:bookmarkStart w:id="12" w:name="_Toc11065"/>
            <w:bookmarkStart w:id="13" w:name="_Toc17917"/>
            <w:bookmarkStart w:id="14" w:name="_Toc20815"/>
          </w:p>
          <w:p w14:paraId="01784ED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综上，本项目营运期废水经采取措施后不会对周围地表水产生不良影响。</w:t>
            </w:r>
            <w:bookmarkEnd w:id="11"/>
            <w:bookmarkEnd w:id="12"/>
            <w:bookmarkEnd w:id="13"/>
            <w:bookmarkEnd w:id="14"/>
          </w:p>
          <w:p w14:paraId="32F9A40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因此，本项目营运期</w:t>
            </w:r>
            <w:r>
              <w:rPr>
                <w:rFonts w:hint="eastAsia"/>
                <w:color w:val="000000" w:themeColor="text1"/>
                <w:sz w:val="24"/>
                <w14:textFill>
                  <w14:solidFill>
                    <w14:schemeClr w14:val="tx1"/>
                  </w14:solidFill>
                </w14:textFill>
              </w:rPr>
              <w:t>生产和生活废水</w:t>
            </w:r>
            <w:r>
              <w:rPr>
                <w:color w:val="000000" w:themeColor="text1"/>
                <w:sz w:val="24"/>
                <w14:textFill>
                  <w14:solidFill>
                    <w14:schemeClr w14:val="tx1"/>
                  </w14:solidFill>
                </w14:textFill>
              </w:rPr>
              <w:t>依托镇平县第二污水处理厂处理是可行的。</w:t>
            </w:r>
          </w:p>
          <w:p w14:paraId="253E598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2.4废水类别、污染物及污染治理设施信息表</w:t>
            </w:r>
          </w:p>
          <w:p w14:paraId="5DA50053">
            <w:pPr>
              <w:widowControl/>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2</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废水类别、污染物及污染治理设施信息表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4"/>
              <w:gridCol w:w="1356"/>
              <w:gridCol w:w="779"/>
              <w:gridCol w:w="457"/>
              <w:gridCol w:w="919"/>
              <w:gridCol w:w="735"/>
              <w:gridCol w:w="1190"/>
              <w:gridCol w:w="945"/>
              <w:gridCol w:w="923"/>
              <w:gridCol w:w="707"/>
            </w:tblGrid>
            <w:tr w14:paraId="451B6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Merge w:val="restart"/>
                  <w:vAlign w:val="center"/>
                </w:tcPr>
                <w:p w14:paraId="3F2A6B87">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废水类别</w:t>
                  </w:r>
                </w:p>
              </w:tc>
              <w:tc>
                <w:tcPr>
                  <w:tcW w:w="736" w:type="pct"/>
                  <w:vMerge w:val="restart"/>
                  <w:vAlign w:val="center"/>
                </w:tcPr>
                <w:p w14:paraId="78D6F810">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污染物种类</w:t>
                  </w:r>
                </w:p>
              </w:tc>
              <w:tc>
                <w:tcPr>
                  <w:tcW w:w="423" w:type="pct"/>
                  <w:vMerge w:val="restart"/>
                  <w:vAlign w:val="center"/>
                </w:tcPr>
                <w:p w14:paraId="5003B894">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排放去向</w:t>
                  </w:r>
                </w:p>
              </w:tc>
              <w:tc>
                <w:tcPr>
                  <w:tcW w:w="248" w:type="pct"/>
                  <w:vMerge w:val="restart"/>
                  <w:vAlign w:val="center"/>
                </w:tcPr>
                <w:p w14:paraId="55DEFE4B">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排放规律</w:t>
                  </w:r>
                </w:p>
              </w:tc>
              <w:tc>
                <w:tcPr>
                  <w:tcW w:w="1544" w:type="pct"/>
                  <w:gridSpan w:val="3"/>
                  <w:vAlign w:val="center"/>
                </w:tcPr>
                <w:p w14:paraId="3537920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污染治理设施</w:t>
                  </w:r>
                </w:p>
              </w:tc>
              <w:tc>
                <w:tcPr>
                  <w:tcW w:w="513" w:type="pct"/>
                  <w:vMerge w:val="restart"/>
                  <w:vAlign w:val="center"/>
                </w:tcPr>
                <w:p w14:paraId="2690C1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排放口编号</w:t>
                  </w:r>
                </w:p>
              </w:tc>
              <w:tc>
                <w:tcPr>
                  <w:tcW w:w="501" w:type="pct"/>
                  <w:vMerge w:val="restart"/>
                  <w:vAlign w:val="center"/>
                </w:tcPr>
                <w:p w14:paraId="0FB360B5">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排放口设置是否符合要求</w:t>
                  </w:r>
                </w:p>
              </w:tc>
              <w:tc>
                <w:tcPr>
                  <w:tcW w:w="384" w:type="pct"/>
                  <w:vMerge w:val="restart"/>
                  <w:vAlign w:val="center"/>
                </w:tcPr>
                <w:p w14:paraId="2E9C1D1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排放口类型</w:t>
                  </w:r>
                </w:p>
              </w:tc>
            </w:tr>
            <w:tr w14:paraId="4D88E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3206C841">
                  <w:pPr>
                    <w:jc w:val="center"/>
                    <w:rPr>
                      <w:color w:val="000000" w:themeColor="text1"/>
                      <w:szCs w:val="21"/>
                      <w14:textFill>
                        <w14:solidFill>
                          <w14:schemeClr w14:val="tx1"/>
                        </w14:solidFill>
                      </w14:textFill>
                    </w:rPr>
                  </w:pPr>
                </w:p>
              </w:tc>
              <w:tc>
                <w:tcPr>
                  <w:tcW w:w="736" w:type="pct"/>
                  <w:vMerge w:val="continue"/>
                  <w:vAlign w:val="center"/>
                </w:tcPr>
                <w:p w14:paraId="6839D847">
                  <w:pPr>
                    <w:jc w:val="center"/>
                    <w:rPr>
                      <w:color w:val="000000" w:themeColor="text1"/>
                      <w:szCs w:val="21"/>
                      <w14:textFill>
                        <w14:solidFill>
                          <w14:schemeClr w14:val="tx1"/>
                        </w14:solidFill>
                      </w14:textFill>
                    </w:rPr>
                  </w:pPr>
                </w:p>
              </w:tc>
              <w:tc>
                <w:tcPr>
                  <w:tcW w:w="423" w:type="pct"/>
                  <w:vMerge w:val="continue"/>
                  <w:vAlign w:val="center"/>
                </w:tcPr>
                <w:p w14:paraId="0CC67144">
                  <w:pPr>
                    <w:jc w:val="center"/>
                    <w:rPr>
                      <w:color w:val="000000" w:themeColor="text1"/>
                      <w:szCs w:val="21"/>
                      <w14:textFill>
                        <w14:solidFill>
                          <w14:schemeClr w14:val="tx1"/>
                        </w14:solidFill>
                      </w14:textFill>
                    </w:rPr>
                  </w:pPr>
                </w:p>
              </w:tc>
              <w:tc>
                <w:tcPr>
                  <w:tcW w:w="248" w:type="pct"/>
                  <w:vMerge w:val="continue"/>
                  <w:vAlign w:val="center"/>
                </w:tcPr>
                <w:p w14:paraId="3654DA28">
                  <w:pPr>
                    <w:jc w:val="center"/>
                    <w:rPr>
                      <w:color w:val="000000" w:themeColor="text1"/>
                      <w:szCs w:val="21"/>
                      <w14:textFill>
                        <w14:solidFill>
                          <w14:schemeClr w14:val="tx1"/>
                        </w14:solidFill>
                      </w14:textFill>
                    </w:rPr>
                  </w:pPr>
                </w:p>
              </w:tc>
              <w:tc>
                <w:tcPr>
                  <w:tcW w:w="499" w:type="pct"/>
                  <w:vAlign w:val="center"/>
                </w:tcPr>
                <w:p w14:paraId="1930984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污染治理设施编号</w:t>
                  </w:r>
                </w:p>
              </w:tc>
              <w:tc>
                <w:tcPr>
                  <w:tcW w:w="399" w:type="pct"/>
                  <w:vAlign w:val="center"/>
                </w:tcPr>
                <w:p w14:paraId="68C5597D">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污染治理设施名称</w:t>
                  </w:r>
                </w:p>
              </w:tc>
              <w:tc>
                <w:tcPr>
                  <w:tcW w:w="646" w:type="pct"/>
                  <w:vAlign w:val="center"/>
                </w:tcPr>
                <w:p w14:paraId="1B1909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污染治理设施工艺</w:t>
                  </w:r>
                </w:p>
              </w:tc>
              <w:tc>
                <w:tcPr>
                  <w:tcW w:w="513" w:type="pct"/>
                  <w:vMerge w:val="continue"/>
                  <w:vAlign w:val="center"/>
                </w:tcPr>
                <w:p w14:paraId="32FFC8AF">
                  <w:pPr>
                    <w:jc w:val="center"/>
                    <w:rPr>
                      <w:color w:val="000000" w:themeColor="text1"/>
                      <w:szCs w:val="21"/>
                      <w14:textFill>
                        <w14:solidFill>
                          <w14:schemeClr w14:val="tx1"/>
                        </w14:solidFill>
                      </w14:textFill>
                    </w:rPr>
                  </w:pPr>
                </w:p>
              </w:tc>
              <w:tc>
                <w:tcPr>
                  <w:tcW w:w="501" w:type="pct"/>
                  <w:vMerge w:val="continue"/>
                  <w:vAlign w:val="center"/>
                </w:tcPr>
                <w:p w14:paraId="761C2497">
                  <w:pPr>
                    <w:jc w:val="center"/>
                    <w:rPr>
                      <w:color w:val="000000" w:themeColor="text1"/>
                      <w:szCs w:val="21"/>
                      <w14:textFill>
                        <w14:solidFill>
                          <w14:schemeClr w14:val="tx1"/>
                        </w14:solidFill>
                      </w14:textFill>
                    </w:rPr>
                  </w:pPr>
                </w:p>
              </w:tc>
              <w:tc>
                <w:tcPr>
                  <w:tcW w:w="384" w:type="pct"/>
                  <w:vMerge w:val="continue"/>
                  <w:vAlign w:val="center"/>
                </w:tcPr>
                <w:p w14:paraId="44D49D09">
                  <w:pPr>
                    <w:jc w:val="center"/>
                    <w:rPr>
                      <w:color w:val="000000" w:themeColor="text1"/>
                      <w:szCs w:val="21"/>
                      <w14:textFill>
                        <w14:solidFill>
                          <w14:schemeClr w14:val="tx1"/>
                        </w14:solidFill>
                      </w14:textFill>
                    </w:rPr>
                  </w:pPr>
                </w:p>
              </w:tc>
            </w:tr>
            <w:tr w14:paraId="174CF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Align w:val="center"/>
                </w:tcPr>
                <w:p w14:paraId="0C611C3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生产废水</w:t>
                  </w:r>
                </w:p>
              </w:tc>
              <w:tc>
                <w:tcPr>
                  <w:tcW w:w="736" w:type="pct"/>
                  <w:tcBorders>
                    <w:bottom w:val="single" w:color="000000" w:sz="6" w:space="0"/>
                  </w:tcBorders>
                  <w:vAlign w:val="center"/>
                </w:tcPr>
                <w:p w14:paraId="39826E21">
                  <w:pPr>
                    <w:jc w:val="center"/>
                    <w:rPr>
                      <w:color w:val="000000" w:themeColor="text1"/>
                      <w:szCs w:val="21"/>
                      <w14:textFill>
                        <w14:solidFill>
                          <w14:schemeClr w14:val="tx1"/>
                        </w14:solidFill>
                      </w14:textFill>
                    </w:rPr>
                  </w:pPr>
                  <w:r>
                    <w:rPr>
                      <w:color w:val="000000" w:themeColor="text1"/>
                      <w:sz w:val="21"/>
                      <w:szCs w:val="21"/>
                      <w14:textFill>
                        <w14:solidFill>
                          <w14:schemeClr w14:val="tx1"/>
                        </w14:solidFill>
                      </w14:textFill>
                    </w:rPr>
                    <w:t>COD、BOD</w:t>
                  </w:r>
                  <w:r>
                    <w:rPr>
                      <w:color w:val="000000" w:themeColor="text1"/>
                      <w:sz w:val="21"/>
                      <w:szCs w:val="21"/>
                      <w:vertAlign w:val="subscript"/>
                      <w14:textFill>
                        <w14:solidFill>
                          <w14:schemeClr w14:val="tx1"/>
                        </w14:solidFill>
                      </w14:textFill>
                    </w:rPr>
                    <w:t>5</w:t>
                  </w:r>
                  <w:r>
                    <w:rPr>
                      <w:color w:val="000000" w:themeColor="text1"/>
                      <w:sz w:val="21"/>
                      <w:szCs w:val="21"/>
                      <w14:textFill>
                        <w14:solidFill>
                          <w14:schemeClr w14:val="tx1"/>
                        </w14:solidFill>
                      </w14:textFill>
                    </w:rPr>
                    <w:t>、SS、NH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w:t>
                  </w:r>
                  <w:r>
                    <w:rPr>
                      <w:rFonts w:hint="eastAsia"/>
                      <w:bCs/>
                      <w:color w:val="000000" w:themeColor="text1"/>
                      <w:sz w:val="21"/>
                      <w:szCs w:val="21"/>
                      <w14:textFill>
                        <w14:solidFill>
                          <w14:schemeClr w14:val="tx1"/>
                        </w14:solidFill>
                      </w14:textFill>
                    </w:rPr>
                    <w:t>TP</w:t>
                  </w:r>
                  <w:r>
                    <w:rPr>
                      <w:rFonts w:hint="eastAsia"/>
                      <w:color w:val="000000" w:themeColor="text1"/>
                      <w:sz w:val="21"/>
                      <w:szCs w:val="21"/>
                      <w14:textFill>
                        <w14:solidFill>
                          <w14:schemeClr w14:val="tx1"/>
                        </w14:solidFill>
                      </w14:textFill>
                    </w:rPr>
                    <w:t>、动植物油</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LAS</w:t>
                  </w:r>
                </w:p>
              </w:tc>
              <w:tc>
                <w:tcPr>
                  <w:tcW w:w="423" w:type="pct"/>
                  <w:vMerge w:val="restart"/>
                  <w:vAlign w:val="center"/>
                </w:tcPr>
                <w:p w14:paraId="1A05807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镇平县第二污水处理厂</w:t>
                  </w:r>
                </w:p>
              </w:tc>
              <w:tc>
                <w:tcPr>
                  <w:tcW w:w="248" w:type="pct"/>
                  <w:vMerge w:val="restart"/>
                  <w:vAlign w:val="center"/>
                </w:tcPr>
                <w:p w14:paraId="276B656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间歇排放</w:t>
                  </w:r>
                </w:p>
              </w:tc>
              <w:tc>
                <w:tcPr>
                  <w:tcW w:w="499" w:type="pct"/>
                  <w:vAlign w:val="center"/>
                </w:tcPr>
                <w:p w14:paraId="698CDB0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TW001</w:t>
                  </w:r>
                </w:p>
              </w:tc>
              <w:tc>
                <w:tcPr>
                  <w:tcW w:w="399" w:type="pct"/>
                  <w:vAlign w:val="center"/>
                </w:tcPr>
                <w:p w14:paraId="055324E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污水处理站</w:t>
                  </w:r>
                </w:p>
              </w:tc>
              <w:tc>
                <w:tcPr>
                  <w:tcW w:w="646" w:type="pct"/>
                  <w:shd w:val="clear" w:color="auto" w:fill="auto"/>
                  <w:vAlign w:val="center"/>
                </w:tcPr>
                <w:p w14:paraId="0781E6DF">
                  <w:pPr>
                    <w:jc w:val="center"/>
                    <w:rPr>
                      <w:color w:val="000000" w:themeColor="text1"/>
                      <w:szCs w:val="21"/>
                      <w14:textFill>
                        <w14:solidFill>
                          <w14:schemeClr w14:val="tx1"/>
                        </w14:solidFill>
                      </w14:textFill>
                    </w:rPr>
                  </w:pPr>
                  <w:r>
                    <w:rPr>
                      <w:rFonts w:hint="default" w:ascii="Times New Roman" w:hAnsi="Times New Roman" w:eastAsia="宋体" w:cs="Times New Roman"/>
                      <w:color w:val="000000"/>
                      <w:sz w:val="21"/>
                      <w:szCs w:val="21"/>
                      <w:u w:val="none"/>
                      <w:lang w:val="en-US" w:eastAsia="zh-CN"/>
                    </w:rPr>
                    <w:t>格栅+隔油池+A/O</w:t>
                  </w:r>
                  <w:r>
                    <w:rPr>
                      <w:rFonts w:hint="eastAsia" w:cs="Times New Roman"/>
                      <w:color w:val="000000"/>
                      <w:sz w:val="21"/>
                      <w:szCs w:val="21"/>
                      <w:u w:val="none"/>
                      <w:lang w:val="en-US" w:eastAsia="zh-CN"/>
                    </w:rPr>
                    <w:t>+沉淀</w:t>
                  </w:r>
                  <w:r>
                    <w:rPr>
                      <w:color w:val="000000" w:themeColor="text1"/>
                      <w:szCs w:val="21"/>
                      <w14:textFill>
                        <w14:solidFill>
                          <w14:schemeClr w14:val="tx1"/>
                        </w14:solidFill>
                      </w14:textFill>
                    </w:rPr>
                    <w:t>池</w:t>
                  </w:r>
                </w:p>
              </w:tc>
              <w:tc>
                <w:tcPr>
                  <w:tcW w:w="513" w:type="pct"/>
                  <w:vMerge w:val="restart"/>
                  <w:vAlign w:val="center"/>
                </w:tcPr>
                <w:p w14:paraId="6AA113E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DW001</w:t>
                  </w:r>
                </w:p>
              </w:tc>
              <w:tc>
                <w:tcPr>
                  <w:tcW w:w="501" w:type="pct"/>
                  <w:vMerge w:val="restart"/>
                  <w:vAlign w:val="center"/>
                </w:tcPr>
                <w:p w14:paraId="755407F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p w14:paraId="6AFDEFC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□否</w:t>
                  </w:r>
                </w:p>
              </w:tc>
              <w:tc>
                <w:tcPr>
                  <w:tcW w:w="384" w:type="pct"/>
                  <w:vMerge w:val="restart"/>
                  <w:vAlign w:val="center"/>
                </w:tcPr>
                <w:p w14:paraId="7048279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r>
            <w:tr w14:paraId="090BC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Align w:val="center"/>
                </w:tcPr>
                <w:p w14:paraId="6EBD4EC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生活污水</w:t>
                  </w:r>
                </w:p>
              </w:tc>
              <w:tc>
                <w:tcPr>
                  <w:tcW w:w="736" w:type="pct"/>
                  <w:tcBorders>
                    <w:top w:val="single" w:color="000000" w:sz="6" w:space="0"/>
                    <w:bottom w:val="single" w:color="000000" w:sz="6" w:space="0"/>
                  </w:tcBorders>
                  <w:vAlign w:val="center"/>
                </w:tcPr>
                <w:p w14:paraId="538A6C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423" w:type="pct"/>
                  <w:vMerge w:val="continue"/>
                  <w:vAlign w:val="center"/>
                </w:tcPr>
                <w:p w14:paraId="5A2DA636">
                  <w:pPr>
                    <w:jc w:val="center"/>
                    <w:rPr>
                      <w:color w:val="000000" w:themeColor="text1"/>
                      <w:szCs w:val="21"/>
                      <w14:textFill>
                        <w14:solidFill>
                          <w14:schemeClr w14:val="tx1"/>
                        </w14:solidFill>
                      </w14:textFill>
                    </w:rPr>
                  </w:pPr>
                </w:p>
              </w:tc>
              <w:tc>
                <w:tcPr>
                  <w:tcW w:w="248" w:type="pct"/>
                  <w:vMerge w:val="continue"/>
                  <w:vAlign w:val="center"/>
                </w:tcPr>
                <w:p w14:paraId="5BBCB632">
                  <w:pPr>
                    <w:jc w:val="center"/>
                    <w:rPr>
                      <w:color w:val="000000" w:themeColor="text1"/>
                      <w:szCs w:val="21"/>
                      <w14:textFill>
                        <w14:solidFill>
                          <w14:schemeClr w14:val="tx1"/>
                        </w14:solidFill>
                      </w14:textFill>
                    </w:rPr>
                  </w:pPr>
                </w:p>
              </w:tc>
              <w:tc>
                <w:tcPr>
                  <w:tcW w:w="499" w:type="pct"/>
                  <w:vAlign w:val="center"/>
                </w:tcPr>
                <w:p w14:paraId="30946B9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TW002</w:t>
                  </w:r>
                </w:p>
              </w:tc>
              <w:tc>
                <w:tcPr>
                  <w:tcW w:w="399" w:type="pct"/>
                  <w:vAlign w:val="center"/>
                </w:tcPr>
                <w:p w14:paraId="3F16EFC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化粪池</w:t>
                  </w:r>
                </w:p>
              </w:tc>
              <w:tc>
                <w:tcPr>
                  <w:tcW w:w="646" w:type="pct"/>
                  <w:vAlign w:val="center"/>
                </w:tcPr>
                <w:p w14:paraId="71F1112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厌氧</w:t>
                  </w:r>
                </w:p>
              </w:tc>
              <w:tc>
                <w:tcPr>
                  <w:tcW w:w="513" w:type="pct"/>
                  <w:vMerge w:val="continue"/>
                  <w:vAlign w:val="center"/>
                </w:tcPr>
                <w:p w14:paraId="7334C8AA">
                  <w:pPr>
                    <w:jc w:val="center"/>
                    <w:rPr>
                      <w:color w:val="000000" w:themeColor="text1"/>
                      <w:szCs w:val="21"/>
                      <w14:textFill>
                        <w14:solidFill>
                          <w14:schemeClr w14:val="tx1"/>
                        </w14:solidFill>
                      </w14:textFill>
                    </w:rPr>
                  </w:pPr>
                </w:p>
              </w:tc>
              <w:tc>
                <w:tcPr>
                  <w:tcW w:w="501" w:type="pct"/>
                  <w:vMerge w:val="continue"/>
                  <w:vAlign w:val="center"/>
                </w:tcPr>
                <w:p w14:paraId="3D41B6B9">
                  <w:pPr>
                    <w:jc w:val="center"/>
                    <w:rPr>
                      <w:color w:val="000000" w:themeColor="text1"/>
                      <w:szCs w:val="21"/>
                      <w14:textFill>
                        <w14:solidFill>
                          <w14:schemeClr w14:val="tx1"/>
                        </w14:solidFill>
                      </w14:textFill>
                    </w:rPr>
                  </w:pPr>
                </w:p>
              </w:tc>
              <w:tc>
                <w:tcPr>
                  <w:tcW w:w="384" w:type="pct"/>
                  <w:vMerge w:val="continue"/>
                  <w:vAlign w:val="center"/>
                </w:tcPr>
                <w:p w14:paraId="32D181A4">
                  <w:pPr>
                    <w:jc w:val="center"/>
                    <w:rPr>
                      <w:color w:val="000000" w:themeColor="text1"/>
                      <w:szCs w:val="21"/>
                      <w14:textFill>
                        <w14:solidFill>
                          <w14:schemeClr w14:val="tx1"/>
                        </w14:solidFill>
                      </w14:textFill>
                    </w:rPr>
                  </w:pPr>
                </w:p>
              </w:tc>
            </w:tr>
          </w:tbl>
          <w:p w14:paraId="492BE0D7">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2.5废水间接排放口基本情况表</w:t>
            </w:r>
          </w:p>
          <w:p w14:paraId="40C55B3F">
            <w:pPr>
              <w:widowControl/>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3</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废水间接排放口基本情况表</w:t>
            </w:r>
          </w:p>
          <w:tbl>
            <w:tblPr>
              <w:tblStyle w:val="2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63"/>
              <w:gridCol w:w="1332"/>
              <w:gridCol w:w="1229"/>
              <w:gridCol w:w="1052"/>
              <w:gridCol w:w="997"/>
              <w:gridCol w:w="497"/>
              <w:gridCol w:w="497"/>
              <w:gridCol w:w="792"/>
              <w:gridCol w:w="779"/>
              <w:gridCol w:w="1268"/>
            </w:tblGrid>
            <w:tr w14:paraId="38402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4" w:type="pct"/>
                  <w:vMerge w:val="restart"/>
                  <w:tcMar>
                    <w:top w:w="0" w:type="dxa"/>
                    <w:left w:w="28" w:type="dxa"/>
                    <w:bottom w:w="0" w:type="dxa"/>
                    <w:right w:w="28" w:type="dxa"/>
                  </w:tcMar>
                  <w:vAlign w:val="center"/>
                </w:tcPr>
                <w:p w14:paraId="3012CBB8">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排放口编号</w:t>
                  </w:r>
                </w:p>
              </w:tc>
              <w:tc>
                <w:tcPr>
                  <w:tcW w:w="1390" w:type="pct"/>
                  <w:gridSpan w:val="2"/>
                  <w:tcMar>
                    <w:top w:w="0" w:type="dxa"/>
                    <w:left w:w="28" w:type="dxa"/>
                    <w:bottom w:w="0" w:type="dxa"/>
                    <w:right w:w="28" w:type="dxa"/>
                  </w:tcMar>
                  <w:vAlign w:val="center"/>
                </w:tcPr>
                <w:p w14:paraId="44E3757A">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排放口地理坐标</w:t>
                  </w:r>
                </w:p>
              </w:tc>
              <w:tc>
                <w:tcPr>
                  <w:tcW w:w="571" w:type="pct"/>
                  <w:vMerge w:val="restart"/>
                  <w:tcMar>
                    <w:top w:w="0" w:type="dxa"/>
                    <w:left w:w="28" w:type="dxa"/>
                    <w:bottom w:w="0" w:type="dxa"/>
                    <w:right w:w="28" w:type="dxa"/>
                  </w:tcMar>
                  <w:vAlign w:val="center"/>
                </w:tcPr>
                <w:p w14:paraId="1425AC1D">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废水排放量m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541" w:type="pct"/>
                  <w:vMerge w:val="restart"/>
                  <w:tcMar>
                    <w:top w:w="0" w:type="dxa"/>
                    <w:left w:w="28" w:type="dxa"/>
                    <w:bottom w:w="0" w:type="dxa"/>
                    <w:right w:w="28" w:type="dxa"/>
                  </w:tcMar>
                  <w:vAlign w:val="center"/>
                </w:tcPr>
                <w:p w14:paraId="4BC5D214">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w:t>
                  </w:r>
                </w:p>
                <w:p w14:paraId="1F10E598">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去向</w:t>
                  </w:r>
                </w:p>
              </w:tc>
              <w:tc>
                <w:tcPr>
                  <w:tcW w:w="270" w:type="pct"/>
                  <w:vMerge w:val="restart"/>
                  <w:tcMar>
                    <w:top w:w="0" w:type="dxa"/>
                    <w:left w:w="28" w:type="dxa"/>
                    <w:bottom w:w="0" w:type="dxa"/>
                    <w:right w:w="28" w:type="dxa"/>
                  </w:tcMar>
                  <w:vAlign w:val="center"/>
                </w:tcPr>
                <w:p w14:paraId="27BFF8AC">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排放规律</w:t>
                  </w:r>
                </w:p>
              </w:tc>
              <w:tc>
                <w:tcPr>
                  <w:tcW w:w="270" w:type="pct"/>
                  <w:vMerge w:val="restart"/>
                  <w:tcMar>
                    <w:top w:w="0" w:type="dxa"/>
                    <w:left w:w="28" w:type="dxa"/>
                    <w:bottom w:w="0" w:type="dxa"/>
                    <w:right w:w="28" w:type="dxa"/>
                  </w:tcMar>
                  <w:vAlign w:val="center"/>
                </w:tcPr>
                <w:p w14:paraId="60F59DA3">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间歇排放时段</w:t>
                  </w:r>
                </w:p>
              </w:tc>
              <w:tc>
                <w:tcPr>
                  <w:tcW w:w="1541" w:type="pct"/>
                  <w:gridSpan w:val="3"/>
                  <w:tcMar>
                    <w:top w:w="0" w:type="dxa"/>
                    <w:left w:w="28" w:type="dxa"/>
                    <w:bottom w:w="0" w:type="dxa"/>
                    <w:right w:w="28" w:type="dxa"/>
                  </w:tcMar>
                  <w:vAlign w:val="center"/>
                </w:tcPr>
                <w:p w14:paraId="33E1F7D1">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受纳污水处理厂信息</w:t>
                  </w:r>
                </w:p>
              </w:tc>
            </w:tr>
            <w:tr w14:paraId="506E3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4" w:type="pct"/>
                  <w:vMerge w:val="continue"/>
                  <w:tcMar>
                    <w:top w:w="0" w:type="dxa"/>
                    <w:left w:w="28" w:type="dxa"/>
                    <w:bottom w:w="0" w:type="dxa"/>
                    <w:right w:w="28" w:type="dxa"/>
                  </w:tcMar>
                  <w:vAlign w:val="center"/>
                </w:tcPr>
                <w:p w14:paraId="18EDAFEC">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723" w:type="pct"/>
                  <w:tcMar>
                    <w:top w:w="0" w:type="dxa"/>
                    <w:left w:w="28" w:type="dxa"/>
                    <w:bottom w:w="0" w:type="dxa"/>
                    <w:right w:w="28" w:type="dxa"/>
                  </w:tcMar>
                  <w:vAlign w:val="center"/>
                </w:tcPr>
                <w:p w14:paraId="19A9D180">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经度</w:t>
                  </w:r>
                </w:p>
              </w:tc>
              <w:tc>
                <w:tcPr>
                  <w:tcW w:w="667" w:type="pct"/>
                  <w:tcMar>
                    <w:top w:w="0" w:type="dxa"/>
                    <w:left w:w="28" w:type="dxa"/>
                    <w:bottom w:w="0" w:type="dxa"/>
                    <w:right w:w="28" w:type="dxa"/>
                  </w:tcMar>
                  <w:vAlign w:val="center"/>
                </w:tcPr>
                <w:p w14:paraId="30438B9A">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纬度</w:t>
                  </w:r>
                </w:p>
              </w:tc>
              <w:tc>
                <w:tcPr>
                  <w:tcW w:w="571" w:type="pct"/>
                  <w:vMerge w:val="continue"/>
                  <w:tcMar>
                    <w:top w:w="0" w:type="dxa"/>
                    <w:left w:w="28" w:type="dxa"/>
                    <w:bottom w:w="0" w:type="dxa"/>
                    <w:right w:w="28" w:type="dxa"/>
                  </w:tcMar>
                  <w:vAlign w:val="center"/>
                </w:tcPr>
                <w:p w14:paraId="5E112762">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541" w:type="pct"/>
                  <w:vMerge w:val="continue"/>
                  <w:tcMar>
                    <w:top w:w="0" w:type="dxa"/>
                    <w:left w:w="28" w:type="dxa"/>
                    <w:bottom w:w="0" w:type="dxa"/>
                    <w:right w:w="28" w:type="dxa"/>
                  </w:tcMar>
                  <w:vAlign w:val="center"/>
                </w:tcPr>
                <w:p w14:paraId="650E1FB8">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65D852B9">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77E7F646">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430" w:type="pct"/>
                  <w:tcMar>
                    <w:top w:w="0" w:type="dxa"/>
                    <w:left w:w="28" w:type="dxa"/>
                    <w:bottom w:w="0" w:type="dxa"/>
                    <w:right w:w="28" w:type="dxa"/>
                  </w:tcMar>
                  <w:vAlign w:val="center"/>
                </w:tcPr>
                <w:p w14:paraId="15553478">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名称</w:t>
                  </w:r>
                </w:p>
              </w:tc>
              <w:tc>
                <w:tcPr>
                  <w:tcW w:w="423" w:type="pct"/>
                  <w:tcMar>
                    <w:top w:w="0" w:type="dxa"/>
                    <w:left w:w="28" w:type="dxa"/>
                    <w:bottom w:w="0" w:type="dxa"/>
                    <w:right w:w="28" w:type="dxa"/>
                  </w:tcMar>
                  <w:vAlign w:val="center"/>
                </w:tcPr>
                <w:p w14:paraId="0D61B922">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污染物种类</w:t>
                  </w:r>
                </w:p>
              </w:tc>
              <w:tc>
                <w:tcPr>
                  <w:tcW w:w="687" w:type="pct"/>
                  <w:tcMar>
                    <w:top w:w="0" w:type="dxa"/>
                    <w:left w:w="28" w:type="dxa"/>
                    <w:bottom w:w="0" w:type="dxa"/>
                    <w:right w:w="28" w:type="dxa"/>
                  </w:tcMar>
                  <w:vAlign w:val="center"/>
                </w:tcPr>
                <w:p w14:paraId="5E6671E6">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国家或地方污染物排放标准浓度（mg/L）</w:t>
                  </w:r>
                </w:p>
              </w:tc>
            </w:tr>
            <w:tr w14:paraId="60462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4" w:type="pct"/>
                  <w:vMerge w:val="restart"/>
                  <w:tcMar>
                    <w:top w:w="0" w:type="dxa"/>
                    <w:left w:w="28" w:type="dxa"/>
                    <w:bottom w:w="0" w:type="dxa"/>
                    <w:right w:w="28" w:type="dxa"/>
                  </w:tcMar>
                  <w:vAlign w:val="center"/>
                </w:tcPr>
                <w:p w14:paraId="7378404A">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DW001</w:t>
                  </w:r>
                </w:p>
              </w:tc>
              <w:tc>
                <w:tcPr>
                  <w:tcW w:w="723" w:type="pct"/>
                  <w:vMerge w:val="restart"/>
                  <w:tcMar>
                    <w:top w:w="0" w:type="dxa"/>
                    <w:left w:w="28" w:type="dxa"/>
                    <w:bottom w:w="0" w:type="dxa"/>
                    <w:right w:w="28" w:type="dxa"/>
                  </w:tcMar>
                  <w:vAlign w:val="center"/>
                </w:tcPr>
                <w:p w14:paraId="21AD8CA9">
                  <w:pPr>
                    <w:tabs>
                      <w:tab w:val="left" w:pos="4500"/>
                    </w:tabs>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112.18797350</w:t>
                  </w:r>
                </w:p>
              </w:tc>
              <w:tc>
                <w:tcPr>
                  <w:tcW w:w="667" w:type="pct"/>
                  <w:vMerge w:val="restart"/>
                  <w:tcMar>
                    <w:top w:w="0" w:type="dxa"/>
                    <w:left w:w="28" w:type="dxa"/>
                    <w:bottom w:w="0" w:type="dxa"/>
                    <w:right w:w="28" w:type="dxa"/>
                  </w:tcMar>
                  <w:vAlign w:val="center"/>
                </w:tcPr>
                <w:p w14:paraId="2298920F">
                  <w:pPr>
                    <w:tabs>
                      <w:tab w:val="left" w:pos="4500"/>
                    </w:tabs>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33.01226646</w:t>
                  </w:r>
                </w:p>
              </w:tc>
              <w:tc>
                <w:tcPr>
                  <w:tcW w:w="571" w:type="pct"/>
                  <w:vMerge w:val="restart"/>
                  <w:tcMar>
                    <w:top w:w="0" w:type="dxa"/>
                    <w:left w:w="28" w:type="dxa"/>
                    <w:bottom w:w="0" w:type="dxa"/>
                    <w:right w:w="28" w:type="dxa"/>
                  </w:tcMar>
                  <w:vAlign w:val="center"/>
                </w:tcPr>
                <w:p w14:paraId="6EEC0832">
                  <w:pPr>
                    <w:tabs>
                      <w:tab w:val="left" w:pos="4500"/>
                    </w:tabs>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46.625</w:t>
                  </w:r>
                </w:p>
              </w:tc>
              <w:tc>
                <w:tcPr>
                  <w:tcW w:w="541" w:type="pct"/>
                  <w:vMerge w:val="restart"/>
                  <w:tcMar>
                    <w:top w:w="0" w:type="dxa"/>
                    <w:left w:w="28" w:type="dxa"/>
                    <w:bottom w:w="0" w:type="dxa"/>
                    <w:right w:w="28" w:type="dxa"/>
                  </w:tcMar>
                  <w:vAlign w:val="center"/>
                </w:tcPr>
                <w:p w14:paraId="749A72B8">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镇平县第二污水处理厂</w:t>
                  </w:r>
                </w:p>
              </w:tc>
              <w:tc>
                <w:tcPr>
                  <w:tcW w:w="270" w:type="pct"/>
                  <w:vMerge w:val="restart"/>
                  <w:tcMar>
                    <w:top w:w="0" w:type="dxa"/>
                    <w:left w:w="28" w:type="dxa"/>
                    <w:bottom w:w="0" w:type="dxa"/>
                    <w:right w:w="28" w:type="dxa"/>
                  </w:tcMar>
                  <w:vAlign w:val="center"/>
                </w:tcPr>
                <w:p w14:paraId="1966245A">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间歇排放</w:t>
                  </w:r>
                </w:p>
              </w:tc>
              <w:tc>
                <w:tcPr>
                  <w:tcW w:w="270" w:type="pct"/>
                  <w:vMerge w:val="restart"/>
                  <w:tcMar>
                    <w:top w:w="0" w:type="dxa"/>
                    <w:left w:w="28" w:type="dxa"/>
                    <w:bottom w:w="0" w:type="dxa"/>
                    <w:right w:w="28" w:type="dxa"/>
                  </w:tcMar>
                  <w:vAlign w:val="center"/>
                </w:tcPr>
                <w:p w14:paraId="5CC8B494">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430" w:type="pct"/>
                  <w:vMerge w:val="restart"/>
                  <w:tcMar>
                    <w:top w:w="0" w:type="dxa"/>
                    <w:left w:w="28" w:type="dxa"/>
                    <w:bottom w:w="0" w:type="dxa"/>
                    <w:right w:w="28" w:type="dxa"/>
                  </w:tcMar>
                  <w:vAlign w:val="center"/>
                </w:tcPr>
                <w:p w14:paraId="1DDA55EF">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镇平县第二污水处理厂</w:t>
                  </w:r>
                </w:p>
              </w:tc>
              <w:tc>
                <w:tcPr>
                  <w:tcW w:w="423" w:type="pct"/>
                  <w:tcMar>
                    <w:top w:w="0" w:type="dxa"/>
                    <w:left w:w="28" w:type="dxa"/>
                    <w:bottom w:w="0" w:type="dxa"/>
                    <w:right w:w="28" w:type="dxa"/>
                  </w:tcMar>
                  <w:vAlign w:val="center"/>
                </w:tcPr>
                <w:p w14:paraId="495C5BE2">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687" w:type="pct"/>
                  <w:tcMar>
                    <w:top w:w="0" w:type="dxa"/>
                    <w:left w:w="28" w:type="dxa"/>
                    <w:bottom w:w="0" w:type="dxa"/>
                    <w:right w:w="28" w:type="dxa"/>
                  </w:tcMar>
                  <w:vAlign w:val="center"/>
                </w:tcPr>
                <w:p w14:paraId="592F017E">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50</w:t>
                  </w:r>
                </w:p>
              </w:tc>
            </w:tr>
            <w:tr w14:paraId="02C58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4" w:type="pct"/>
                  <w:vMerge w:val="continue"/>
                  <w:tcMar>
                    <w:top w:w="0" w:type="dxa"/>
                    <w:left w:w="28" w:type="dxa"/>
                    <w:bottom w:w="0" w:type="dxa"/>
                    <w:right w:w="28" w:type="dxa"/>
                  </w:tcMar>
                  <w:vAlign w:val="center"/>
                </w:tcPr>
                <w:p w14:paraId="71356ADE">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723" w:type="pct"/>
                  <w:vMerge w:val="continue"/>
                  <w:tcMar>
                    <w:top w:w="0" w:type="dxa"/>
                    <w:left w:w="28" w:type="dxa"/>
                    <w:bottom w:w="0" w:type="dxa"/>
                    <w:right w:w="28" w:type="dxa"/>
                  </w:tcMar>
                  <w:vAlign w:val="center"/>
                </w:tcPr>
                <w:p w14:paraId="09227003">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667" w:type="pct"/>
                  <w:vMerge w:val="continue"/>
                  <w:tcMar>
                    <w:top w:w="0" w:type="dxa"/>
                    <w:left w:w="28" w:type="dxa"/>
                    <w:bottom w:w="0" w:type="dxa"/>
                    <w:right w:w="28" w:type="dxa"/>
                  </w:tcMar>
                  <w:vAlign w:val="center"/>
                </w:tcPr>
                <w:p w14:paraId="50B8274C">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571" w:type="pct"/>
                  <w:vMerge w:val="continue"/>
                  <w:tcMar>
                    <w:top w:w="0" w:type="dxa"/>
                    <w:left w:w="28" w:type="dxa"/>
                    <w:bottom w:w="0" w:type="dxa"/>
                    <w:right w:w="28" w:type="dxa"/>
                  </w:tcMar>
                  <w:vAlign w:val="center"/>
                </w:tcPr>
                <w:p w14:paraId="3EC277CB">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541" w:type="pct"/>
                  <w:vMerge w:val="continue"/>
                  <w:tcMar>
                    <w:top w:w="0" w:type="dxa"/>
                    <w:left w:w="28" w:type="dxa"/>
                    <w:bottom w:w="0" w:type="dxa"/>
                    <w:right w:w="28" w:type="dxa"/>
                  </w:tcMar>
                  <w:vAlign w:val="center"/>
                </w:tcPr>
                <w:p w14:paraId="0B0FC92E">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67FCEAB6">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75FC2723">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430" w:type="pct"/>
                  <w:vMerge w:val="continue"/>
                  <w:tcMar>
                    <w:top w:w="0" w:type="dxa"/>
                    <w:left w:w="28" w:type="dxa"/>
                    <w:bottom w:w="0" w:type="dxa"/>
                    <w:right w:w="28" w:type="dxa"/>
                  </w:tcMar>
                  <w:vAlign w:val="center"/>
                </w:tcPr>
                <w:p w14:paraId="0FA5864F">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423" w:type="pct"/>
                  <w:tcMar>
                    <w:top w:w="0" w:type="dxa"/>
                    <w:left w:w="28" w:type="dxa"/>
                    <w:bottom w:w="0" w:type="dxa"/>
                    <w:right w:w="28" w:type="dxa"/>
                  </w:tcMar>
                  <w:vAlign w:val="center"/>
                </w:tcPr>
                <w:p w14:paraId="18C3BA69">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687" w:type="pct"/>
                  <w:tcMar>
                    <w:top w:w="0" w:type="dxa"/>
                    <w:left w:w="28" w:type="dxa"/>
                    <w:bottom w:w="0" w:type="dxa"/>
                    <w:right w:w="28" w:type="dxa"/>
                  </w:tcMar>
                  <w:vAlign w:val="center"/>
                </w:tcPr>
                <w:p w14:paraId="38A17F80">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r>
          </w:tbl>
          <w:p w14:paraId="711A2D8D">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2.6废水排放量核算</w:t>
            </w:r>
          </w:p>
          <w:p w14:paraId="5D34F7C7">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1</w:t>
            </w:r>
            <w:r>
              <w:rPr>
                <w:rFonts w:hint="eastAsia"/>
                <w:b/>
                <w:bCs/>
                <w:color w:val="000000" w:themeColor="text1"/>
                <w:sz w:val="24"/>
                <w:lang w:val="en-US" w:eastAsia="zh-CN"/>
                <w14:textFill>
                  <w14:solidFill>
                    <w14:schemeClr w14:val="tx1"/>
                  </w14:solidFill>
                </w14:textFill>
              </w:rPr>
              <w:t>4</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项目废水排放量核算表</w:t>
            </w:r>
          </w:p>
          <w:tbl>
            <w:tblPr>
              <w:tblStyle w:val="20"/>
              <w:tblW w:w="499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03"/>
              <w:gridCol w:w="1517"/>
              <w:gridCol w:w="1679"/>
              <w:gridCol w:w="1751"/>
              <w:gridCol w:w="1836"/>
              <w:gridCol w:w="1606"/>
            </w:tblGrid>
            <w:tr w14:paraId="01BC94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7" w:type="pct"/>
                  <w:vAlign w:val="center"/>
                </w:tcPr>
                <w:p w14:paraId="6D2E6A01">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序号</w:t>
                  </w:r>
                </w:p>
              </w:tc>
              <w:tc>
                <w:tcPr>
                  <w:tcW w:w="824" w:type="pct"/>
                  <w:vAlign w:val="center"/>
                </w:tcPr>
                <w:p w14:paraId="30DA8523">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排放口编号</w:t>
                  </w:r>
                </w:p>
              </w:tc>
              <w:tc>
                <w:tcPr>
                  <w:tcW w:w="913" w:type="pct"/>
                  <w:vAlign w:val="center"/>
                </w:tcPr>
                <w:p w14:paraId="01FE4374">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污染物种类</w:t>
                  </w:r>
                </w:p>
              </w:tc>
              <w:tc>
                <w:tcPr>
                  <w:tcW w:w="952" w:type="pct"/>
                  <w:vAlign w:val="center"/>
                </w:tcPr>
                <w:p w14:paraId="39A14A26">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排放浓度mg/L</w:t>
                  </w:r>
                </w:p>
              </w:tc>
              <w:tc>
                <w:tcPr>
                  <w:tcW w:w="998" w:type="pct"/>
                  <w:vAlign w:val="center"/>
                </w:tcPr>
                <w:p w14:paraId="256C5586">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日排放量kg/d</w:t>
                  </w:r>
                </w:p>
              </w:tc>
              <w:tc>
                <w:tcPr>
                  <w:tcW w:w="873" w:type="pct"/>
                  <w:vAlign w:val="center"/>
                </w:tcPr>
                <w:p w14:paraId="7907B0FD">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年排放量t/a</w:t>
                  </w:r>
                </w:p>
              </w:tc>
            </w:tr>
            <w:tr w14:paraId="6C4F5B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7" w:type="pct"/>
                  <w:vMerge w:val="restart"/>
                  <w:vAlign w:val="center"/>
                </w:tcPr>
                <w:p w14:paraId="0D63B33F">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824" w:type="pct"/>
                  <w:vMerge w:val="restart"/>
                  <w:vAlign w:val="center"/>
                </w:tcPr>
                <w:p w14:paraId="477F7298">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污水总排口DW001</w:t>
                  </w:r>
                </w:p>
              </w:tc>
              <w:tc>
                <w:tcPr>
                  <w:tcW w:w="913" w:type="pct"/>
                  <w:vAlign w:val="center"/>
                </w:tcPr>
                <w:p w14:paraId="11776FE0">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w:t>
                  </w:r>
                </w:p>
              </w:tc>
              <w:tc>
                <w:tcPr>
                  <w:tcW w:w="952" w:type="pct"/>
                  <w:shd w:val="clear" w:color="auto" w:fill="auto"/>
                  <w:vAlign w:val="center"/>
                </w:tcPr>
                <w:p w14:paraId="5F0BD679">
                  <w:pPr>
                    <w:keepNext w:val="0"/>
                    <w:keepLines w:val="0"/>
                    <w:pageBreakBefore w:val="0"/>
                    <w:kinsoku/>
                    <w:wordWrap/>
                    <w:overflowPunct/>
                    <w:topLinePunct w:val="0"/>
                    <w:autoSpaceDE/>
                    <w:autoSpaceDN/>
                    <w:bidi w:val="0"/>
                    <w:snapToGrid/>
                    <w:spacing w:line="240" w:lineRule="auto"/>
                    <w:ind w:right="0" w:rightChars="0" w:firstLine="0" w:firstLineChars="0"/>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225.871</w:t>
                  </w:r>
                </w:p>
              </w:tc>
              <w:tc>
                <w:tcPr>
                  <w:tcW w:w="998" w:type="pct"/>
                  <w:vAlign w:val="center"/>
                </w:tcPr>
                <w:p w14:paraId="3976258C">
                  <w:pPr>
                    <w:keepNext w:val="0"/>
                    <w:keepLines w:val="0"/>
                    <w:widowControl/>
                    <w:suppressLineNumbers w:val="0"/>
                    <w:jc w:val="center"/>
                    <w:textAlignment w:val="center"/>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10.531</w:t>
                  </w:r>
                </w:p>
              </w:tc>
              <w:tc>
                <w:tcPr>
                  <w:tcW w:w="873" w:type="pct"/>
                  <w:vAlign w:val="center"/>
                </w:tcPr>
                <w:p w14:paraId="6941F446">
                  <w:pPr>
                    <w:keepNext w:val="0"/>
                    <w:keepLines w:val="0"/>
                    <w:widowControl/>
                    <w:suppressLineNumbers w:val="0"/>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2.106</w:t>
                  </w:r>
                </w:p>
              </w:tc>
            </w:tr>
            <w:tr w14:paraId="3A47B8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7" w:type="pct"/>
                  <w:vMerge w:val="continue"/>
                  <w:vAlign w:val="center"/>
                </w:tcPr>
                <w:p w14:paraId="03D0C0FC">
                  <w:pPr>
                    <w:jc w:val="center"/>
                    <w:rPr>
                      <w:color w:val="000000" w:themeColor="text1"/>
                      <w:kern w:val="0"/>
                      <w:sz w:val="21"/>
                      <w:szCs w:val="21"/>
                      <w14:textFill>
                        <w14:solidFill>
                          <w14:schemeClr w14:val="tx1"/>
                        </w14:solidFill>
                      </w14:textFill>
                    </w:rPr>
                  </w:pPr>
                </w:p>
              </w:tc>
              <w:tc>
                <w:tcPr>
                  <w:tcW w:w="824" w:type="pct"/>
                  <w:vMerge w:val="continue"/>
                  <w:vAlign w:val="center"/>
                </w:tcPr>
                <w:p w14:paraId="3C4E28DA">
                  <w:pPr>
                    <w:jc w:val="center"/>
                    <w:rPr>
                      <w:color w:val="000000" w:themeColor="text1"/>
                      <w:kern w:val="0"/>
                      <w:sz w:val="21"/>
                      <w:szCs w:val="21"/>
                      <w14:textFill>
                        <w14:solidFill>
                          <w14:schemeClr w14:val="tx1"/>
                        </w14:solidFill>
                      </w14:textFill>
                    </w:rPr>
                  </w:pPr>
                </w:p>
              </w:tc>
              <w:tc>
                <w:tcPr>
                  <w:tcW w:w="913" w:type="pct"/>
                  <w:vAlign w:val="center"/>
                </w:tcPr>
                <w:p w14:paraId="0089199B">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BOD</w:t>
                  </w:r>
                  <w:r>
                    <w:rPr>
                      <w:color w:val="000000" w:themeColor="text1"/>
                      <w:sz w:val="21"/>
                      <w:szCs w:val="21"/>
                      <w:vertAlign w:val="subscript"/>
                      <w14:textFill>
                        <w14:solidFill>
                          <w14:schemeClr w14:val="tx1"/>
                        </w14:solidFill>
                      </w14:textFill>
                    </w:rPr>
                    <w:t>5</w:t>
                  </w:r>
                </w:p>
              </w:tc>
              <w:tc>
                <w:tcPr>
                  <w:tcW w:w="952" w:type="pct"/>
                  <w:shd w:val="clear" w:color="auto" w:fill="auto"/>
                  <w:vAlign w:val="center"/>
                </w:tcPr>
                <w:p w14:paraId="7A7A18F7">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145.587</w:t>
                  </w:r>
                </w:p>
              </w:tc>
              <w:tc>
                <w:tcPr>
                  <w:tcW w:w="998" w:type="pct"/>
                  <w:vAlign w:val="center"/>
                </w:tcPr>
                <w:p w14:paraId="6B1C4D6A">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6.788</w:t>
                  </w:r>
                </w:p>
              </w:tc>
              <w:tc>
                <w:tcPr>
                  <w:tcW w:w="873" w:type="pct"/>
                  <w:vAlign w:val="center"/>
                </w:tcPr>
                <w:p w14:paraId="75603606">
                  <w:pPr>
                    <w:keepNext w:val="0"/>
                    <w:keepLines w:val="0"/>
                    <w:widowControl/>
                    <w:suppressLineNumbers w:val="0"/>
                    <w:jc w:val="center"/>
                    <w:textAlignment w:val="center"/>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1.358</w:t>
                  </w:r>
                </w:p>
              </w:tc>
            </w:tr>
            <w:tr w14:paraId="0213DF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7" w:type="pct"/>
                  <w:vMerge w:val="continue"/>
                  <w:vAlign w:val="center"/>
                </w:tcPr>
                <w:p w14:paraId="1C4D3638">
                  <w:pPr>
                    <w:jc w:val="center"/>
                    <w:rPr>
                      <w:color w:val="000000" w:themeColor="text1"/>
                      <w:kern w:val="0"/>
                      <w:sz w:val="21"/>
                      <w:szCs w:val="21"/>
                      <w14:textFill>
                        <w14:solidFill>
                          <w14:schemeClr w14:val="tx1"/>
                        </w14:solidFill>
                      </w14:textFill>
                    </w:rPr>
                  </w:pPr>
                </w:p>
              </w:tc>
              <w:tc>
                <w:tcPr>
                  <w:tcW w:w="824" w:type="pct"/>
                  <w:vMerge w:val="continue"/>
                  <w:vAlign w:val="center"/>
                </w:tcPr>
                <w:p w14:paraId="5DF6C977">
                  <w:pPr>
                    <w:jc w:val="center"/>
                    <w:rPr>
                      <w:color w:val="000000" w:themeColor="text1"/>
                      <w:kern w:val="0"/>
                      <w:sz w:val="21"/>
                      <w:szCs w:val="21"/>
                      <w14:textFill>
                        <w14:solidFill>
                          <w14:schemeClr w14:val="tx1"/>
                        </w14:solidFill>
                      </w14:textFill>
                    </w:rPr>
                  </w:pPr>
                </w:p>
              </w:tc>
              <w:tc>
                <w:tcPr>
                  <w:tcW w:w="913" w:type="pct"/>
                  <w:vAlign w:val="center"/>
                </w:tcPr>
                <w:p w14:paraId="47ADB3A3">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SS</w:t>
                  </w:r>
                </w:p>
              </w:tc>
              <w:tc>
                <w:tcPr>
                  <w:tcW w:w="952" w:type="pct"/>
                  <w:shd w:val="clear" w:color="auto" w:fill="auto"/>
                  <w:vAlign w:val="center"/>
                </w:tcPr>
                <w:p w14:paraId="1A999C7B">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136.488</w:t>
                  </w:r>
                </w:p>
              </w:tc>
              <w:tc>
                <w:tcPr>
                  <w:tcW w:w="998" w:type="pct"/>
                  <w:vAlign w:val="center"/>
                </w:tcPr>
                <w:p w14:paraId="049BD9C3">
                  <w:pPr>
                    <w:keepNext w:val="0"/>
                    <w:keepLines w:val="0"/>
                    <w:widowControl/>
                    <w:suppressLineNumbers w:val="0"/>
                    <w:jc w:val="center"/>
                    <w:textAlignment w:val="center"/>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6.364</w:t>
                  </w:r>
                </w:p>
              </w:tc>
              <w:tc>
                <w:tcPr>
                  <w:tcW w:w="873" w:type="pct"/>
                  <w:vAlign w:val="center"/>
                </w:tcPr>
                <w:p w14:paraId="222069B6">
                  <w:pPr>
                    <w:keepNext w:val="0"/>
                    <w:keepLines w:val="0"/>
                    <w:widowControl/>
                    <w:suppressLineNumbers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1.273</w:t>
                  </w:r>
                </w:p>
              </w:tc>
            </w:tr>
            <w:tr w14:paraId="2388F8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7" w:type="pct"/>
                  <w:vMerge w:val="continue"/>
                  <w:vAlign w:val="center"/>
                </w:tcPr>
                <w:p w14:paraId="1C1D9C5E">
                  <w:pPr>
                    <w:jc w:val="center"/>
                    <w:rPr>
                      <w:color w:val="000000" w:themeColor="text1"/>
                      <w:kern w:val="0"/>
                      <w:sz w:val="21"/>
                      <w:szCs w:val="21"/>
                      <w14:textFill>
                        <w14:solidFill>
                          <w14:schemeClr w14:val="tx1"/>
                        </w14:solidFill>
                      </w14:textFill>
                    </w:rPr>
                  </w:pPr>
                </w:p>
              </w:tc>
              <w:tc>
                <w:tcPr>
                  <w:tcW w:w="824" w:type="pct"/>
                  <w:vMerge w:val="continue"/>
                  <w:vAlign w:val="center"/>
                </w:tcPr>
                <w:p w14:paraId="0176A3E3">
                  <w:pPr>
                    <w:jc w:val="center"/>
                    <w:rPr>
                      <w:color w:val="000000" w:themeColor="text1"/>
                      <w:kern w:val="0"/>
                      <w:sz w:val="21"/>
                      <w:szCs w:val="21"/>
                      <w14:textFill>
                        <w14:solidFill>
                          <w14:schemeClr w14:val="tx1"/>
                        </w14:solidFill>
                      </w14:textFill>
                    </w:rPr>
                  </w:pPr>
                </w:p>
              </w:tc>
              <w:tc>
                <w:tcPr>
                  <w:tcW w:w="913" w:type="pct"/>
                  <w:vAlign w:val="center"/>
                </w:tcPr>
                <w:p w14:paraId="2A790CAF">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p>
              </w:tc>
              <w:tc>
                <w:tcPr>
                  <w:tcW w:w="952" w:type="pct"/>
                  <w:shd w:val="clear" w:color="auto" w:fill="auto"/>
                  <w:vAlign w:val="center"/>
                </w:tcPr>
                <w:p w14:paraId="33DD190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24.000</w:t>
                  </w:r>
                </w:p>
              </w:tc>
              <w:tc>
                <w:tcPr>
                  <w:tcW w:w="998" w:type="pct"/>
                  <w:vAlign w:val="center"/>
                </w:tcPr>
                <w:p w14:paraId="778795A6">
                  <w:pPr>
                    <w:keepNext w:val="0"/>
                    <w:keepLines w:val="0"/>
                    <w:widowControl/>
                    <w:suppressLineNumbers w:val="0"/>
                    <w:jc w:val="center"/>
                    <w:textAlignment w:val="center"/>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1.119</w:t>
                  </w:r>
                </w:p>
              </w:tc>
              <w:tc>
                <w:tcPr>
                  <w:tcW w:w="873" w:type="pct"/>
                  <w:vAlign w:val="center"/>
                </w:tcPr>
                <w:p w14:paraId="487BE214">
                  <w:pPr>
                    <w:keepNext w:val="0"/>
                    <w:keepLines w:val="0"/>
                    <w:widowControl/>
                    <w:suppressLineNumbers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0.224</w:t>
                  </w:r>
                </w:p>
              </w:tc>
            </w:tr>
            <w:tr w14:paraId="59F056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7" w:type="pct"/>
                  <w:vMerge w:val="continue"/>
                  <w:vAlign w:val="center"/>
                </w:tcPr>
                <w:p w14:paraId="7949EF79">
                  <w:pPr>
                    <w:jc w:val="center"/>
                    <w:rPr>
                      <w:color w:val="000000" w:themeColor="text1"/>
                      <w:kern w:val="0"/>
                      <w:sz w:val="21"/>
                      <w:szCs w:val="21"/>
                      <w14:textFill>
                        <w14:solidFill>
                          <w14:schemeClr w14:val="tx1"/>
                        </w14:solidFill>
                      </w14:textFill>
                    </w:rPr>
                  </w:pPr>
                </w:p>
              </w:tc>
              <w:tc>
                <w:tcPr>
                  <w:tcW w:w="824" w:type="pct"/>
                  <w:vMerge w:val="continue"/>
                  <w:vAlign w:val="center"/>
                </w:tcPr>
                <w:p w14:paraId="54DCD4F8">
                  <w:pPr>
                    <w:jc w:val="center"/>
                    <w:rPr>
                      <w:color w:val="000000" w:themeColor="text1"/>
                      <w:kern w:val="0"/>
                      <w:sz w:val="21"/>
                      <w:szCs w:val="21"/>
                      <w14:textFill>
                        <w14:solidFill>
                          <w14:schemeClr w14:val="tx1"/>
                        </w14:solidFill>
                      </w14:textFill>
                    </w:rPr>
                  </w:pPr>
                </w:p>
              </w:tc>
              <w:tc>
                <w:tcPr>
                  <w:tcW w:w="913" w:type="pct"/>
                  <w:vAlign w:val="center"/>
                </w:tcPr>
                <w:p w14:paraId="3A09F8B2">
                  <w:pPr>
                    <w:jc w:val="center"/>
                    <w:rPr>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TP</w:t>
                  </w:r>
                </w:p>
              </w:tc>
              <w:tc>
                <w:tcPr>
                  <w:tcW w:w="952" w:type="pct"/>
                  <w:shd w:val="clear" w:color="auto" w:fill="auto"/>
                  <w:vAlign w:val="center"/>
                </w:tcPr>
                <w:p w14:paraId="1A6DF85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3.485</w:t>
                  </w:r>
                </w:p>
              </w:tc>
              <w:tc>
                <w:tcPr>
                  <w:tcW w:w="998" w:type="pct"/>
                  <w:vAlign w:val="center"/>
                </w:tcPr>
                <w:p w14:paraId="70F2BCBD">
                  <w:pPr>
                    <w:keepNext w:val="0"/>
                    <w:keepLines w:val="0"/>
                    <w:widowControl/>
                    <w:suppressLineNumbers w:val="0"/>
                    <w:jc w:val="center"/>
                    <w:textAlignment w:val="center"/>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0.162</w:t>
                  </w:r>
                </w:p>
              </w:tc>
              <w:tc>
                <w:tcPr>
                  <w:tcW w:w="873" w:type="pct"/>
                  <w:vAlign w:val="center"/>
                </w:tcPr>
                <w:p w14:paraId="2182813B">
                  <w:pPr>
                    <w:keepNext w:val="0"/>
                    <w:keepLines w:val="0"/>
                    <w:widowControl/>
                    <w:suppressLineNumbers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0.032</w:t>
                  </w:r>
                </w:p>
              </w:tc>
            </w:tr>
            <w:tr w14:paraId="6F872C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7" w:type="pct"/>
                  <w:vMerge w:val="continue"/>
                  <w:vAlign w:val="center"/>
                </w:tcPr>
                <w:p w14:paraId="7A457FBE">
                  <w:pPr>
                    <w:jc w:val="center"/>
                    <w:rPr>
                      <w:color w:val="000000" w:themeColor="text1"/>
                      <w:kern w:val="0"/>
                      <w:sz w:val="21"/>
                      <w:szCs w:val="21"/>
                      <w14:textFill>
                        <w14:solidFill>
                          <w14:schemeClr w14:val="tx1"/>
                        </w14:solidFill>
                      </w14:textFill>
                    </w:rPr>
                  </w:pPr>
                </w:p>
              </w:tc>
              <w:tc>
                <w:tcPr>
                  <w:tcW w:w="824" w:type="pct"/>
                  <w:vMerge w:val="continue"/>
                  <w:vAlign w:val="center"/>
                </w:tcPr>
                <w:p w14:paraId="658E6768">
                  <w:pPr>
                    <w:jc w:val="center"/>
                    <w:rPr>
                      <w:color w:val="000000" w:themeColor="text1"/>
                      <w:kern w:val="0"/>
                      <w:sz w:val="21"/>
                      <w:szCs w:val="21"/>
                      <w14:textFill>
                        <w14:solidFill>
                          <w14:schemeClr w14:val="tx1"/>
                        </w14:solidFill>
                      </w14:textFill>
                    </w:rPr>
                  </w:pPr>
                </w:p>
              </w:tc>
              <w:tc>
                <w:tcPr>
                  <w:tcW w:w="913" w:type="pct"/>
                  <w:vAlign w:val="center"/>
                </w:tcPr>
                <w:p w14:paraId="06D7CB18">
                  <w:pPr>
                    <w:jc w:val="center"/>
                    <w:rPr>
                      <w:color w:val="000000" w:themeColor="text1"/>
                      <w:sz w:val="21"/>
                      <w:szCs w:val="21"/>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动植物油</w:t>
                  </w:r>
                </w:p>
              </w:tc>
              <w:tc>
                <w:tcPr>
                  <w:tcW w:w="952" w:type="pct"/>
                  <w:shd w:val="clear" w:color="auto" w:fill="auto"/>
                  <w:vAlign w:val="center"/>
                </w:tcPr>
                <w:p w14:paraId="05D96BEF">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26.139</w:t>
                  </w:r>
                </w:p>
              </w:tc>
              <w:tc>
                <w:tcPr>
                  <w:tcW w:w="998" w:type="pct"/>
                  <w:vAlign w:val="center"/>
                </w:tcPr>
                <w:p w14:paraId="4DCC9B20">
                  <w:pPr>
                    <w:keepNext w:val="0"/>
                    <w:keepLines w:val="0"/>
                    <w:widowControl/>
                    <w:suppressLineNumbers w:val="0"/>
                    <w:jc w:val="center"/>
                    <w:textAlignment w:val="center"/>
                    <w:rPr>
                      <w:rFonts w:hint="default"/>
                      <w:color w:val="000000" w:themeColor="text1"/>
                      <w:sz w:val="21"/>
                      <w:szCs w:val="21"/>
                      <w:lang w:val="en-US"/>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1.219</w:t>
                  </w:r>
                </w:p>
              </w:tc>
              <w:tc>
                <w:tcPr>
                  <w:tcW w:w="873" w:type="pct"/>
                  <w:vAlign w:val="center"/>
                </w:tcPr>
                <w:p w14:paraId="095EBE3A">
                  <w:pPr>
                    <w:keepNext w:val="0"/>
                    <w:keepLines w:val="0"/>
                    <w:widowControl/>
                    <w:suppressLineNumbers w:val="0"/>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0.244</w:t>
                  </w:r>
                </w:p>
              </w:tc>
            </w:tr>
            <w:tr w14:paraId="255A5AD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37" w:type="pct"/>
                  <w:vMerge w:val="continue"/>
                  <w:vAlign w:val="center"/>
                </w:tcPr>
                <w:p w14:paraId="04F7320A">
                  <w:pPr>
                    <w:jc w:val="center"/>
                    <w:rPr>
                      <w:color w:val="000000" w:themeColor="text1"/>
                      <w:kern w:val="0"/>
                      <w:sz w:val="21"/>
                      <w:szCs w:val="21"/>
                      <w14:textFill>
                        <w14:solidFill>
                          <w14:schemeClr w14:val="tx1"/>
                        </w14:solidFill>
                      </w14:textFill>
                    </w:rPr>
                  </w:pPr>
                </w:p>
              </w:tc>
              <w:tc>
                <w:tcPr>
                  <w:tcW w:w="824" w:type="pct"/>
                  <w:vMerge w:val="continue"/>
                  <w:vAlign w:val="center"/>
                </w:tcPr>
                <w:p w14:paraId="3F0A4875">
                  <w:pPr>
                    <w:jc w:val="center"/>
                    <w:rPr>
                      <w:color w:val="000000" w:themeColor="text1"/>
                      <w:kern w:val="0"/>
                      <w:sz w:val="21"/>
                      <w:szCs w:val="21"/>
                      <w14:textFill>
                        <w14:solidFill>
                          <w14:schemeClr w14:val="tx1"/>
                        </w14:solidFill>
                      </w14:textFill>
                    </w:rPr>
                  </w:pPr>
                </w:p>
              </w:tc>
              <w:tc>
                <w:tcPr>
                  <w:tcW w:w="913" w:type="pct"/>
                  <w:vAlign w:val="center"/>
                </w:tcPr>
                <w:p w14:paraId="138DB2C7">
                  <w:pPr>
                    <w:jc w:val="center"/>
                    <w:rPr>
                      <w:rFonts w:hint="eastAsia"/>
                      <w:bCs/>
                      <w:color w:val="000000" w:themeColor="text1"/>
                      <w:sz w:val="2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LAS</w:t>
                  </w:r>
                </w:p>
              </w:tc>
              <w:tc>
                <w:tcPr>
                  <w:tcW w:w="952" w:type="pct"/>
                  <w:shd w:val="clear" w:color="auto" w:fill="auto"/>
                  <w:vAlign w:val="center"/>
                </w:tcPr>
                <w:p w14:paraId="68C63EB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6.099</w:t>
                  </w:r>
                </w:p>
              </w:tc>
              <w:tc>
                <w:tcPr>
                  <w:tcW w:w="998" w:type="pct"/>
                  <w:vAlign w:val="center"/>
                </w:tcPr>
                <w:p w14:paraId="36293ED8">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0.284</w:t>
                  </w:r>
                </w:p>
              </w:tc>
              <w:tc>
                <w:tcPr>
                  <w:tcW w:w="873" w:type="pct"/>
                  <w:vAlign w:val="center"/>
                </w:tcPr>
                <w:p w14:paraId="2E8D3DD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0.057</w:t>
                  </w:r>
                </w:p>
              </w:tc>
            </w:tr>
            <w:tr w14:paraId="2D5A4E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restart"/>
                  <w:vAlign w:val="center"/>
                </w:tcPr>
                <w:p w14:paraId="267978F7">
                  <w:pPr>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全厂排放口合计</w:t>
                  </w:r>
                </w:p>
              </w:tc>
              <w:tc>
                <w:tcPr>
                  <w:tcW w:w="2863" w:type="pct"/>
                  <w:gridSpan w:val="3"/>
                  <w:vAlign w:val="center"/>
                </w:tcPr>
                <w:p w14:paraId="756E78D4">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w:t>
                  </w:r>
                </w:p>
              </w:tc>
              <w:tc>
                <w:tcPr>
                  <w:tcW w:w="1606" w:type="dxa"/>
                  <w:shd w:val="clear" w:color="auto" w:fill="auto"/>
                  <w:vAlign w:val="center"/>
                </w:tcPr>
                <w:p w14:paraId="0421038B">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2.106</w:t>
                  </w:r>
                </w:p>
              </w:tc>
            </w:tr>
            <w:tr w14:paraId="2AB5D6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4475C9F1">
                  <w:pPr>
                    <w:jc w:val="center"/>
                    <w:rPr>
                      <w:color w:val="000000" w:themeColor="text1"/>
                      <w:kern w:val="0"/>
                      <w:sz w:val="21"/>
                      <w:szCs w:val="21"/>
                      <w14:textFill>
                        <w14:solidFill>
                          <w14:schemeClr w14:val="tx1"/>
                        </w14:solidFill>
                      </w14:textFill>
                    </w:rPr>
                  </w:pPr>
                </w:p>
              </w:tc>
              <w:tc>
                <w:tcPr>
                  <w:tcW w:w="2863" w:type="pct"/>
                  <w:gridSpan w:val="3"/>
                  <w:vAlign w:val="center"/>
                </w:tcPr>
                <w:p w14:paraId="05A94350">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BOD</w:t>
                  </w:r>
                  <w:r>
                    <w:rPr>
                      <w:color w:val="000000" w:themeColor="text1"/>
                      <w:sz w:val="21"/>
                      <w:szCs w:val="21"/>
                      <w:vertAlign w:val="subscript"/>
                      <w14:textFill>
                        <w14:solidFill>
                          <w14:schemeClr w14:val="tx1"/>
                        </w14:solidFill>
                      </w14:textFill>
                    </w:rPr>
                    <w:t>5</w:t>
                  </w:r>
                </w:p>
              </w:tc>
              <w:tc>
                <w:tcPr>
                  <w:tcW w:w="1606" w:type="dxa"/>
                  <w:shd w:val="clear" w:color="auto" w:fill="auto"/>
                  <w:vAlign w:val="center"/>
                </w:tcPr>
                <w:p w14:paraId="5B4EBE0A">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1.358</w:t>
                  </w:r>
                </w:p>
              </w:tc>
            </w:tr>
            <w:tr w14:paraId="495F38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68678A81">
                  <w:pPr>
                    <w:jc w:val="center"/>
                    <w:rPr>
                      <w:color w:val="000000" w:themeColor="text1"/>
                      <w:kern w:val="0"/>
                      <w:sz w:val="21"/>
                      <w:szCs w:val="21"/>
                      <w14:textFill>
                        <w14:solidFill>
                          <w14:schemeClr w14:val="tx1"/>
                        </w14:solidFill>
                      </w14:textFill>
                    </w:rPr>
                  </w:pPr>
                </w:p>
              </w:tc>
              <w:tc>
                <w:tcPr>
                  <w:tcW w:w="2863" w:type="pct"/>
                  <w:gridSpan w:val="3"/>
                  <w:vAlign w:val="center"/>
                </w:tcPr>
                <w:p w14:paraId="1F044101">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SS</w:t>
                  </w:r>
                </w:p>
              </w:tc>
              <w:tc>
                <w:tcPr>
                  <w:tcW w:w="1606" w:type="dxa"/>
                  <w:shd w:val="clear" w:color="auto" w:fill="auto"/>
                  <w:vAlign w:val="center"/>
                </w:tcPr>
                <w:p w14:paraId="17BFD37D">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1.273</w:t>
                  </w:r>
                </w:p>
              </w:tc>
            </w:tr>
            <w:tr w14:paraId="5BDFD3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4ED09E91">
                  <w:pPr>
                    <w:jc w:val="center"/>
                    <w:rPr>
                      <w:color w:val="000000" w:themeColor="text1"/>
                      <w:kern w:val="0"/>
                      <w:sz w:val="21"/>
                      <w:szCs w:val="21"/>
                      <w14:textFill>
                        <w14:solidFill>
                          <w14:schemeClr w14:val="tx1"/>
                        </w14:solidFill>
                      </w14:textFill>
                    </w:rPr>
                  </w:pPr>
                </w:p>
              </w:tc>
              <w:tc>
                <w:tcPr>
                  <w:tcW w:w="2863" w:type="pct"/>
                  <w:gridSpan w:val="3"/>
                  <w:vAlign w:val="center"/>
                </w:tcPr>
                <w:p w14:paraId="66A39E9C">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p>
              </w:tc>
              <w:tc>
                <w:tcPr>
                  <w:tcW w:w="1606" w:type="dxa"/>
                  <w:shd w:val="clear" w:color="auto" w:fill="auto"/>
                  <w:vAlign w:val="center"/>
                </w:tcPr>
                <w:p w14:paraId="6BD156D0">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0.224</w:t>
                  </w:r>
                </w:p>
              </w:tc>
            </w:tr>
            <w:tr w14:paraId="00F2CF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0C96FD16">
                  <w:pPr>
                    <w:jc w:val="center"/>
                    <w:rPr>
                      <w:color w:val="000000" w:themeColor="text1"/>
                      <w:kern w:val="0"/>
                      <w:sz w:val="21"/>
                      <w:szCs w:val="21"/>
                      <w14:textFill>
                        <w14:solidFill>
                          <w14:schemeClr w14:val="tx1"/>
                        </w14:solidFill>
                      </w14:textFill>
                    </w:rPr>
                  </w:pPr>
                </w:p>
              </w:tc>
              <w:tc>
                <w:tcPr>
                  <w:tcW w:w="2863" w:type="pct"/>
                  <w:gridSpan w:val="3"/>
                  <w:shd w:val="clear" w:color="auto" w:fill="auto"/>
                  <w:vAlign w:val="center"/>
                </w:tcPr>
                <w:p w14:paraId="007B636F">
                  <w:pPr>
                    <w:jc w:val="center"/>
                    <w:rPr>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TP</w:t>
                  </w:r>
                </w:p>
              </w:tc>
              <w:tc>
                <w:tcPr>
                  <w:tcW w:w="1606" w:type="dxa"/>
                  <w:shd w:val="clear" w:color="auto" w:fill="auto"/>
                  <w:vAlign w:val="center"/>
                </w:tcPr>
                <w:p w14:paraId="21CDBDA7">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0.032</w:t>
                  </w:r>
                </w:p>
              </w:tc>
            </w:tr>
            <w:tr w14:paraId="2A2006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15A899EA">
                  <w:pPr>
                    <w:jc w:val="center"/>
                    <w:rPr>
                      <w:color w:val="000000" w:themeColor="text1"/>
                      <w:kern w:val="0"/>
                      <w:sz w:val="21"/>
                      <w:szCs w:val="21"/>
                      <w14:textFill>
                        <w14:solidFill>
                          <w14:schemeClr w14:val="tx1"/>
                        </w14:solidFill>
                      </w14:textFill>
                    </w:rPr>
                  </w:pPr>
                </w:p>
              </w:tc>
              <w:tc>
                <w:tcPr>
                  <w:tcW w:w="2863" w:type="pct"/>
                  <w:gridSpan w:val="3"/>
                  <w:shd w:val="clear" w:color="auto" w:fill="auto"/>
                  <w:vAlign w:val="center"/>
                </w:tcPr>
                <w:p w14:paraId="26B01A33">
                  <w:pPr>
                    <w:jc w:val="center"/>
                    <w:rPr>
                      <w:color w:val="000000" w:themeColor="text1"/>
                      <w:sz w:val="21"/>
                      <w:szCs w:val="21"/>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动植物油</w:t>
                  </w:r>
                </w:p>
              </w:tc>
              <w:tc>
                <w:tcPr>
                  <w:tcW w:w="1606" w:type="dxa"/>
                  <w:shd w:val="clear" w:color="auto" w:fill="auto"/>
                  <w:vAlign w:val="center"/>
                </w:tcPr>
                <w:p w14:paraId="5B3BCD7E">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0.244</w:t>
                  </w:r>
                </w:p>
              </w:tc>
            </w:tr>
            <w:tr w14:paraId="4827FD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2" w:type="pct"/>
                  <w:gridSpan w:val="2"/>
                  <w:vMerge w:val="continue"/>
                  <w:vAlign w:val="center"/>
                </w:tcPr>
                <w:p w14:paraId="32A73879">
                  <w:pPr>
                    <w:jc w:val="center"/>
                    <w:rPr>
                      <w:color w:val="000000" w:themeColor="text1"/>
                      <w:kern w:val="0"/>
                      <w:sz w:val="21"/>
                      <w:szCs w:val="21"/>
                      <w14:textFill>
                        <w14:solidFill>
                          <w14:schemeClr w14:val="tx1"/>
                        </w14:solidFill>
                      </w14:textFill>
                    </w:rPr>
                  </w:pPr>
                </w:p>
              </w:tc>
              <w:tc>
                <w:tcPr>
                  <w:tcW w:w="2863" w:type="pct"/>
                  <w:gridSpan w:val="3"/>
                  <w:shd w:val="clear" w:color="auto" w:fill="auto"/>
                  <w:vAlign w:val="center"/>
                </w:tcPr>
                <w:p w14:paraId="5A0F4460">
                  <w:pPr>
                    <w:jc w:val="center"/>
                    <w:rPr>
                      <w:rFonts w:hint="eastAsia"/>
                      <w:bCs/>
                      <w:color w:val="000000" w:themeColor="text1"/>
                      <w:sz w:val="2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LAS</w:t>
                  </w:r>
                </w:p>
              </w:tc>
              <w:tc>
                <w:tcPr>
                  <w:tcW w:w="1606" w:type="dxa"/>
                  <w:shd w:val="clear" w:color="auto" w:fill="auto"/>
                  <w:vAlign w:val="center"/>
                </w:tcPr>
                <w:p w14:paraId="75B5DC1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0.057</w:t>
                  </w:r>
                </w:p>
              </w:tc>
            </w:tr>
          </w:tbl>
          <w:p w14:paraId="45B26B36">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2.7废水监测计划</w:t>
            </w:r>
          </w:p>
          <w:p w14:paraId="5747040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kern w:val="21"/>
                <w:sz w:val="24"/>
                <w:szCs w:val="24"/>
                <w:u w:val="none"/>
                <w:lang w:val="en-US" w:eastAsia="zh-CN"/>
              </w:rPr>
              <w:t>《排污许可证申请与核发技术规范 食品制造工业—方便食品、食品及饲料添加剂制造工业》（HJ1030.3-2019）</w:t>
            </w:r>
            <w:r>
              <w:rPr>
                <w:rStyle w:val="23"/>
                <w:color w:val="000000" w:themeColor="text1"/>
                <w:sz w:val="24"/>
                <w:u w:val="none"/>
                <w:shd w:val="clear" w:color="auto" w:fill="FFFFFF"/>
                <w14:textFill>
                  <w14:solidFill>
                    <w14:schemeClr w14:val="tx1"/>
                  </w14:solidFill>
                </w14:textFill>
              </w:rPr>
              <w:t>、</w:t>
            </w:r>
            <w:r>
              <w:rPr>
                <w:rStyle w:val="23"/>
                <w:rFonts w:hint="eastAsia"/>
                <w:color w:val="000000" w:themeColor="text1"/>
                <w:sz w:val="24"/>
                <w:u w:val="none"/>
                <w:shd w:val="clear" w:color="auto" w:fill="FFFFFF"/>
                <w:lang w:eastAsia="zh-CN"/>
                <w14:textFill>
                  <w14:solidFill>
                    <w14:schemeClr w14:val="tx1"/>
                  </w14:solidFill>
                </w14:textFill>
              </w:rPr>
              <w:t>《排污单位自行监测技术指南 食品制造》（HJ 1084-2020）</w:t>
            </w:r>
            <w:r>
              <w:rPr>
                <w:color w:val="000000" w:themeColor="text1"/>
                <w:sz w:val="24"/>
                <w14:textFill>
                  <w14:solidFill>
                    <w14:schemeClr w14:val="tx1"/>
                  </w14:solidFill>
                </w14:textFill>
              </w:rPr>
              <w:t>自行监测计划，项目废水自行监测计划如下：</w:t>
            </w:r>
          </w:p>
          <w:p w14:paraId="2F0A7F82">
            <w:pPr>
              <w:adjustRightInd w:val="0"/>
              <w:snapToGrid w:val="0"/>
              <w:spacing w:line="360" w:lineRule="auto"/>
              <w:ind w:firstLine="482" w:firstLineChars="200"/>
              <w:jc w:val="center"/>
              <w:rPr>
                <w:b/>
                <w:color w:val="000000" w:themeColor="text1"/>
                <w:sz w:val="24"/>
                <w14:textFill>
                  <w14:solidFill>
                    <w14:schemeClr w14:val="tx1"/>
                  </w14:solidFill>
                </w14:textFill>
              </w:rPr>
            </w:pPr>
            <w:bookmarkStart w:id="15" w:name="_Toc8878"/>
            <w:bookmarkStart w:id="16" w:name="_Toc6000"/>
            <w:bookmarkStart w:id="17" w:name="_Toc24239"/>
            <w:bookmarkStart w:id="18" w:name="_Toc875"/>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1</w:t>
            </w:r>
            <w:r>
              <w:rPr>
                <w:rFonts w:hint="eastAsia"/>
                <w:b/>
                <w:color w:val="000000" w:themeColor="text1"/>
                <w:sz w:val="24"/>
                <w:lang w:val="en-US" w:eastAsia="zh-CN"/>
                <w14:textFill>
                  <w14:solidFill>
                    <w14:schemeClr w14:val="tx1"/>
                  </w14:solidFill>
                </w14:textFill>
              </w:rPr>
              <w:t>5</w:t>
            </w:r>
            <w:r>
              <w:rPr>
                <w:b/>
                <w:color w:val="000000" w:themeColor="text1"/>
                <w:sz w:val="24"/>
                <w14:textFill>
                  <w14:solidFill>
                    <w14:schemeClr w14:val="tx1"/>
                  </w14:solidFill>
                </w14:textFill>
              </w:rPr>
              <w:t xml:space="preserve"> </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项目营运期废水监测计划</w:t>
            </w:r>
            <w:bookmarkEnd w:id="15"/>
            <w:bookmarkEnd w:id="16"/>
            <w:bookmarkEnd w:id="17"/>
            <w:bookmarkEnd w:id="18"/>
          </w:p>
          <w:tbl>
            <w:tblPr>
              <w:tblStyle w:val="21"/>
              <w:tblW w:w="499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55"/>
              <w:gridCol w:w="1340"/>
              <w:gridCol w:w="2346"/>
              <w:gridCol w:w="1137"/>
              <w:gridCol w:w="3316"/>
            </w:tblGrid>
            <w:tr w14:paraId="68D9E6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74" w:type="pct"/>
                  <w:vAlign w:val="center"/>
                </w:tcPr>
                <w:p w14:paraId="2D71FDFE">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类别</w:t>
                  </w:r>
                </w:p>
              </w:tc>
              <w:tc>
                <w:tcPr>
                  <w:tcW w:w="728" w:type="pct"/>
                  <w:vAlign w:val="center"/>
                </w:tcPr>
                <w:p w14:paraId="0120EC08">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监测点位</w:t>
                  </w:r>
                </w:p>
              </w:tc>
              <w:tc>
                <w:tcPr>
                  <w:tcW w:w="1275" w:type="pct"/>
                  <w:vAlign w:val="center"/>
                </w:tcPr>
                <w:p w14:paraId="66D23F45">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监测因子</w:t>
                  </w:r>
                </w:p>
              </w:tc>
              <w:tc>
                <w:tcPr>
                  <w:tcW w:w="618" w:type="pct"/>
                  <w:vAlign w:val="center"/>
                </w:tcPr>
                <w:p w14:paraId="1E853067">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监测频率</w:t>
                  </w:r>
                </w:p>
              </w:tc>
              <w:tc>
                <w:tcPr>
                  <w:tcW w:w="1802" w:type="pct"/>
                  <w:vAlign w:val="center"/>
                </w:tcPr>
                <w:p w14:paraId="700E5A16">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执行标准</w:t>
                  </w:r>
                </w:p>
              </w:tc>
            </w:tr>
            <w:tr w14:paraId="4C641D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74" w:type="pct"/>
                  <w:vAlign w:val="center"/>
                </w:tcPr>
                <w:p w14:paraId="7A8DDDB4">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w:t>
                  </w:r>
                </w:p>
              </w:tc>
              <w:tc>
                <w:tcPr>
                  <w:tcW w:w="728" w:type="pct"/>
                  <w:vAlign w:val="center"/>
                </w:tcPr>
                <w:p w14:paraId="191FA43D">
                  <w:pPr>
                    <w:pStyle w:val="10"/>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DW001</w:t>
                  </w:r>
                </w:p>
              </w:tc>
              <w:tc>
                <w:tcPr>
                  <w:tcW w:w="1275" w:type="pct"/>
                  <w:vAlign w:val="center"/>
                </w:tcPr>
                <w:p w14:paraId="53D47599">
                  <w:pPr>
                    <w:pStyle w:val="10"/>
                    <w:spacing w:line="240" w:lineRule="auto"/>
                    <w:ind w:left="0" w:right="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pH值、</w:t>
                  </w:r>
                  <w:r>
                    <w:rPr>
                      <w:color w:val="000000" w:themeColor="text1"/>
                      <w:sz w:val="21"/>
                      <w:szCs w:val="21"/>
                      <w14:textFill>
                        <w14:solidFill>
                          <w14:schemeClr w14:val="tx1"/>
                        </w14:solidFill>
                      </w14:textFill>
                    </w:rPr>
                    <w:t>COD、BOD</w:t>
                  </w:r>
                  <w:r>
                    <w:rPr>
                      <w:color w:val="000000" w:themeColor="text1"/>
                      <w:sz w:val="21"/>
                      <w:szCs w:val="21"/>
                      <w:vertAlign w:val="subscript"/>
                      <w14:textFill>
                        <w14:solidFill>
                          <w14:schemeClr w14:val="tx1"/>
                        </w14:solidFill>
                      </w14:textFill>
                    </w:rPr>
                    <w:t>5</w:t>
                  </w:r>
                  <w:r>
                    <w:rPr>
                      <w:color w:val="000000" w:themeColor="text1"/>
                      <w:sz w:val="21"/>
                      <w:szCs w:val="21"/>
                      <w14:textFill>
                        <w14:solidFill>
                          <w14:schemeClr w14:val="tx1"/>
                        </w14:solidFill>
                      </w14:textFill>
                    </w:rPr>
                    <w:t>、SS、NH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w:t>
                  </w:r>
                  <w:r>
                    <w:rPr>
                      <w:rFonts w:hint="eastAsia"/>
                      <w:bCs/>
                      <w:color w:val="000000" w:themeColor="text1"/>
                      <w:sz w:val="21"/>
                      <w:szCs w:val="21"/>
                      <w14:textFill>
                        <w14:solidFill>
                          <w14:schemeClr w14:val="tx1"/>
                        </w14:solidFill>
                      </w14:textFill>
                    </w:rPr>
                    <w:t>TP</w:t>
                  </w:r>
                  <w:r>
                    <w:rPr>
                      <w:rFonts w:hint="eastAsia"/>
                      <w:color w:val="000000" w:themeColor="text1"/>
                      <w:sz w:val="21"/>
                      <w:szCs w:val="21"/>
                      <w14:textFill>
                        <w14:solidFill>
                          <w14:schemeClr w14:val="tx1"/>
                        </w14:solidFill>
                      </w14:textFill>
                    </w:rPr>
                    <w:t>、动植物油</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LAS</w:t>
                  </w:r>
                </w:p>
              </w:tc>
              <w:tc>
                <w:tcPr>
                  <w:tcW w:w="618" w:type="pct"/>
                  <w:vAlign w:val="center"/>
                </w:tcPr>
                <w:p w14:paraId="065DAF8E">
                  <w:pPr>
                    <w:autoSpaceDE w:val="0"/>
                    <w:autoSpaceDN w:val="0"/>
                    <w:adjustRightIn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1次/半</w:t>
                  </w:r>
                  <w:r>
                    <w:rPr>
                      <w:color w:val="000000" w:themeColor="text1"/>
                      <w:szCs w:val="21"/>
                      <w14:textFill>
                        <w14:solidFill>
                          <w14:schemeClr w14:val="tx1"/>
                        </w14:solidFill>
                      </w14:textFill>
                    </w:rPr>
                    <w:t>年</w:t>
                  </w:r>
                </w:p>
              </w:tc>
              <w:tc>
                <w:tcPr>
                  <w:tcW w:w="1802" w:type="pct"/>
                  <w:vAlign w:val="center"/>
                </w:tcPr>
                <w:p w14:paraId="1E44F79E">
                  <w:pPr>
                    <w:pStyle w:val="10"/>
                    <w:spacing w:line="240" w:lineRule="auto"/>
                    <w:ind w:left="0" w:right="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《污水综合排放标准》（GB8978-1996）</w:t>
                  </w:r>
                  <w:r>
                    <w:rPr>
                      <w:color w:val="000000" w:themeColor="text1"/>
                      <w:sz w:val="21"/>
                      <w:szCs w:val="21"/>
                      <w14:textFill>
                        <w14:solidFill>
                          <w14:schemeClr w14:val="tx1"/>
                        </w14:solidFill>
                      </w14:textFill>
                    </w:rPr>
                    <w:t>及镇平县第二污水处理厂进水水质指标要求</w:t>
                  </w:r>
                </w:p>
              </w:tc>
            </w:tr>
          </w:tbl>
          <w:p w14:paraId="13804141">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2.8地表水环境影响评价结论</w:t>
            </w:r>
          </w:p>
          <w:p w14:paraId="342B14BD">
            <w:pPr>
              <w:adjustRightInd w:val="0"/>
              <w:snapToGrid w:val="0"/>
              <w:spacing w:line="360" w:lineRule="auto"/>
              <w:ind w:firstLine="480" w:firstLineChars="200"/>
              <w:rPr>
                <w:rFonts w:hint="default" w:ascii="Times New Roman" w:hAnsi="Times New Roman" w:eastAsia="宋体" w:cs="Times New Roman"/>
                <w:sz w:val="24"/>
                <w:szCs w:val="24"/>
                <w:lang w:eastAsia="zh-TW"/>
              </w:rPr>
            </w:pPr>
            <w:r>
              <w:rPr>
                <w:color w:val="000000"/>
                <w:kern w:val="0"/>
                <w:sz w:val="24"/>
                <w:u w:val="none"/>
              </w:rPr>
              <w:t>项目营运期</w:t>
            </w:r>
            <w:r>
              <w:rPr>
                <w:bCs/>
                <w:color w:val="000000"/>
                <w:sz w:val="24"/>
                <w:u w:val="none"/>
              </w:rPr>
              <w:t>职工生活污水经化粪池</w:t>
            </w:r>
            <w:r>
              <w:rPr>
                <w:rFonts w:hint="eastAsia"/>
                <w:bCs/>
                <w:color w:val="000000"/>
                <w:sz w:val="24"/>
                <w:u w:val="none"/>
                <w:lang w:val="en-US" w:eastAsia="zh-CN"/>
              </w:rPr>
              <w:t>处理后与生产废水一起经厂区污水处理站处理后</w:t>
            </w:r>
            <w:r>
              <w:rPr>
                <w:color w:val="000000"/>
                <w:kern w:val="0"/>
                <w:sz w:val="24"/>
                <w:u w:val="none"/>
              </w:rPr>
              <w:t>满足</w:t>
            </w:r>
            <w:r>
              <w:rPr>
                <w:rFonts w:hint="eastAsia"/>
                <w:color w:val="000000"/>
                <w:kern w:val="0"/>
                <w:sz w:val="24"/>
                <w:u w:val="none"/>
              </w:rPr>
              <w:t>《污水综合排放标准》（GB8978-1996）三级标准以及镇平县第二污水处理厂收水水质标准要求</w:t>
            </w:r>
            <w:r>
              <w:rPr>
                <w:color w:val="000000"/>
                <w:kern w:val="0"/>
                <w:sz w:val="24"/>
                <w:u w:val="none"/>
              </w:rPr>
              <w:t>后经市政污水管网进入镇平县第二污水处理厂进一步处理达到《城镇污水处理厂污染物排放标准》（GB18918-2002）一级A标准后</w:t>
            </w:r>
            <w:r>
              <w:rPr>
                <w:color w:val="000000"/>
                <w:sz w:val="24"/>
                <w:u w:val="none"/>
              </w:rPr>
              <w:t>排</w:t>
            </w:r>
            <w:r>
              <w:rPr>
                <w:rFonts w:hint="eastAsia"/>
                <w:color w:val="000000"/>
                <w:sz w:val="24"/>
                <w:u w:val="none"/>
                <w:lang w:val="en-US" w:eastAsia="zh-CN"/>
              </w:rPr>
              <w:t>放</w:t>
            </w:r>
            <w:r>
              <w:rPr>
                <w:color w:val="000000"/>
                <w:kern w:val="0"/>
                <w:sz w:val="24"/>
                <w:u w:val="none"/>
              </w:rPr>
              <w:t>。</w:t>
            </w:r>
          </w:p>
        </w:tc>
      </w:tr>
    </w:tbl>
    <w:p w14:paraId="1F390210">
      <w:pPr>
        <w:numPr>
          <w:ilvl w:val="0"/>
          <w:numId w:val="0"/>
        </w:numPr>
        <w:sectPr>
          <w:pgSz w:w="11906" w:h="16838"/>
          <w:pgMar w:top="1440" w:right="1083" w:bottom="1440" w:left="1083" w:header="851" w:footer="992" w:gutter="0"/>
          <w:pgNumType w:fmt="decimal"/>
          <w:cols w:space="0" w:num="1"/>
          <w:rtlGutter w:val="0"/>
          <w:docGrid w:type="lines" w:linePitch="312" w:charSpace="0"/>
        </w:sectPr>
      </w:pPr>
    </w:p>
    <w:tbl>
      <w:tblPr>
        <w:tblStyle w:val="21"/>
        <w:tblW w:w="504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13838"/>
      </w:tblGrid>
      <w:tr w14:paraId="3C3A8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8" w:type="pct"/>
            <w:vAlign w:val="center"/>
          </w:tcPr>
          <w:p w14:paraId="1C44B485">
            <w:pPr>
              <w:bidi w:val="0"/>
              <w:jc w:val="center"/>
              <w:rPr>
                <w:highlight w:val="yellow"/>
                <w:vertAlign w:val="baseline"/>
              </w:rPr>
            </w:pPr>
          </w:p>
        </w:tc>
        <w:tc>
          <w:tcPr>
            <w:tcW w:w="4841" w:type="pct"/>
          </w:tcPr>
          <w:p w14:paraId="498326D0">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kern w:val="0"/>
                <w:sz w:val="24"/>
                <w:szCs w:val="24"/>
                <w:highlight w:val="none"/>
                <w:u w:val="none"/>
              </w:rPr>
            </w:pPr>
            <w:r>
              <w:rPr>
                <w:rFonts w:hint="default" w:ascii="Times New Roman" w:hAnsi="Times New Roman" w:eastAsia="宋体" w:cs="Times New Roman"/>
                <w:b/>
                <w:color w:val="auto"/>
                <w:kern w:val="0"/>
                <w:sz w:val="24"/>
                <w:szCs w:val="24"/>
                <w:highlight w:val="none"/>
                <w:u w:val="none"/>
              </w:rPr>
              <w:t>3、噪声</w:t>
            </w:r>
          </w:p>
          <w:p w14:paraId="37702F4E">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3.1噪声源强分析</w:t>
            </w:r>
          </w:p>
          <w:p w14:paraId="0CD30626">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项目营运期产噪设备主要为</w:t>
            </w:r>
            <w:r>
              <w:rPr>
                <w:rFonts w:hint="default" w:ascii="Times New Roman" w:hAnsi="Times New Roman" w:eastAsia="宋体" w:cs="Times New Roman"/>
                <w:color w:val="auto"/>
                <w:sz w:val="24"/>
                <w:szCs w:val="24"/>
                <w:highlight w:val="none"/>
                <w:u w:val="none"/>
                <w:lang w:val="en-US" w:eastAsia="zh-CN"/>
              </w:rPr>
              <w:t>切菜机、和面机、鲜肉开条机以及风机</w:t>
            </w:r>
            <w:r>
              <w:rPr>
                <w:rFonts w:hint="default" w:ascii="Times New Roman" w:hAnsi="Times New Roman" w:eastAsia="宋体" w:cs="Times New Roman"/>
                <w:color w:val="auto"/>
                <w:sz w:val="24"/>
                <w:szCs w:val="24"/>
                <w:highlight w:val="none"/>
                <w:u w:val="none"/>
              </w:rPr>
              <w:t>等设备，噪声源强在</w:t>
            </w:r>
            <w:r>
              <w:rPr>
                <w:rFonts w:hint="eastAsia" w:cs="Times New Roman"/>
                <w:color w:val="auto"/>
                <w:sz w:val="24"/>
                <w:szCs w:val="24"/>
                <w:highlight w:val="none"/>
                <w:u w:val="none"/>
                <w:lang w:val="en-US" w:eastAsia="zh-CN"/>
              </w:rPr>
              <w:t>70</w:t>
            </w:r>
            <w:r>
              <w:rPr>
                <w:rFonts w:hint="default" w:ascii="Times New Roman" w:hAnsi="Times New Roman" w:eastAsia="宋体" w:cs="Times New Roman"/>
                <w:color w:val="auto"/>
                <w:sz w:val="24"/>
                <w:szCs w:val="24"/>
                <w:highlight w:val="none"/>
                <w:u w:val="none"/>
              </w:rPr>
              <w:t>~</w:t>
            </w:r>
            <w:r>
              <w:rPr>
                <w:rFonts w:hint="eastAsia" w:cs="Times New Roman"/>
                <w:color w:val="auto"/>
                <w:sz w:val="24"/>
                <w:szCs w:val="24"/>
                <w:highlight w:val="none"/>
                <w:u w:val="none"/>
                <w:lang w:val="en-US" w:eastAsia="zh-CN"/>
              </w:rPr>
              <w:t>80</w:t>
            </w:r>
            <w:r>
              <w:rPr>
                <w:rFonts w:hint="default" w:ascii="Times New Roman" w:hAnsi="Times New Roman" w:eastAsia="宋体" w:cs="Times New Roman"/>
                <w:color w:val="auto"/>
                <w:sz w:val="24"/>
                <w:szCs w:val="24"/>
                <w:highlight w:val="none"/>
                <w:u w:val="none"/>
              </w:rPr>
              <w:t>dB（A）之间。</w:t>
            </w:r>
          </w:p>
          <w:p w14:paraId="06016F04">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环评要求采取以下降噪措施：选择低噪声设备；车间内设备合理布局；高噪设备采取基础减振、厂房隔声等降噪措施；设备定期维修，保证正常运转。噪声通过墙体隔声、距离衰减后可降低15~25dB（A），取</w:t>
            </w:r>
            <w:r>
              <w:rPr>
                <w:rFonts w:hint="eastAsia" w:cs="Times New Roman"/>
                <w:color w:val="auto"/>
                <w:sz w:val="24"/>
                <w:szCs w:val="24"/>
                <w:highlight w:val="none"/>
                <w:u w:val="none"/>
                <w:lang w:val="en-US" w:eastAsia="zh-CN"/>
              </w:rPr>
              <w:t>20</w:t>
            </w:r>
            <w:r>
              <w:rPr>
                <w:rFonts w:hint="default" w:ascii="Times New Roman" w:hAnsi="Times New Roman" w:eastAsia="宋体" w:cs="Times New Roman"/>
                <w:color w:val="auto"/>
                <w:sz w:val="24"/>
                <w:szCs w:val="24"/>
                <w:highlight w:val="none"/>
                <w:u w:val="none"/>
              </w:rPr>
              <w:t>dB（A）。项目主要产噪设备、源强、降噪措施及效果见下表。</w:t>
            </w:r>
          </w:p>
          <w:p w14:paraId="08C95163">
            <w:pPr>
              <w:adjustRightInd w:val="0"/>
              <w:snapToGrid w:val="0"/>
              <w:spacing w:line="360" w:lineRule="auto"/>
              <w:ind w:firstLine="361" w:firstLineChars="150"/>
              <w:jc w:val="center"/>
              <w:rPr>
                <w:rFonts w:hint="default" w:ascii="Times New Roman" w:hAnsi="Times New Roman" w:eastAsia="宋体" w:cs="Times New Roman"/>
                <w:b/>
                <w:bCs/>
                <w:color w:val="auto"/>
                <w:sz w:val="24"/>
                <w:szCs w:val="24"/>
                <w:highlight w:val="none"/>
                <w:u w:val="none"/>
              </w:rPr>
            </w:pPr>
            <w:r>
              <w:rPr>
                <w:rFonts w:hint="default" w:ascii="Times New Roman" w:hAnsi="Times New Roman" w:eastAsia="宋体" w:cs="Times New Roman"/>
                <w:b/>
                <w:bCs/>
                <w:color w:val="auto"/>
                <w:sz w:val="24"/>
                <w:szCs w:val="24"/>
                <w:highlight w:val="none"/>
                <w:u w:val="none"/>
              </w:rPr>
              <w:t>表4-</w:t>
            </w:r>
            <w:r>
              <w:rPr>
                <w:rFonts w:hint="eastAsia" w:cs="Times New Roman"/>
                <w:b/>
                <w:bCs/>
                <w:color w:val="auto"/>
                <w:sz w:val="24"/>
                <w:szCs w:val="24"/>
                <w:highlight w:val="none"/>
                <w:u w:val="none"/>
                <w:lang w:val="en-US" w:eastAsia="zh-CN"/>
              </w:rPr>
              <w:t xml:space="preserve">16  </w:t>
            </w:r>
            <w:r>
              <w:rPr>
                <w:rFonts w:hint="default" w:ascii="Times New Roman" w:hAnsi="Times New Roman" w:eastAsia="宋体" w:cs="Times New Roman"/>
                <w:b/>
                <w:bCs/>
                <w:color w:val="auto"/>
                <w:sz w:val="24"/>
                <w:szCs w:val="24"/>
                <w:highlight w:val="none"/>
                <w:u w:val="none"/>
              </w:rPr>
              <w:t>工业企业噪声源强调查清单（室外声源）</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63"/>
              <w:gridCol w:w="1001"/>
              <w:gridCol w:w="788"/>
              <w:gridCol w:w="429"/>
              <w:gridCol w:w="952"/>
              <w:gridCol w:w="689"/>
              <w:gridCol w:w="689"/>
              <w:gridCol w:w="607"/>
              <w:gridCol w:w="689"/>
              <w:gridCol w:w="689"/>
              <w:gridCol w:w="689"/>
              <w:gridCol w:w="691"/>
              <w:gridCol w:w="621"/>
              <w:gridCol w:w="599"/>
              <w:gridCol w:w="599"/>
              <w:gridCol w:w="637"/>
              <w:gridCol w:w="640"/>
              <w:gridCol w:w="1514"/>
            </w:tblGrid>
            <w:tr w14:paraId="7A74D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restart"/>
                  <w:noWrap w:val="0"/>
                  <w:vAlign w:val="center"/>
                </w:tcPr>
                <w:p w14:paraId="0A06D167">
                  <w:pPr>
                    <w:widowControl/>
                    <w:jc w:val="center"/>
                    <w:rPr>
                      <w:color w:val="000000"/>
                      <w:sz w:val="21"/>
                      <w:szCs w:val="21"/>
                      <w:highlight w:val="none"/>
                      <w:u w:val="none"/>
                    </w:rPr>
                  </w:pPr>
                  <w:r>
                    <w:rPr>
                      <w:color w:val="000000"/>
                      <w:sz w:val="21"/>
                      <w:szCs w:val="21"/>
                      <w:highlight w:val="none"/>
                      <w:u w:val="none"/>
                    </w:rPr>
                    <w:t>序号</w:t>
                  </w:r>
                </w:p>
              </w:tc>
              <w:tc>
                <w:tcPr>
                  <w:tcW w:w="244" w:type="pct"/>
                  <w:vMerge w:val="restart"/>
                  <w:noWrap w:val="0"/>
                  <w:vAlign w:val="center"/>
                </w:tcPr>
                <w:p w14:paraId="2F461F64">
                  <w:pPr>
                    <w:widowControl/>
                    <w:jc w:val="center"/>
                    <w:rPr>
                      <w:color w:val="000000"/>
                      <w:sz w:val="21"/>
                      <w:szCs w:val="21"/>
                      <w:highlight w:val="none"/>
                      <w:u w:val="none"/>
                    </w:rPr>
                  </w:pPr>
                  <w:r>
                    <w:rPr>
                      <w:color w:val="000000"/>
                      <w:sz w:val="21"/>
                      <w:szCs w:val="21"/>
                      <w:highlight w:val="none"/>
                      <w:u w:val="none"/>
                    </w:rPr>
                    <w:t>建筑物名称</w:t>
                  </w:r>
                </w:p>
              </w:tc>
              <w:tc>
                <w:tcPr>
                  <w:tcW w:w="368" w:type="pct"/>
                  <w:vMerge w:val="restart"/>
                  <w:noWrap w:val="0"/>
                  <w:vAlign w:val="center"/>
                </w:tcPr>
                <w:p w14:paraId="628FA44D">
                  <w:pPr>
                    <w:widowControl/>
                    <w:jc w:val="center"/>
                    <w:rPr>
                      <w:color w:val="000000"/>
                      <w:sz w:val="21"/>
                      <w:szCs w:val="21"/>
                      <w:highlight w:val="none"/>
                      <w:u w:val="none"/>
                    </w:rPr>
                  </w:pPr>
                  <w:r>
                    <w:rPr>
                      <w:color w:val="000000"/>
                      <w:sz w:val="21"/>
                      <w:szCs w:val="21"/>
                      <w:highlight w:val="none"/>
                      <w:u w:val="none"/>
                    </w:rPr>
                    <w:t>固定噪声源名称</w:t>
                  </w:r>
                </w:p>
              </w:tc>
              <w:tc>
                <w:tcPr>
                  <w:tcW w:w="289" w:type="pct"/>
                  <w:vMerge w:val="restart"/>
                  <w:noWrap w:val="0"/>
                  <w:vAlign w:val="center"/>
                </w:tcPr>
                <w:p w14:paraId="3DFEEFEE">
                  <w:pPr>
                    <w:jc w:val="center"/>
                    <w:rPr>
                      <w:color w:val="000000"/>
                      <w:sz w:val="21"/>
                      <w:szCs w:val="21"/>
                      <w:highlight w:val="none"/>
                      <w:u w:val="none"/>
                    </w:rPr>
                  </w:pPr>
                  <w:r>
                    <w:rPr>
                      <w:color w:val="000000"/>
                      <w:sz w:val="21"/>
                      <w:szCs w:val="21"/>
                      <w:highlight w:val="none"/>
                      <w:u w:val="none"/>
                    </w:rPr>
                    <w:t>声功率级dB（A）</w:t>
                  </w:r>
                </w:p>
              </w:tc>
              <w:tc>
                <w:tcPr>
                  <w:tcW w:w="158" w:type="pct"/>
                  <w:vMerge w:val="restart"/>
                  <w:noWrap w:val="0"/>
                  <w:vAlign w:val="center"/>
                </w:tcPr>
                <w:p w14:paraId="3EB865DF">
                  <w:pPr>
                    <w:jc w:val="center"/>
                    <w:rPr>
                      <w:color w:val="000000"/>
                      <w:sz w:val="21"/>
                      <w:szCs w:val="21"/>
                      <w:highlight w:val="none"/>
                      <w:u w:val="none"/>
                    </w:rPr>
                  </w:pPr>
                  <w:r>
                    <w:rPr>
                      <w:color w:val="000000"/>
                      <w:sz w:val="21"/>
                      <w:szCs w:val="21"/>
                      <w:highlight w:val="none"/>
                      <w:u w:val="none"/>
                    </w:rPr>
                    <w:t>数量</w:t>
                  </w:r>
                </w:p>
              </w:tc>
              <w:tc>
                <w:tcPr>
                  <w:tcW w:w="350" w:type="pct"/>
                  <w:vMerge w:val="restart"/>
                  <w:noWrap w:val="0"/>
                  <w:vAlign w:val="center"/>
                </w:tcPr>
                <w:p w14:paraId="347A0760">
                  <w:pPr>
                    <w:jc w:val="center"/>
                    <w:rPr>
                      <w:color w:val="000000"/>
                      <w:sz w:val="21"/>
                      <w:szCs w:val="21"/>
                      <w:highlight w:val="none"/>
                      <w:u w:val="none"/>
                    </w:rPr>
                  </w:pPr>
                  <w:r>
                    <w:rPr>
                      <w:color w:val="000000"/>
                      <w:sz w:val="21"/>
                      <w:szCs w:val="21"/>
                      <w:highlight w:val="none"/>
                      <w:u w:val="none"/>
                    </w:rPr>
                    <w:t>声源控制措施</w:t>
                  </w:r>
                </w:p>
              </w:tc>
              <w:tc>
                <w:tcPr>
                  <w:tcW w:w="729" w:type="pct"/>
                  <w:gridSpan w:val="3"/>
                  <w:noWrap w:val="0"/>
                  <w:vAlign w:val="center"/>
                </w:tcPr>
                <w:p w14:paraId="4DCB83E5">
                  <w:pPr>
                    <w:jc w:val="center"/>
                    <w:rPr>
                      <w:color w:val="000000"/>
                      <w:sz w:val="21"/>
                      <w:szCs w:val="21"/>
                      <w:highlight w:val="none"/>
                      <w:u w:val="none"/>
                    </w:rPr>
                  </w:pPr>
                  <w:r>
                    <w:rPr>
                      <w:color w:val="000000"/>
                      <w:sz w:val="21"/>
                      <w:szCs w:val="21"/>
                      <w:highlight w:val="none"/>
                      <w:u w:val="none"/>
                    </w:rPr>
                    <w:t>空间相对位置</w:t>
                  </w:r>
                </w:p>
              </w:tc>
              <w:tc>
                <w:tcPr>
                  <w:tcW w:w="1013" w:type="pct"/>
                  <w:gridSpan w:val="4"/>
                  <w:noWrap w:val="0"/>
                  <w:vAlign w:val="center"/>
                </w:tcPr>
                <w:p w14:paraId="240798F3">
                  <w:pPr>
                    <w:jc w:val="center"/>
                    <w:rPr>
                      <w:color w:val="000000"/>
                      <w:sz w:val="21"/>
                      <w:szCs w:val="21"/>
                      <w:highlight w:val="none"/>
                      <w:u w:val="none"/>
                    </w:rPr>
                  </w:pPr>
                  <w:r>
                    <w:rPr>
                      <w:color w:val="000000"/>
                      <w:sz w:val="21"/>
                      <w:szCs w:val="21"/>
                      <w:highlight w:val="none"/>
                      <w:u w:val="none"/>
                    </w:rPr>
                    <w:t>距室内边界距离m</w:t>
                  </w:r>
                </w:p>
              </w:tc>
              <w:tc>
                <w:tcPr>
                  <w:tcW w:w="902" w:type="pct"/>
                  <w:gridSpan w:val="4"/>
                  <w:noWrap w:val="0"/>
                  <w:vAlign w:val="center"/>
                </w:tcPr>
                <w:p w14:paraId="3D492692">
                  <w:pPr>
                    <w:jc w:val="center"/>
                    <w:rPr>
                      <w:color w:val="000000"/>
                      <w:sz w:val="21"/>
                      <w:szCs w:val="21"/>
                      <w:highlight w:val="none"/>
                      <w:u w:val="none"/>
                    </w:rPr>
                  </w:pPr>
                  <w:r>
                    <w:rPr>
                      <w:color w:val="000000"/>
                      <w:sz w:val="21"/>
                      <w:szCs w:val="21"/>
                      <w:highlight w:val="none"/>
                      <w:u w:val="none"/>
                    </w:rPr>
                    <w:t>室内边界声级 dB（A）</w:t>
                  </w:r>
                </w:p>
              </w:tc>
              <w:tc>
                <w:tcPr>
                  <w:tcW w:w="235" w:type="pct"/>
                  <w:vMerge w:val="restart"/>
                  <w:noWrap w:val="0"/>
                  <w:vAlign w:val="center"/>
                </w:tcPr>
                <w:p w14:paraId="11A79331">
                  <w:pPr>
                    <w:jc w:val="center"/>
                    <w:rPr>
                      <w:color w:val="000000"/>
                      <w:sz w:val="21"/>
                      <w:szCs w:val="21"/>
                      <w:highlight w:val="none"/>
                      <w:u w:val="none"/>
                    </w:rPr>
                  </w:pPr>
                  <w:r>
                    <w:rPr>
                      <w:color w:val="000000"/>
                      <w:sz w:val="21"/>
                      <w:szCs w:val="21"/>
                      <w:highlight w:val="none"/>
                      <w:u w:val="none"/>
                    </w:rPr>
                    <w:t>运行</w:t>
                  </w:r>
                </w:p>
                <w:p w14:paraId="5F346E4F">
                  <w:pPr>
                    <w:jc w:val="center"/>
                    <w:rPr>
                      <w:color w:val="000000"/>
                      <w:sz w:val="21"/>
                      <w:szCs w:val="21"/>
                      <w:highlight w:val="none"/>
                      <w:u w:val="none"/>
                    </w:rPr>
                  </w:pPr>
                  <w:r>
                    <w:rPr>
                      <w:color w:val="000000"/>
                      <w:sz w:val="21"/>
                      <w:szCs w:val="21"/>
                      <w:highlight w:val="none"/>
                      <w:u w:val="none"/>
                    </w:rPr>
                    <w:t>时段</w:t>
                  </w:r>
                </w:p>
                <w:p w14:paraId="23AD0358">
                  <w:pPr>
                    <w:jc w:val="center"/>
                    <w:rPr>
                      <w:rFonts w:hint="default" w:eastAsia="宋体"/>
                      <w:color w:val="000000"/>
                      <w:sz w:val="21"/>
                      <w:szCs w:val="21"/>
                      <w:highlight w:val="none"/>
                      <w:u w:val="none"/>
                      <w:lang w:val="en-US" w:eastAsia="zh-CN"/>
                    </w:rPr>
                  </w:pPr>
                  <w:r>
                    <w:rPr>
                      <w:rFonts w:hint="eastAsia"/>
                      <w:color w:val="000000"/>
                      <w:sz w:val="21"/>
                      <w:szCs w:val="21"/>
                      <w:highlight w:val="none"/>
                      <w:u w:val="none"/>
                      <w:lang w:val="en-US" w:eastAsia="zh-CN"/>
                    </w:rPr>
                    <w:t>/h</w:t>
                  </w:r>
                </w:p>
              </w:tc>
              <w:tc>
                <w:tcPr>
                  <w:tcW w:w="550" w:type="pct"/>
                  <w:vMerge w:val="restart"/>
                  <w:noWrap w:val="0"/>
                  <w:vAlign w:val="center"/>
                </w:tcPr>
                <w:p w14:paraId="1FAE859C">
                  <w:pPr>
                    <w:jc w:val="center"/>
                    <w:rPr>
                      <w:color w:val="000000"/>
                      <w:sz w:val="21"/>
                      <w:szCs w:val="21"/>
                      <w:highlight w:val="none"/>
                      <w:u w:val="none"/>
                    </w:rPr>
                  </w:pPr>
                  <w:r>
                    <w:rPr>
                      <w:color w:val="000000"/>
                      <w:sz w:val="21"/>
                      <w:szCs w:val="21"/>
                      <w:highlight w:val="none"/>
                      <w:u w:val="none"/>
                    </w:rPr>
                    <w:t>建筑物插入损失dB（A）</w:t>
                  </w:r>
                </w:p>
              </w:tc>
            </w:tr>
            <w:tr w14:paraId="2DF6E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BF4EE54">
                  <w:pPr>
                    <w:jc w:val="center"/>
                    <w:rPr>
                      <w:color w:val="000000"/>
                      <w:sz w:val="21"/>
                      <w:szCs w:val="21"/>
                      <w:highlight w:val="none"/>
                      <w:u w:val="none"/>
                    </w:rPr>
                  </w:pPr>
                </w:p>
              </w:tc>
              <w:tc>
                <w:tcPr>
                  <w:tcW w:w="244" w:type="pct"/>
                  <w:vMerge w:val="continue"/>
                  <w:noWrap w:val="0"/>
                  <w:vAlign w:val="center"/>
                </w:tcPr>
                <w:p w14:paraId="2194ABB1">
                  <w:pPr>
                    <w:jc w:val="center"/>
                    <w:rPr>
                      <w:color w:val="000000"/>
                      <w:sz w:val="21"/>
                      <w:szCs w:val="21"/>
                      <w:highlight w:val="none"/>
                      <w:u w:val="none"/>
                    </w:rPr>
                  </w:pPr>
                </w:p>
              </w:tc>
              <w:tc>
                <w:tcPr>
                  <w:tcW w:w="368" w:type="pct"/>
                  <w:vMerge w:val="continue"/>
                  <w:noWrap w:val="0"/>
                  <w:vAlign w:val="center"/>
                </w:tcPr>
                <w:p w14:paraId="26C25997">
                  <w:pPr>
                    <w:jc w:val="center"/>
                    <w:rPr>
                      <w:color w:val="000000"/>
                      <w:sz w:val="21"/>
                      <w:szCs w:val="21"/>
                      <w:highlight w:val="none"/>
                      <w:u w:val="none"/>
                    </w:rPr>
                  </w:pPr>
                </w:p>
              </w:tc>
              <w:tc>
                <w:tcPr>
                  <w:tcW w:w="289" w:type="pct"/>
                  <w:vMerge w:val="continue"/>
                  <w:noWrap w:val="0"/>
                  <w:vAlign w:val="center"/>
                </w:tcPr>
                <w:p w14:paraId="45A719AB">
                  <w:pPr>
                    <w:jc w:val="center"/>
                    <w:rPr>
                      <w:color w:val="000000"/>
                      <w:sz w:val="21"/>
                      <w:szCs w:val="21"/>
                      <w:highlight w:val="none"/>
                      <w:u w:val="none"/>
                    </w:rPr>
                  </w:pPr>
                </w:p>
              </w:tc>
              <w:tc>
                <w:tcPr>
                  <w:tcW w:w="158" w:type="pct"/>
                  <w:vMerge w:val="continue"/>
                  <w:noWrap w:val="0"/>
                  <w:vAlign w:val="center"/>
                </w:tcPr>
                <w:p w14:paraId="16BC95DA">
                  <w:pPr>
                    <w:jc w:val="center"/>
                    <w:rPr>
                      <w:color w:val="000000"/>
                      <w:sz w:val="21"/>
                      <w:szCs w:val="21"/>
                      <w:highlight w:val="none"/>
                      <w:u w:val="none"/>
                    </w:rPr>
                  </w:pPr>
                </w:p>
              </w:tc>
              <w:tc>
                <w:tcPr>
                  <w:tcW w:w="350" w:type="pct"/>
                  <w:vMerge w:val="continue"/>
                  <w:noWrap w:val="0"/>
                  <w:vAlign w:val="center"/>
                </w:tcPr>
                <w:p w14:paraId="30612CBD">
                  <w:pPr>
                    <w:jc w:val="center"/>
                    <w:rPr>
                      <w:color w:val="000000"/>
                      <w:sz w:val="21"/>
                      <w:szCs w:val="21"/>
                      <w:highlight w:val="none"/>
                      <w:u w:val="none"/>
                    </w:rPr>
                  </w:pPr>
                </w:p>
              </w:tc>
              <w:tc>
                <w:tcPr>
                  <w:tcW w:w="253" w:type="pct"/>
                  <w:noWrap w:val="0"/>
                  <w:vAlign w:val="center"/>
                </w:tcPr>
                <w:p w14:paraId="499BF222">
                  <w:pPr>
                    <w:jc w:val="center"/>
                    <w:rPr>
                      <w:rFonts w:hint="eastAsia"/>
                      <w:color w:val="000000"/>
                      <w:sz w:val="21"/>
                      <w:szCs w:val="21"/>
                      <w:highlight w:val="none"/>
                      <w:u w:val="none"/>
                    </w:rPr>
                  </w:pPr>
                  <w:r>
                    <w:rPr>
                      <w:rFonts w:hint="eastAsia"/>
                      <w:color w:val="000000"/>
                      <w:sz w:val="21"/>
                      <w:szCs w:val="21"/>
                      <w:highlight w:val="none"/>
                      <w:u w:val="none"/>
                    </w:rPr>
                    <w:t>X</w:t>
                  </w:r>
                </w:p>
              </w:tc>
              <w:tc>
                <w:tcPr>
                  <w:tcW w:w="253" w:type="pct"/>
                  <w:noWrap w:val="0"/>
                  <w:vAlign w:val="center"/>
                </w:tcPr>
                <w:p w14:paraId="62D69BEA">
                  <w:pPr>
                    <w:jc w:val="center"/>
                    <w:rPr>
                      <w:rFonts w:hint="eastAsia"/>
                      <w:color w:val="000000"/>
                      <w:sz w:val="21"/>
                      <w:szCs w:val="21"/>
                      <w:highlight w:val="none"/>
                      <w:u w:val="none"/>
                    </w:rPr>
                  </w:pPr>
                  <w:r>
                    <w:rPr>
                      <w:rFonts w:hint="eastAsia"/>
                      <w:color w:val="000000"/>
                      <w:sz w:val="21"/>
                      <w:szCs w:val="21"/>
                      <w:highlight w:val="none"/>
                      <w:u w:val="none"/>
                    </w:rPr>
                    <w:t>Y</w:t>
                  </w:r>
                </w:p>
              </w:tc>
              <w:tc>
                <w:tcPr>
                  <w:tcW w:w="222" w:type="pct"/>
                  <w:noWrap w:val="0"/>
                  <w:vAlign w:val="center"/>
                </w:tcPr>
                <w:p w14:paraId="71197CF0">
                  <w:pPr>
                    <w:jc w:val="center"/>
                    <w:rPr>
                      <w:rFonts w:hint="eastAsia"/>
                      <w:color w:val="000000"/>
                      <w:sz w:val="21"/>
                      <w:szCs w:val="21"/>
                      <w:highlight w:val="none"/>
                      <w:u w:val="none"/>
                    </w:rPr>
                  </w:pPr>
                  <w:r>
                    <w:rPr>
                      <w:rFonts w:hint="eastAsia"/>
                      <w:color w:val="000000"/>
                      <w:sz w:val="21"/>
                      <w:szCs w:val="21"/>
                      <w:highlight w:val="none"/>
                      <w:u w:val="none"/>
                    </w:rPr>
                    <w:t>Z</w:t>
                  </w:r>
                </w:p>
              </w:tc>
              <w:tc>
                <w:tcPr>
                  <w:tcW w:w="253" w:type="pct"/>
                  <w:noWrap w:val="0"/>
                  <w:vAlign w:val="center"/>
                </w:tcPr>
                <w:p w14:paraId="2C3DD317">
                  <w:pPr>
                    <w:jc w:val="center"/>
                    <w:rPr>
                      <w:color w:val="000000"/>
                      <w:sz w:val="21"/>
                      <w:szCs w:val="21"/>
                      <w:highlight w:val="none"/>
                      <w:u w:val="none"/>
                    </w:rPr>
                  </w:pPr>
                  <w:r>
                    <w:rPr>
                      <w:rFonts w:hint="eastAsia"/>
                      <w:color w:val="000000"/>
                      <w:sz w:val="21"/>
                      <w:szCs w:val="21"/>
                      <w:highlight w:val="none"/>
                      <w:u w:val="none"/>
                    </w:rPr>
                    <w:t>东</w:t>
                  </w:r>
                </w:p>
              </w:tc>
              <w:tc>
                <w:tcPr>
                  <w:tcW w:w="253" w:type="pct"/>
                  <w:noWrap w:val="0"/>
                  <w:vAlign w:val="center"/>
                </w:tcPr>
                <w:p w14:paraId="1A31ED34">
                  <w:pPr>
                    <w:jc w:val="center"/>
                    <w:rPr>
                      <w:rFonts w:hint="eastAsia"/>
                      <w:color w:val="000000"/>
                      <w:sz w:val="21"/>
                      <w:szCs w:val="21"/>
                      <w:highlight w:val="none"/>
                      <w:u w:val="none"/>
                    </w:rPr>
                  </w:pPr>
                  <w:r>
                    <w:rPr>
                      <w:rFonts w:hint="eastAsia"/>
                      <w:color w:val="000000"/>
                      <w:sz w:val="21"/>
                      <w:szCs w:val="21"/>
                      <w:highlight w:val="none"/>
                      <w:u w:val="none"/>
                    </w:rPr>
                    <w:t>南</w:t>
                  </w:r>
                </w:p>
              </w:tc>
              <w:tc>
                <w:tcPr>
                  <w:tcW w:w="253" w:type="pct"/>
                  <w:noWrap w:val="0"/>
                  <w:vAlign w:val="center"/>
                </w:tcPr>
                <w:p w14:paraId="2D7C924E">
                  <w:pPr>
                    <w:jc w:val="center"/>
                    <w:rPr>
                      <w:rFonts w:hint="eastAsia"/>
                      <w:color w:val="000000"/>
                      <w:sz w:val="21"/>
                      <w:szCs w:val="21"/>
                      <w:highlight w:val="none"/>
                      <w:u w:val="none"/>
                    </w:rPr>
                  </w:pPr>
                  <w:r>
                    <w:rPr>
                      <w:rFonts w:hint="eastAsia"/>
                      <w:color w:val="000000"/>
                      <w:sz w:val="21"/>
                      <w:szCs w:val="21"/>
                      <w:highlight w:val="none"/>
                      <w:u w:val="none"/>
                    </w:rPr>
                    <w:t>西</w:t>
                  </w:r>
                </w:p>
              </w:tc>
              <w:tc>
                <w:tcPr>
                  <w:tcW w:w="253" w:type="pct"/>
                  <w:noWrap w:val="0"/>
                  <w:vAlign w:val="center"/>
                </w:tcPr>
                <w:p w14:paraId="4E97A9D4">
                  <w:pPr>
                    <w:jc w:val="center"/>
                    <w:rPr>
                      <w:rFonts w:hint="eastAsia"/>
                      <w:color w:val="000000"/>
                      <w:sz w:val="21"/>
                      <w:szCs w:val="21"/>
                      <w:highlight w:val="none"/>
                      <w:u w:val="none"/>
                    </w:rPr>
                  </w:pPr>
                  <w:r>
                    <w:rPr>
                      <w:rFonts w:hint="eastAsia"/>
                      <w:color w:val="000000"/>
                      <w:sz w:val="21"/>
                      <w:szCs w:val="21"/>
                      <w:highlight w:val="none"/>
                      <w:u w:val="none"/>
                    </w:rPr>
                    <w:t>北</w:t>
                  </w:r>
                </w:p>
              </w:tc>
              <w:tc>
                <w:tcPr>
                  <w:tcW w:w="228" w:type="pct"/>
                  <w:noWrap w:val="0"/>
                  <w:vAlign w:val="center"/>
                </w:tcPr>
                <w:p w14:paraId="10539E00">
                  <w:pPr>
                    <w:jc w:val="center"/>
                    <w:rPr>
                      <w:rFonts w:hint="eastAsia"/>
                      <w:color w:val="000000"/>
                      <w:sz w:val="21"/>
                      <w:szCs w:val="21"/>
                      <w:highlight w:val="none"/>
                      <w:u w:val="none"/>
                    </w:rPr>
                  </w:pPr>
                  <w:r>
                    <w:rPr>
                      <w:rFonts w:hint="eastAsia"/>
                      <w:color w:val="000000"/>
                      <w:sz w:val="21"/>
                      <w:szCs w:val="21"/>
                      <w:highlight w:val="none"/>
                      <w:u w:val="none"/>
                    </w:rPr>
                    <w:t>东</w:t>
                  </w:r>
                </w:p>
              </w:tc>
              <w:tc>
                <w:tcPr>
                  <w:tcW w:w="220" w:type="pct"/>
                  <w:noWrap w:val="0"/>
                  <w:vAlign w:val="center"/>
                </w:tcPr>
                <w:p w14:paraId="1DBEAA8B">
                  <w:pPr>
                    <w:jc w:val="center"/>
                    <w:rPr>
                      <w:rFonts w:hint="eastAsia"/>
                      <w:color w:val="000000"/>
                      <w:sz w:val="21"/>
                      <w:szCs w:val="21"/>
                      <w:highlight w:val="none"/>
                      <w:u w:val="none"/>
                    </w:rPr>
                  </w:pPr>
                  <w:r>
                    <w:rPr>
                      <w:rFonts w:hint="eastAsia"/>
                      <w:color w:val="000000"/>
                      <w:sz w:val="21"/>
                      <w:szCs w:val="21"/>
                      <w:highlight w:val="none"/>
                      <w:u w:val="none"/>
                    </w:rPr>
                    <w:t>南</w:t>
                  </w:r>
                </w:p>
              </w:tc>
              <w:tc>
                <w:tcPr>
                  <w:tcW w:w="220" w:type="pct"/>
                  <w:noWrap w:val="0"/>
                  <w:vAlign w:val="center"/>
                </w:tcPr>
                <w:p w14:paraId="29D6DDB3">
                  <w:pPr>
                    <w:jc w:val="center"/>
                    <w:rPr>
                      <w:rFonts w:hint="eastAsia"/>
                      <w:color w:val="000000"/>
                      <w:sz w:val="21"/>
                      <w:szCs w:val="21"/>
                      <w:highlight w:val="none"/>
                      <w:u w:val="none"/>
                    </w:rPr>
                  </w:pPr>
                  <w:r>
                    <w:rPr>
                      <w:rFonts w:hint="eastAsia"/>
                      <w:color w:val="000000"/>
                      <w:sz w:val="21"/>
                      <w:szCs w:val="21"/>
                      <w:highlight w:val="none"/>
                      <w:u w:val="none"/>
                    </w:rPr>
                    <w:t>西</w:t>
                  </w:r>
                </w:p>
              </w:tc>
              <w:tc>
                <w:tcPr>
                  <w:tcW w:w="233" w:type="pct"/>
                  <w:noWrap w:val="0"/>
                  <w:vAlign w:val="center"/>
                </w:tcPr>
                <w:p w14:paraId="0219005B">
                  <w:pPr>
                    <w:jc w:val="center"/>
                    <w:rPr>
                      <w:rFonts w:hint="eastAsia"/>
                      <w:color w:val="000000"/>
                      <w:sz w:val="21"/>
                      <w:szCs w:val="21"/>
                      <w:highlight w:val="none"/>
                      <w:u w:val="none"/>
                    </w:rPr>
                  </w:pPr>
                  <w:r>
                    <w:rPr>
                      <w:rFonts w:hint="eastAsia"/>
                      <w:color w:val="000000"/>
                      <w:sz w:val="21"/>
                      <w:szCs w:val="21"/>
                      <w:highlight w:val="none"/>
                      <w:u w:val="none"/>
                    </w:rPr>
                    <w:t>北</w:t>
                  </w:r>
                </w:p>
              </w:tc>
              <w:tc>
                <w:tcPr>
                  <w:tcW w:w="235" w:type="pct"/>
                  <w:vMerge w:val="continue"/>
                  <w:noWrap w:val="0"/>
                  <w:vAlign w:val="center"/>
                </w:tcPr>
                <w:p w14:paraId="7E5048D1">
                  <w:pPr>
                    <w:jc w:val="center"/>
                    <w:rPr>
                      <w:rFonts w:hint="eastAsia"/>
                      <w:color w:val="000000"/>
                      <w:sz w:val="21"/>
                      <w:szCs w:val="21"/>
                      <w:highlight w:val="none"/>
                      <w:u w:val="none"/>
                    </w:rPr>
                  </w:pPr>
                </w:p>
              </w:tc>
              <w:tc>
                <w:tcPr>
                  <w:tcW w:w="550" w:type="pct"/>
                  <w:vMerge w:val="continue"/>
                  <w:noWrap w:val="0"/>
                  <w:vAlign w:val="center"/>
                </w:tcPr>
                <w:p w14:paraId="3BCB4F66">
                  <w:pPr>
                    <w:jc w:val="center"/>
                    <w:rPr>
                      <w:color w:val="000000"/>
                      <w:sz w:val="21"/>
                      <w:szCs w:val="21"/>
                      <w:highlight w:val="none"/>
                      <w:u w:val="none"/>
                    </w:rPr>
                  </w:pPr>
                </w:p>
              </w:tc>
            </w:tr>
            <w:tr w14:paraId="65DBC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restart"/>
                  <w:noWrap w:val="0"/>
                  <w:vAlign w:val="center"/>
                </w:tcPr>
                <w:p w14:paraId="05F48651">
                  <w:pPr>
                    <w:widowControl/>
                    <w:jc w:val="center"/>
                    <w:rPr>
                      <w:color w:val="000000"/>
                      <w:sz w:val="21"/>
                      <w:szCs w:val="21"/>
                      <w:highlight w:val="none"/>
                      <w:u w:val="none"/>
                    </w:rPr>
                  </w:pPr>
                  <w:r>
                    <w:rPr>
                      <w:color w:val="000000"/>
                      <w:sz w:val="21"/>
                      <w:szCs w:val="21"/>
                      <w:highlight w:val="none"/>
                      <w:u w:val="none"/>
                    </w:rPr>
                    <w:t>1</w:t>
                  </w:r>
                </w:p>
              </w:tc>
              <w:tc>
                <w:tcPr>
                  <w:tcW w:w="244" w:type="pct"/>
                  <w:vMerge w:val="restart"/>
                  <w:noWrap w:val="0"/>
                  <w:vAlign w:val="center"/>
                </w:tcPr>
                <w:p w14:paraId="18A39D6F">
                  <w:pPr>
                    <w:jc w:val="center"/>
                    <w:rPr>
                      <w:color w:val="000000"/>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生产车间</w:t>
                  </w:r>
                </w:p>
              </w:tc>
              <w:tc>
                <w:tcPr>
                  <w:tcW w:w="368" w:type="pct"/>
                  <w:shd w:val="clear" w:color="auto" w:fill="auto"/>
                  <w:noWrap w:val="0"/>
                  <w:vAlign w:val="center"/>
                </w:tcPr>
                <w:p w14:paraId="0D6300B9">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kern w:val="2"/>
                      <w:sz w:val="21"/>
                      <w:szCs w:val="21"/>
                      <w:highlight w:val="none"/>
                      <w:u w:val="none"/>
                      <w:lang w:val="en-US" w:eastAsia="zh-CN" w:bidi="ar-SA"/>
                    </w:rPr>
                    <w:t>球茎清洗机</w:t>
                  </w:r>
                </w:p>
              </w:tc>
              <w:tc>
                <w:tcPr>
                  <w:tcW w:w="289" w:type="pct"/>
                  <w:shd w:val="clear" w:color="auto" w:fill="auto"/>
                  <w:noWrap w:val="0"/>
                  <w:vAlign w:val="center"/>
                </w:tcPr>
                <w:p w14:paraId="3F8C2FD8">
                  <w:pPr>
                    <w:jc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70</w:t>
                  </w:r>
                </w:p>
              </w:tc>
              <w:tc>
                <w:tcPr>
                  <w:tcW w:w="158" w:type="pct"/>
                  <w:shd w:val="clear" w:color="auto" w:fill="auto"/>
                  <w:noWrap w:val="0"/>
                  <w:vAlign w:val="center"/>
                </w:tcPr>
                <w:p w14:paraId="018832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restart"/>
                  <w:noWrap w:val="0"/>
                  <w:vAlign w:val="center"/>
                </w:tcPr>
                <w:p w14:paraId="6E7C3609">
                  <w:pPr>
                    <w:jc w:val="center"/>
                    <w:rPr>
                      <w:color w:val="000000"/>
                      <w:sz w:val="21"/>
                      <w:szCs w:val="21"/>
                      <w:highlight w:val="none"/>
                      <w:u w:val="none"/>
                    </w:rPr>
                  </w:pPr>
                  <w:r>
                    <w:rPr>
                      <w:color w:val="000000"/>
                      <w:sz w:val="21"/>
                      <w:szCs w:val="21"/>
                      <w:highlight w:val="none"/>
                      <w:u w:val="none"/>
                    </w:rPr>
                    <w:t>设备合理布局；高噪设备采取基础减振、厂房隔声等降噪措施</w:t>
                  </w:r>
                </w:p>
              </w:tc>
              <w:tc>
                <w:tcPr>
                  <w:tcW w:w="689" w:type="dxa"/>
                  <w:noWrap w:val="0"/>
                  <w:vAlign w:val="center"/>
                </w:tcPr>
                <w:p w14:paraId="78A3F467">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92.45</w:t>
                  </w:r>
                </w:p>
              </w:tc>
              <w:tc>
                <w:tcPr>
                  <w:tcW w:w="689" w:type="dxa"/>
                  <w:noWrap w:val="0"/>
                  <w:vAlign w:val="center"/>
                </w:tcPr>
                <w:p w14:paraId="35C44AE1">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21.54</w:t>
                  </w:r>
                </w:p>
              </w:tc>
              <w:tc>
                <w:tcPr>
                  <w:tcW w:w="222" w:type="pct"/>
                  <w:noWrap w:val="0"/>
                  <w:vAlign w:val="center"/>
                </w:tcPr>
                <w:p w14:paraId="14BEB693">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4C6C2C6B">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26.74</w:t>
                  </w:r>
                </w:p>
              </w:tc>
              <w:tc>
                <w:tcPr>
                  <w:tcW w:w="689" w:type="dxa"/>
                  <w:noWrap w:val="0"/>
                  <w:vAlign w:val="center"/>
                </w:tcPr>
                <w:p w14:paraId="5C4EFCB4">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21.54</w:t>
                  </w:r>
                </w:p>
              </w:tc>
              <w:tc>
                <w:tcPr>
                  <w:tcW w:w="689" w:type="dxa"/>
                  <w:noWrap w:val="0"/>
                  <w:vAlign w:val="center"/>
                </w:tcPr>
                <w:p w14:paraId="7D56E42C">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92.45</w:t>
                  </w:r>
                </w:p>
              </w:tc>
              <w:tc>
                <w:tcPr>
                  <w:tcW w:w="691" w:type="dxa"/>
                  <w:noWrap w:val="0"/>
                  <w:vAlign w:val="center"/>
                </w:tcPr>
                <w:p w14:paraId="5B4896B1">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9.27</w:t>
                  </w:r>
                </w:p>
              </w:tc>
              <w:tc>
                <w:tcPr>
                  <w:tcW w:w="621" w:type="dxa"/>
                  <w:noWrap w:val="0"/>
                  <w:vAlign w:val="center"/>
                </w:tcPr>
                <w:p w14:paraId="1C4B2CF2">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41.5</w:t>
                  </w:r>
                </w:p>
              </w:tc>
              <w:tc>
                <w:tcPr>
                  <w:tcW w:w="599" w:type="dxa"/>
                  <w:noWrap w:val="0"/>
                  <w:vAlign w:val="center"/>
                </w:tcPr>
                <w:p w14:paraId="63474B83">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43.3</w:t>
                  </w:r>
                </w:p>
              </w:tc>
              <w:tc>
                <w:tcPr>
                  <w:tcW w:w="599" w:type="dxa"/>
                  <w:noWrap w:val="0"/>
                  <w:vAlign w:val="center"/>
                </w:tcPr>
                <w:p w14:paraId="7A6B79B5">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30.7</w:t>
                  </w:r>
                </w:p>
              </w:tc>
              <w:tc>
                <w:tcPr>
                  <w:tcW w:w="637" w:type="dxa"/>
                  <w:noWrap w:val="0"/>
                  <w:vAlign w:val="center"/>
                </w:tcPr>
                <w:p w14:paraId="4CB32AD6">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50.7</w:t>
                  </w:r>
                </w:p>
              </w:tc>
              <w:tc>
                <w:tcPr>
                  <w:tcW w:w="235" w:type="pct"/>
                  <w:noWrap w:val="0"/>
                  <w:vAlign w:val="center"/>
                </w:tcPr>
                <w:p w14:paraId="35F64F7D">
                  <w:pPr>
                    <w:widowControl/>
                    <w:jc w:val="center"/>
                    <w:rPr>
                      <w:rFonts w:hint="eastAsia" w:eastAsia="宋体"/>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restart"/>
                  <w:noWrap w:val="0"/>
                  <w:vAlign w:val="center"/>
                </w:tcPr>
                <w:p w14:paraId="09BC01C1">
                  <w:pPr>
                    <w:tabs>
                      <w:tab w:val="left" w:pos="389"/>
                    </w:tabs>
                    <w:jc w:val="center"/>
                    <w:rPr>
                      <w:color w:val="000000"/>
                      <w:sz w:val="21"/>
                      <w:szCs w:val="21"/>
                      <w:highlight w:val="none"/>
                      <w:u w:val="none"/>
                    </w:rPr>
                  </w:pPr>
                  <w:r>
                    <w:rPr>
                      <w:rFonts w:hint="eastAsia"/>
                      <w:color w:val="000000"/>
                      <w:sz w:val="21"/>
                      <w:szCs w:val="21"/>
                      <w:highlight w:val="none"/>
                      <w:u w:val="none"/>
                    </w:rPr>
                    <w:t>设备合理布局；高噪设备采取基础减振、厂房隔声等降噪措施后声源降低</w:t>
                  </w:r>
                  <w:r>
                    <w:rPr>
                      <w:rFonts w:hint="eastAsia"/>
                      <w:color w:val="000000"/>
                      <w:sz w:val="21"/>
                      <w:szCs w:val="21"/>
                      <w:highlight w:val="none"/>
                      <w:u w:val="none"/>
                      <w:lang w:val="en-US" w:eastAsia="zh-CN"/>
                    </w:rPr>
                    <w:t>20</w:t>
                  </w:r>
                  <w:r>
                    <w:rPr>
                      <w:rFonts w:hint="eastAsia"/>
                      <w:color w:val="000000"/>
                      <w:sz w:val="21"/>
                      <w:szCs w:val="21"/>
                      <w:highlight w:val="none"/>
                      <w:u w:val="none"/>
                    </w:rPr>
                    <w:t>dB（A）</w:t>
                  </w:r>
                </w:p>
              </w:tc>
            </w:tr>
            <w:tr w14:paraId="2A795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A73FC78">
                  <w:pPr>
                    <w:widowControl/>
                    <w:jc w:val="center"/>
                    <w:rPr>
                      <w:color w:val="000000"/>
                      <w:sz w:val="21"/>
                      <w:szCs w:val="21"/>
                      <w:highlight w:val="none"/>
                      <w:u w:val="none"/>
                    </w:rPr>
                  </w:pPr>
                </w:p>
              </w:tc>
              <w:tc>
                <w:tcPr>
                  <w:tcW w:w="244" w:type="pct"/>
                  <w:vMerge w:val="continue"/>
                  <w:noWrap w:val="0"/>
                  <w:vAlign w:val="center"/>
                </w:tcPr>
                <w:p w14:paraId="1FEC294D">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05D584C3">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color w:val="000000" w:themeColor="text1"/>
                      <w:sz w:val="21"/>
                      <w:szCs w:val="21"/>
                      <w:highlight w:val="none"/>
                      <w:vertAlign w:val="baseline"/>
                      <w:lang w:val="en-US" w:eastAsia="zh-CN"/>
                      <w14:textFill>
                        <w14:solidFill>
                          <w14:schemeClr w14:val="tx1"/>
                        </w14:solidFill>
                      </w14:textFill>
                    </w:rPr>
                    <w:t>毛刷去皮机</w:t>
                  </w:r>
                </w:p>
              </w:tc>
              <w:tc>
                <w:tcPr>
                  <w:tcW w:w="289" w:type="pct"/>
                  <w:shd w:val="clear" w:color="auto" w:fill="auto"/>
                  <w:noWrap w:val="0"/>
                  <w:vAlign w:val="center"/>
                </w:tcPr>
                <w:p w14:paraId="14A57646">
                  <w:pPr>
                    <w:jc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3CF23FB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w:t>
                  </w:r>
                </w:p>
              </w:tc>
              <w:tc>
                <w:tcPr>
                  <w:tcW w:w="350" w:type="pct"/>
                  <w:vMerge w:val="continue"/>
                  <w:noWrap w:val="0"/>
                  <w:vAlign w:val="center"/>
                </w:tcPr>
                <w:p w14:paraId="76525B1B">
                  <w:pPr>
                    <w:jc w:val="center"/>
                    <w:rPr>
                      <w:color w:val="000000"/>
                      <w:sz w:val="21"/>
                      <w:szCs w:val="21"/>
                      <w:highlight w:val="none"/>
                      <w:u w:val="none"/>
                    </w:rPr>
                  </w:pPr>
                </w:p>
              </w:tc>
              <w:tc>
                <w:tcPr>
                  <w:tcW w:w="689" w:type="dxa"/>
                  <w:noWrap w:val="0"/>
                  <w:vAlign w:val="center"/>
                </w:tcPr>
                <w:p w14:paraId="7814D50A">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91.33</w:t>
                  </w:r>
                </w:p>
              </w:tc>
              <w:tc>
                <w:tcPr>
                  <w:tcW w:w="689" w:type="dxa"/>
                  <w:noWrap w:val="0"/>
                  <w:vAlign w:val="center"/>
                </w:tcPr>
                <w:p w14:paraId="017B5DC0">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26.71</w:t>
                  </w:r>
                </w:p>
              </w:tc>
              <w:tc>
                <w:tcPr>
                  <w:tcW w:w="222" w:type="pct"/>
                  <w:noWrap w:val="0"/>
                  <w:vAlign w:val="center"/>
                </w:tcPr>
                <w:p w14:paraId="5DCBC65C">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77228A4D">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27.86</w:t>
                  </w:r>
                </w:p>
              </w:tc>
              <w:tc>
                <w:tcPr>
                  <w:tcW w:w="689" w:type="dxa"/>
                  <w:noWrap w:val="0"/>
                  <w:vAlign w:val="center"/>
                </w:tcPr>
                <w:p w14:paraId="6C270902">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26.71</w:t>
                  </w:r>
                </w:p>
              </w:tc>
              <w:tc>
                <w:tcPr>
                  <w:tcW w:w="689" w:type="dxa"/>
                  <w:noWrap w:val="0"/>
                  <w:vAlign w:val="center"/>
                </w:tcPr>
                <w:p w14:paraId="16C70E19">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91.33</w:t>
                  </w:r>
                </w:p>
              </w:tc>
              <w:tc>
                <w:tcPr>
                  <w:tcW w:w="691" w:type="dxa"/>
                  <w:noWrap w:val="0"/>
                  <w:vAlign w:val="center"/>
                </w:tcPr>
                <w:p w14:paraId="1CCE7A20">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4.10</w:t>
                  </w:r>
                </w:p>
              </w:tc>
              <w:tc>
                <w:tcPr>
                  <w:tcW w:w="621" w:type="dxa"/>
                  <w:noWrap w:val="0"/>
                  <w:vAlign w:val="center"/>
                </w:tcPr>
                <w:p w14:paraId="703AD739">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46.1</w:t>
                  </w:r>
                </w:p>
              </w:tc>
              <w:tc>
                <w:tcPr>
                  <w:tcW w:w="599" w:type="dxa"/>
                  <w:noWrap w:val="0"/>
                  <w:vAlign w:val="center"/>
                </w:tcPr>
                <w:p w14:paraId="4D031BC8">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46.5</w:t>
                  </w:r>
                </w:p>
              </w:tc>
              <w:tc>
                <w:tcPr>
                  <w:tcW w:w="599" w:type="dxa"/>
                  <w:noWrap w:val="0"/>
                  <w:vAlign w:val="center"/>
                </w:tcPr>
                <w:p w14:paraId="2C95F7AC">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35.8</w:t>
                  </w:r>
                </w:p>
              </w:tc>
              <w:tc>
                <w:tcPr>
                  <w:tcW w:w="637" w:type="dxa"/>
                  <w:noWrap w:val="0"/>
                  <w:vAlign w:val="center"/>
                </w:tcPr>
                <w:p w14:paraId="613B06FE">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62.7</w:t>
                  </w:r>
                </w:p>
              </w:tc>
              <w:tc>
                <w:tcPr>
                  <w:tcW w:w="235" w:type="pct"/>
                  <w:noWrap w:val="0"/>
                  <w:vAlign w:val="center"/>
                </w:tcPr>
                <w:p w14:paraId="581FF1E2">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5CEF788A">
                  <w:pPr>
                    <w:tabs>
                      <w:tab w:val="left" w:pos="389"/>
                    </w:tabs>
                    <w:jc w:val="center"/>
                    <w:rPr>
                      <w:rFonts w:hint="eastAsia"/>
                      <w:color w:val="000000"/>
                      <w:sz w:val="21"/>
                      <w:szCs w:val="21"/>
                      <w:highlight w:val="none"/>
                      <w:u w:val="none"/>
                    </w:rPr>
                  </w:pPr>
                </w:p>
              </w:tc>
            </w:tr>
            <w:tr w14:paraId="34816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2C6D80C">
                  <w:pPr>
                    <w:widowControl/>
                    <w:jc w:val="center"/>
                    <w:rPr>
                      <w:color w:val="000000"/>
                      <w:sz w:val="21"/>
                      <w:szCs w:val="21"/>
                      <w:highlight w:val="none"/>
                      <w:u w:val="none"/>
                    </w:rPr>
                  </w:pPr>
                </w:p>
              </w:tc>
              <w:tc>
                <w:tcPr>
                  <w:tcW w:w="244" w:type="pct"/>
                  <w:vMerge w:val="continue"/>
                  <w:noWrap w:val="0"/>
                  <w:vAlign w:val="center"/>
                </w:tcPr>
                <w:p w14:paraId="208D13C0">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2B07F0D7">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color w:val="000000" w:themeColor="text1"/>
                      <w:sz w:val="21"/>
                      <w:szCs w:val="21"/>
                      <w:highlight w:val="none"/>
                      <w:vertAlign w:val="baseline"/>
                      <w:lang w:val="en-US" w:eastAsia="zh-CN"/>
                      <w14:textFill>
                        <w14:solidFill>
                          <w14:schemeClr w14:val="tx1"/>
                        </w14:solidFill>
                      </w14:textFill>
                    </w:rPr>
                    <w:t>球茎切菜机</w:t>
                  </w:r>
                </w:p>
              </w:tc>
              <w:tc>
                <w:tcPr>
                  <w:tcW w:w="289" w:type="pct"/>
                  <w:shd w:val="clear" w:color="auto" w:fill="auto"/>
                  <w:noWrap w:val="0"/>
                  <w:vAlign w:val="center"/>
                </w:tcPr>
                <w:p w14:paraId="05528FDD">
                  <w:pPr>
                    <w:jc w:val="center"/>
                    <w:rPr>
                      <w:rFonts w:hint="eastAsia" w:ascii="Times New Roman" w:hAnsi="Times New Roman" w:eastAsia="宋体"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342E5B7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2</w:t>
                  </w:r>
                </w:p>
              </w:tc>
              <w:tc>
                <w:tcPr>
                  <w:tcW w:w="350" w:type="pct"/>
                  <w:vMerge w:val="continue"/>
                  <w:noWrap w:val="0"/>
                  <w:vAlign w:val="center"/>
                </w:tcPr>
                <w:p w14:paraId="097B0C59">
                  <w:pPr>
                    <w:jc w:val="center"/>
                    <w:rPr>
                      <w:color w:val="000000"/>
                      <w:sz w:val="21"/>
                      <w:szCs w:val="21"/>
                      <w:highlight w:val="none"/>
                      <w:u w:val="none"/>
                    </w:rPr>
                  </w:pPr>
                </w:p>
              </w:tc>
              <w:tc>
                <w:tcPr>
                  <w:tcW w:w="689" w:type="dxa"/>
                  <w:noWrap w:val="0"/>
                  <w:vAlign w:val="center"/>
                </w:tcPr>
                <w:p w14:paraId="06512E6C">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85.45</w:t>
                  </w:r>
                </w:p>
              </w:tc>
              <w:tc>
                <w:tcPr>
                  <w:tcW w:w="689" w:type="dxa"/>
                  <w:noWrap w:val="0"/>
                  <w:vAlign w:val="center"/>
                </w:tcPr>
                <w:p w14:paraId="3E556AE8">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26.51</w:t>
                  </w:r>
                </w:p>
              </w:tc>
              <w:tc>
                <w:tcPr>
                  <w:tcW w:w="222" w:type="pct"/>
                  <w:noWrap w:val="0"/>
                  <w:vAlign w:val="center"/>
                </w:tcPr>
                <w:p w14:paraId="57783D09">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4D1F13A6">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33.74</w:t>
                  </w:r>
                </w:p>
              </w:tc>
              <w:tc>
                <w:tcPr>
                  <w:tcW w:w="689" w:type="dxa"/>
                  <w:noWrap w:val="0"/>
                  <w:vAlign w:val="center"/>
                </w:tcPr>
                <w:p w14:paraId="37B6CA30">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26.51</w:t>
                  </w:r>
                </w:p>
              </w:tc>
              <w:tc>
                <w:tcPr>
                  <w:tcW w:w="689" w:type="dxa"/>
                  <w:shd w:val="clear" w:color="auto" w:fill="auto"/>
                  <w:noWrap w:val="0"/>
                  <w:vAlign w:val="center"/>
                </w:tcPr>
                <w:p w14:paraId="1BAEF119">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85.45</w:t>
                  </w:r>
                </w:p>
              </w:tc>
              <w:tc>
                <w:tcPr>
                  <w:tcW w:w="691" w:type="dxa"/>
                  <w:noWrap w:val="0"/>
                  <w:vAlign w:val="center"/>
                </w:tcPr>
                <w:p w14:paraId="159698A8">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4.30</w:t>
                  </w:r>
                </w:p>
              </w:tc>
              <w:tc>
                <w:tcPr>
                  <w:tcW w:w="621" w:type="dxa"/>
                  <w:noWrap w:val="0"/>
                  <w:vAlign w:val="center"/>
                </w:tcPr>
                <w:p w14:paraId="12F9CCF5">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44.4</w:t>
                  </w:r>
                </w:p>
              </w:tc>
              <w:tc>
                <w:tcPr>
                  <w:tcW w:w="599" w:type="dxa"/>
                  <w:noWrap w:val="0"/>
                  <w:vAlign w:val="center"/>
                </w:tcPr>
                <w:p w14:paraId="29154563">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46.5</w:t>
                  </w:r>
                </w:p>
              </w:tc>
              <w:tc>
                <w:tcPr>
                  <w:tcW w:w="599" w:type="dxa"/>
                  <w:noWrap w:val="0"/>
                  <w:vAlign w:val="center"/>
                </w:tcPr>
                <w:p w14:paraId="175DDDB4">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36.4</w:t>
                  </w:r>
                </w:p>
              </w:tc>
              <w:tc>
                <w:tcPr>
                  <w:tcW w:w="637" w:type="dxa"/>
                  <w:noWrap w:val="0"/>
                  <w:vAlign w:val="center"/>
                </w:tcPr>
                <w:p w14:paraId="56AB81E3">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62.3</w:t>
                  </w:r>
                </w:p>
              </w:tc>
              <w:tc>
                <w:tcPr>
                  <w:tcW w:w="235" w:type="pct"/>
                  <w:noWrap w:val="0"/>
                  <w:vAlign w:val="center"/>
                </w:tcPr>
                <w:p w14:paraId="7F0CF55D">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78A0C2BB">
                  <w:pPr>
                    <w:tabs>
                      <w:tab w:val="left" w:pos="389"/>
                    </w:tabs>
                    <w:jc w:val="center"/>
                    <w:rPr>
                      <w:rFonts w:hint="eastAsia"/>
                      <w:color w:val="000000"/>
                      <w:sz w:val="21"/>
                      <w:szCs w:val="21"/>
                      <w:highlight w:val="none"/>
                      <w:u w:val="none"/>
                    </w:rPr>
                  </w:pPr>
                </w:p>
              </w:tc>
            </w:tr>
            <w:tr w14:paraId="4EEE4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6215E7BE">
                  <w:pPr>
                    <w:widowControl/>
                    <w:jc w:val="center"/>
                    <w:rPr>
                      <w:color w:val="000000"/>
                      <w:sz w:val="21"/>
                      <w:szCs w:val="21"/>
                      <w:highlight w:val="none"/>
                      <w:u w:val="none"/>
                    </w:rPr>
                  </w:pPr>
                </w:p>
              </w:tc>
              <w:tc>
                <w:tcPr>
                  <w:tcW w:w="244" w:type="pct"/>
                  <w:vMerge w:val="continue"/>
                  <w:noWrap w:val="0"/>
                  <w:vAlign w:val="center"/>
                </w:tcPr>
                <w:p w14:paraId="4DBA23EC">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764EACD3">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default" w:eastAsia="宋体"/>
                      <w:color w:val="000000" w:themeColor="text1"/>
                      <w:sz w:val="21"/>
                      <w:szCs w:val="21"/>
                      <w:highlight w:val="none"/>
                      <w:vertAlign w:val="baseline"/>
                      <w:lang w:val="en-US" w:eastAsia="zh-CN"/>
                      <w14:textFill>
                        <w14:solidFill>
                          <w14:schemeClr w14:val="tx1"/>
                        </w14:solidFill>
                      </w14:textFill>
                    </w:rPr>
                    <w:t>叶类菜切菜机</w:t>
                  </w:r>
                </w:p>
              </w:tc>
              <w:tc>
                <w:tcPr>
                  <w:tcW w:w="289" w:type="pct"/>
                  <w:shd w:val="clear" w:color="auto" w:fill="auto"/>
                  <w:noWrap w:val="0"/>
                  <w:vAlign w:val="center"/>
                </w:tcPr>
                <w:p w14:paraId="031474F9">
                  <w:pPr>
                    <w:jc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69E4EE3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404B8767">
                  <w:pPr>
                    <w:jc w:val="center"/>
                    <w:rPr>
                      <w:color w:val="000000"/>
                      <w:sz w:val="21"/>
                      <w:szCs w:val="21"/>
                      <w:highlight w:val="none"/>
                      <w:u w:val="none"/>
                    </w:rPr>
                  </w:pPr>
                </w:p>
              </w:tc>
              <w:tc>
                <w:tcPr>
                  <w:tcW w:w="689" w:type="dxa"/>
                  <w:noWrap w:val="0"/>
                  <w:vAlign w:val="center"/>
                </w:tcPr>
                <w:p w14:paraId="4168EA90">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84.56</w:t>
                  </w:r>
                </w:p>
              </w:tc>
              <w:tc>
                <w:tcPr>
                  <w:tcW w:w="689" w:type="dxa"/>
                  <w:noWrap w:val="0"/>
                  <w:vAlign w:val="center"/>
                </w:tcPr>
                <w:p w14:paraId="31077DD0">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24.43</w:t>
                  </w:r>
                </w:p>
              </w:tc>
              <w:tc>
                <w:tcPr>
                  <w:tcW w:w="222" w:type="pct"/>
                  <w:noWrap w:val="0"/>
                  <w:vAlign w:val="center"/>
                </w:tcPr>
                <w:p w14:paraId="6F952606">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42EF6647">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34.64</w:t>
                  </w:r>
                </w:p>
              </w:tc>
              <w:tc>
                <w:tcPr>
                  <w:tcW w:w="689" w:type="dxa"/>
                  <w:noWrap w:val="0"/>
                  <w:vAlign w:val="center"/>
                </w:tcPr>
                <w:p w14:paraId="57BF5C7B">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24.43</w:t>
                  </w:r>
                </w:p>
              </w:tc>
              <w:tc>
                <w:tcPr>
                  <w:tcW w:w="689" w:type="dxa"/>
                  <w:shd w:val="clear" w:color="auto" w:fill="auto"/>
                  <w:noWrap w:val="0"/>
                  <w:vAlign w:val="center"/>
                </w:tcPr>
                <w:p w14:paraId="6ADACC43">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84.56</w:t>
                  </w:r>
                </w:p>
              </w:tc>
              <w:tc>
                <w:tcPr>
                  <w:tcW w:w="691" w:type="dxa"/>
                  <w:noWrap w:val="0"/>
                  <w:vAlign w:val="center"/>
                </w:tcPr>
                <w:p w14:paraId="1A7B9FF7">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6.38</w:t>
                  </w:r>
                </w:p>
              </w:tc>
              <w:tc>
                <w:tcPr>
                  <w:tcW w:w="621" w:type="dxa"/>
                  <w:noWrap w:val="0"/>
                  <w:vAlign w:val="center"/>
                </w:tcPr>
                <w:p w14:paraId="39EC4E20">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44.2</w:t>
                  </w:r>
                </w:p>
              </w:tc>
              <w:tc>
                <w:tcPr>
                  <w:tcW w:w="599" w:type="dxa"/>
                  <w:noWrap w:val="0"/>
                  <w:vAlign w:val="center"/>
                </w:tcPr>
                <w:p w14:paraId="140846FA">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47.2</w:t>
                  </w:r>
                </w:p>
              </w:tc>
              <w:tc>
                <w:tcPr>
                  <w:tcW w:w="599" w:type="dxa"/>
                  <w:noWrap w:val="0"/>
                  <w:vAlign w:val="center"/>
                </w:tcPr>
                <w:p w14:paraId="0F92F354">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36.5</w:t>
                  </w:r>
                </w:p>
              </w:tc>
              <w:tc>
                <w:tcPr>
                  <w:tcW w:w="637" w:type="dxa"/>
                  <w:noWrap w:val="0"/>
                  <w:vAlign w:val="center"/>
                </w:tcPr>
                <w:p w14:paraId="7F05096F">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58.9</w:t>
                  </w:r>
                </w:p>
              </w:tc>
              <w:tc>
                <w:tcPr>
                  <w:tcW w:w="235" w:type="pct"/>
                  <w:noWrap w:val="0"/>
                  <w:vAlign w:val="center"/>
                </w:tcPr>
                <w:p w14:paraId="5E61AA27">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372C7A24">
                  <w:pPr>
                    <w:tabs>
                      <w:tab w:val="left" w:pos="389"/>
                    </w:tabs>
                    <w:jc w:val="center"/>
                    <w:rPr>
                      <w:rFonts w:hint="eastAsia"/>
                      <w:color w:val="000000"/>
                      <w:sz w:val="21"/>
                      <w:szCs w:val="21"/>
                      <w:highlight w:val="none"/>
                      <w:u w:val="none"/>
                    </w:rPr>
                  </w:pPr>
                </w:p>
              </w:tc>
            </w:tr>
            <w:tr w14:paraId="217FE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85BE3AC">
                  <w:pPr>
                    <w:widowControl/>
                    <w:jc w:val="center"/>
                    <w:rPr>
                      <w:color w:val="000000"/>
                      <w:sz w:val="21"/>
                      <w:szCs w:val="21"/>
                      <w:highlight w:val="none"/>
                      <w:u w:val="none"/>
                    </w:rPr>
                  </w:pPr>
                </w:p>
              </w:tc>
              <w:tc>
                <w:tcPr>
                  <w:tcW w:w="244" w:type="pct"/>
                  <w:vMerge w:val="continue"/>
                  <w:noWrap w:val="0"/>
                  <w:vAlign w:val="center"/>
                </w:tcPr>
                <w:p w14:paraId="3AD14ABE">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18921BFC">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default" w:eastAsia="宋体"/>
                      <w:color w:val="000000" w:themeColor="text1"/>
                      <w:sz w:val="21"/>
                      <w:szCs w:val="21"/>
                      <w:highlight w:val="none"/>
                      <w:vertAlign w:val="baseline"/>
                      <w:lang w:val="en-US" w:eastAsia="zh-CN"/>
                      <w14:textFill>
                        <w14:solidFill>
                          <w14:schemeClr w14:val="tx1"/>
                        </w14:solidFill>
                      </w14:textFill>
                    </w:rPr>
                    <w:t>叶类菜</w:t>
                  </w:r>
                  <w:r>
                    <w:rPr>
                      <w:rFonts w:hint="eastAsia"/>
                      <w:color w:val="000000" w:themeColor="text1"/>
                      <w:sz w:val="21"/>
                      <w:szCs w:val="21"/>
                      <w:highlight w:val="none"/>
                      <w:vertAlign w:val="baseline"/>
                      <w:lang w:val="en-US" w:eastAsia="zh-CN"/>
                      <w14:textFill>
                        <w14:solidFill>
                          <w14:schemeClr w14:val="tx1"/>
                        </w14:solidFill>
                      </w14:textFill>
                    </w:rPr>
                    <w:t>清洗机</w:t>
                  </w:r>
                </w:p>
              </w:tc>
              <w:tc>
                <w:tcPr>
                  <w:tcW w:w="289" w:type="pct"/>
                  <w:shd w:val="clear" w:color="auto" w:fill="auto"/>
                  <w:noWrap w:val="0"/>
                  <w:vAlign w:val="center"/>
                </w:tcPr>
                <w:p w14:paraId="66DE7D92">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70</w:t>
                  </w:r>
                </w:p>
              </w:tc>
              <w:tc>
                <w:tcPr>
                  <w:tcW w:w="158" w:type="pct"/>
                  <w:shd w:val="clear" w:color="auto" w:fill="auto"/>
                  <w:noWrap w:val="0"/>
                  <w:vAlign w:val="center"/>
                </w:tcPr>
                <w:p w14:paraId="57F3BE91">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71FD9B2F">
                  <w:pPr>
                    <w:jc w:val="center"/>
                    <w:rPr>
                      <w:color w:val="000000"/>
                      <w:sz w:val="21"/>
                      <w:szCs w:val="21"/>
                      <w:highlight w:val="none"/>
                      <w:u w:val="none"/>
                    </w:rPr>
                  </w:pPr>
                </w:p>
              </w:tc>
              <w:tc>
                <w:tcPr>
                  <w:tcW w:w="689" w:type="dxa"/>
                  <w:noWrap w:val="0"/>
                  <w:vAlign w:val="center"/>
                </w:tcPr>
                <w:p w14:paraId="7540D0E5">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81.91</w:t>
                  </w:r>
                </w:p>
              </w:tc>
              <w:tc>
                <w:tcPr>
                  <w:tcW w:w="689" w:type="dxa"/>
                  <w:noWrap w:val="0"/>
                  <w:vAlign w:val="center"/>
                </w:tcPr>
                <w:p w14:paraId="63070C8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20.64</w:t>
                  </w:r>
                </w:p>
              </w:tc>
              <w:tc>
                <w:tcPr>
                  <w:tcW w:w="222" w:type="pct"/>
                  <w:noWrap w:val="0"/>
                  <w:vAlign w:val="center"/>
                </w:tcPr>
                <w:p w14:paraId="281403F3">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4ED55D51">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37.28</w:t>
                  </w:r>
                </w:p>
              </w:tc>
              <w:tc>
                <w:tcPr>
                  <w:tcW w:w="689" w:type="dxa"/>
                  <w:noWrap w:val="0"/>
                  <w:vAlign w:val="center"/>
                </w:tcPr>
                <w:p w14:paraId="2DDFD2D7">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20.64</w:t>
                  </w:r>
                </w:p>
              </w:tc>
              <w:tc>
                <w:tcPr>
                  <w:tcW w:w="689" w:type="dxa"/>
                  <w:shd w:val="clear" w:color="auto" w:fill="auto"/>
                  <w:noWrap w:val="0"/>
                  <w:vAlign w:val="center"/>
                </w:tcPr>
                <w:p w14:paraId="2DE2994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81.91</w:t>
                  </w:r>
                </w:p>
              </w:tc>
              <w:tc>
                <w:tcPr>
                  <w:tcW w:w="691" w:type="dxa"/>
                  <w:noWrap w:val="0"/>
                  <w:vAlign w:val="center"/>
                </w:tcPr>
                <w:p w14:paraId="1E4DCA1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10.17</w:t>
                  </w:r>
                </w:p>
              </w:tc>
              <w:tc>
                <w:tcPr>
                  <w:tcW w:w="621" w:type="dxa"/>
                  <w:noWrap w:val="0"/>
                  <w:vAlign w:val="center"/>
                </w:tcPr>
                <w:p w14:paraId="24E2FCA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38.6</w:t>
                  </w:r>
                </w:p>
              </w:tc>
              <w:tc>
                <w:tcPr>
                  <w:tcW w:w="599" w:type="dxa"/>
                  <w:noWrap w:val="0"/>
                  <w:vAlign w:val="center"/>
                </w:tcPr>
                <w:p w14:paraId="4B8FAA1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43.7</w:t>
                  </w:r>
                </w:p>
              </w:tc>
              <w:tc>
                <w:tcPr>
                  <w:tcW w:w="599" w:type="dxa"/>
                  <w:noWrap w:val="0"/>
                  <w:vAlign w:val="center"/>
                </w:tcPr>
                <w:p w14:paraId="622A420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31.7</w:t>
                  </w:r>
                </w:p>
              </w:tc>
              <w:tc>
                <w:tcPr>
                  <w:tcW w:w="637" w:type="dxa"/>
                  <w:noWrap w:val="0"/>
                  <w:vAlign w:val="center"/>
                </w:tcPr>
                <w:p w14:paraId="63F9E7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49.9</w:t>
                  </w:r>
                </w:p>
              </w:tc>
              <w:tc>
                <w:tcPr>
                  <w:tcW w:w="235" w:type="pct"/>
                  <w:noWrap w:val="0"/>
                  <w:vAlign w:val="center"/>
                </w:tcPr>
                <w:p w14:paraId="2C62A450">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1B96F7F1">
                  <w:pPr>
                    <w:tabs>
                      <w:tab w:val="left" w:pos="389"/>
                    </w:tabs>
                    <w:jc w:val="center"/>
                    <w:rPr>
                      <w:rFonts w:hint="eastAsia"/>
                      <w:color w:val="000000"/>
                      <w:sz w:val="21"/>
                      <w:szCs w:val="21"/>
                      <w:highlight w:val="none"/>
                      <w:u w:val="none"/>
                    </w:rPr>
                  </w:pPr>
                </w:p>
              </w:tc>
            </w:tr>
            <w:tr w14:paraId="2566D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4A7E14FF">
                  <w:pPr>
                    <w:widowControl/>
                    <w:jc w:val="center"/>
                    <w:rPr>
                      <w:color w:val="000000"/>
                      <w:sz w:val="21"/>
                      <w:szCs w:val="21"/>
                      <w:highlight w:val="none"/>
                      <w:u w:val="none"/>
                    </w:rPr>
                  </w:pPr>
                </w:p>
              </w:tc>
              <w:tc>
                <w:tcPr>
                  <w:tcW w:w="244" w:type="pct"/>
                  <w:vMerge w:val="continue"/>
                  <w:noWrap w:val="0"/>
                  <w:vAlign w:val="center"/>
                </w:tcPr>
                <w:p w14:paraId="6D71FE81">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4CFD715B">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color w:val="000000" w:themeColor="text1"/>
                      <w:sz w:val="21"/>
                      <w:szCs w:val="21"/>
                      <w:highlight w:val="none"/>
                      <w:vertAlign w:val="baseline"/>
                      <w:lang w:val="en-US" w:eastAsia="zh-CN"/>
                      <w14:textFill>
                        <w14:solidFill>
                          <w14:schemeClr w14:val="tx1"/>
                        </w14:solidFill>
                      </w14:textFill>
                    </w:rPr>
                    <w:t>涡流震动清洗机高组</w:t>
                  </w:r>
                </w:p>
              </w:tc>
              <w:tc>
                <w:tcPr>
                  <w:tcW w:w="289" w:type="pct"/>
                  <w:shd w:val="clear" w:color="auto" w:fill="auto"/>
                  <w:noWrap w:val="0"/>
                  <w:vAlign w:val="center"/>
                </w:tcPr>
                <w:p w14:paraId="4B59C764">
                  <w:pPr>
                    <w:jc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7B9C6C3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12428AE4">
                  <w:pPr>
                    <w:jc w:val="center"/>
                    <w:rPr>
                      <w:color w:val="000000"/>
                      <w:sz w:val="21"/>
                      <w:szCs w:val="21"/>
                      <w:highlight w:val="none"/>
                      <w:u w:val="none"/>
                    </w:rPr>
                  </w:pPr>
                </w:p>
              </w:tc>
              <w:tc>
                <w:tcPr>
                  <w:tcW w:w="689" w:type="dxa"/>
                  <w:noWrap w:val="0"/>
                  <w:vAlign w:val="center"/>
                </w:tcPr>
                <w:p w14:paraId="37E53E47">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80.24</w:t>
                  </w:r>
                </w:p>
              </w:tc>
              <w:tc>
                <w:tcPr>
                  <w:tcW w:w="689" w:type="dxa"/>
                  <w:noWrap w:val="0"/>
                  <w:vAlign w:val="center"/>
                </w:tcPr>
                <w:p w14:paraId="06EC67B9">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26.64</w:t>
                  </w:r>
                </w:p>
              </w:tc>
              <w:tc>
                <w:tcPr>
                  <w:tcW w:w="222" w:type="pct"/>
                  <w:noWrap w:val="0"/>
                  <w:vAlign w:val="center"/>
                </w:tcPr>
                <w:p w14:paraId="4D8C7A39">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3FD3FA76">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38.95</w:t>
                  </w:r>
                </w:p>
              </w:tc>
              <w:tc>
                <w:tcPr>
                  <w:tcW w:w="689" w:type="dxa"/>
                  <w:noWrap w:val="0"/>
                  <w:vAlign w:val="center"/>
                </w:tcPr>
                <w:p w14:paraId="5CA3BAFC">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26.64</w:t>
                  </w:r>
                </w:p>
              </w:tc>
              <w:tc>
                <w:tcPr>
                  <w:tcW w:w="689" w:type="dxa"/>
                  <w:noWrap w:val="0"/>
                  <w:vAlign w:val="center"/>
                </w:tcPr>
                <w:p w14:paraId="466BF18B">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80.24</w:t>
                  </w:r>
                </w:p>
              </w:tc>
              <w:tc>
                <w:tcPr>
                  <w:tcW w:w="691" w:type="dxa"/>
                  <w:noWrap w:val="0"/>
                  <w:vAlign w:val="center"/>
                </w:tcPr>
                <w:p w14:paraId="024556A1">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4.17</w:t>
                  </w:r>
                </w:p>
              </w:tc>
              <w:tc>
                <w:tcPr>
                  <w:tcW w:w="621" w:type="dxa"/>
                  <w:noWrap w:val="0"/>
                  <w:vAlign w:val="center"/>
                </w:tcPr>
                <w:p w14:paraId="624A400F">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43.2</w:t>
                  </w:r>
                </w:p>
              </w:tc>
              <w:tc>
                <w:tcPr>
                  <w:tcW w:w="599" w:type="dxa"/>
                  <w:noWrap w:val="0"/>
                  <w:vAlign w:val="center"/>
                </w:tcPr>
                <w:p w14:paraId="1C97BE01">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46.5</w:t>
                  </w:r>
                </w:p>
              </w:tc>
              <w:tc>
                <w:tcPr>
                  <w:tcW w:w="599" w:type="dxa"/>
                  <w:noWrap w:val="0"/>
                  <w:vAlign w:val="center"/>
                </w:tcPr>
                <w:p w14:paraId="1EB13614">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36.9</w:t>
                  </w:r>
                </w:p>
              </w:tc>
              <w:tc>
                <w:tcPr>
                  <w:tcW w:w="637" w:type="dxa"/>
                  <w:noWrap w:val="0"/>
                  <w:vAlign w:val="center"/>
                </w:tcPr>
                <w:p w14:paraId="6EEABE96">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62.6</w:t>
                  </w:r>
                </w:p>
              </w:tc>
              <w:tc>
                <w:tcPr>
                  <w:tcW w:w="235" w:type="pct"/>
                  <w:noWrap w:val="0"/>
                  <w:vAlign w:val="center"/>
                </w:tcPr>
                <w:p w14:paraId="45611E0D">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0819CD5D">
                  <w:pPr>
                    <w:tabs>
                      <w:tab w:val="left" w:pos="389"/>
                    </w:tabs>
                    <w:jc w:val="center"/>
                    <w:rPr>
                      <w:rFonts w:hint="eastAsia"/>
                      <w:color w:val="000000"/>
                      <w:sz w:val="21"/>
                      <w:szCs w:val="21"/>
                      <w:highlight w:val="none"/>
                      <w:u w:val="none"/>
                    </w:rPr>
                  </w:pPr>
                </w:p>
              </w:tc>
            </w:tr>
            <w:tr w14:paraId="67B43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3F3823C">
                  <w:pPr>
                    <w:widowControl/>
                    <w:jc w:val="center"/>
                    <w:rPr>
                      <w:color w:val="000000"/>
                      <w:sz w:val="21"/>
                      <w:szCs w:val="21"/>
                      <w:highlight w:val="none"/>
                      <w:u w:val="none"/>
                    </w:rPr>
                  </w:pPr>
                </w:p>
              </w:tc>
              <w:tc>
                <w:tcPr>
                  <w:tcW w:w="244" w:type="pct"/>
                  <w:vMerge w:val="continue"/>
                  <w:noWrap w:val="0"/>
                  <w:vAlign w:val="center"/>
                </w:tcPr>
                <w:p w14:paraId="0DF7E76B">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41A8BD97">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u w:val="none"/>
                      <w:lang w:val="en-US" w:eastAsia="zh-CN" w:bidi="ar-SA"/>
                    </w:rPr>
                  </w:pPr>
                  <w:r>
                    <w:rPr>
                      <w:rFonts w:hint="eastAsia"/>
                      <w:color w:val="000000" w:themeColor="text1"/>
                      <w:sz w:val="21"/>
                      <w:szCs w:val="21"/>
                      <w:highlight w:val="none"/>
                      <w:vertAlign w:val="baseline"/>
                      <w:lang w:val="en-US" w:eastAsia="zh-CN"/>
                      <w14:textFill>
                        <w14:solidFill>
                          <w14:schemeClr w14:val="tx1"/>
                        </w14:solidFill>
                      </w14:textFill>
                    </w:rPr>
                    <w:t>涡流震动清洗机低组</w:t>
                  </w:r>
                </w:p>
              </w:tc>
              <w:tc>
                <w:tcPr>
                  <w:tcW w:w="289" w:type="pct"/>
                  <w:shd w:val="clear" w:color="auto" w:fill="auto"/>
                  <w:noWrap w:val="0"/>
                  <w:vAlign w:val="center"/>
                </w:tcPr>
                <w:p w14:paraId="739BBC55">
                  <w:pPr>
                    <w:jc w:val="center"/>
                    <w:rPr>
                      <w:rFonts w:hint="eastAsia" w:ascii="Times New Roman" w:hAnsi="Times New Roman" w:eastAsia="宋体"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15EA932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0C459607">
                  <w:pPr>
                    <w:jc w:val="center"/>
                    <w:rPr>
                      <w:color w:val="000000"/>
                      <w:sz w:val="21"/>
                      <w:szCs w:val="21"/>
                      <w:highlight w:val="none"/>
                      <w:u w:val="none"/>
                    </w:rPr>
                  </w:pPr>
                </w:p>
              </w:tc>
              <w:tc>
                <w:tcPr>
                  <w:tcW w:w="689" w:type="dxa"/>
                  <w:noWrap w:val="0"/>
                  <w:vAlign w:val="center"/>
                </w:tcPr>
                <w:p w14:paraId="53FCEF1F">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76.38</w:t>
                  </w:r>
                </w:p>
              </w:tc>
              <w:tc>
                <w:tcPr>
                  <w:tcW w:w="689" w:type="dxa"/>
                  <w:noWrap w:val="0"/>
                  <w:vAlign w:val="center"/>
                </w:tcPr>
                <w:p w14:paraId="1BBB9092">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26.56</w:t>
                  </w:r>
                </w:p>
              </w:tc>
              <w:tc>
                <w:tcPr>
                  <w:tcW w:w="222" w:type="pct"/>
                  <w:noWrap w:val="0"/>
                  <w:vAlign w:val="center"/>
                </w:tcPr>
                <w:p w14:paraId="50F6F066">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40638CF5">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42.81</w:t>
                  </w:r>
                </w:p>
              </w:tc>
              <w:tc>
                <w:tcPr>
                  <w:tcW w:w="689" w:type="dxa"/>
                  <w:noWrap w:val="0"/>
                  <w:vAlign w:val="center"/>
                </w:tcPr>
                <w:p w14:paraId="72D9F42A">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26.56</w:t>
                  </w:r>
                </w:p>
              </w:tc>
              <w:tc>
                <w:tcPr>
                  <w:tcW w:w="689" w:type="dxa"/>
                  <w:noWrap w:val="0"/>
                  <w:vAlign w:val="center"/>
                </w:tcPr>
                <w:p w14:paraId="529F1B98">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76.38</w:t>
                  </w:r>
                </w:p>
              </w:tc>
              <w:tc>
                <w:tcPr>
                  <w:tcW w:w="691" w:type="dxa"/>
                  <w:noWrap w:val="0"/>
                  <w:vAlign w:val="center"/>
                </w:tcPr>
                <w:p w14:paraId="6305F96D">
                  <w:pPr>
                    <w:keepNext w:val="0"/>
                    <w:keepLines w:val="0"/>
                    <w:widowControl/>
                    <w:suppressLineNumbers w:val="0"/>
                    <w:jc w:val="center"/>
                    <w:textAlignment w:val="center"/>
                    <w:rPr>
                      <w:rFonts w:hint="default" w:eastAsia="宋体"/>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4.24</w:t>
                  </w:r>
                </w:p>
              </w:tc>
              <w:tc>
                <w:tcPr>
                  <w:tcW w:w="621" w:type="dxa"/>
                  <w:noWrap w:val="0"/>
                  <w:vAlign w:val="center"/>
                </w:tcPr>
                <w:p w14:paraId="68C8600E">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42.4</w:t>
                  </w:r>
                </w:p>
              </w:tc>
              <w:tc>
                <w:tcPr>
                  <w:tcW w:w="599" w:type="dxa"/>
                  <w:noWrap w:val="0"/>
                  <w:vAlign w:val="center"/>
                </w:tcPr>
                <w:p w14:paraId="6B126091">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46.5</w:t>
                  </w:r>
                </w:p>
              </w:tc>
              <w:tc>
                <w:tcPr>
                  <w:tcW w:w="599" w:type="dxa"/>
                  <w:noWrap w:val="0"/>
                  <w:vAlign w:val="center"/>
                </w:tcPr>
                <w:p w14:paraId="27D3C8B1">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37.3</w:t>
                  </w:r>
                </w:p>
              </w:tc>
              <w:tc>
                <w:tcPr>
                  <w:tcW w:w="637" w:type="dxa"/>
                  <w:noWrap w:val="0"/>
                  <w:vAlign w:val="center"/>
                </w:tcPr>
                <w:p w14:paraId="54597301">
                  <w:pPr>
                    <w:keepNext w:val="0"/>
                    <w:keepLines w:val="0"/>
                    <w:widowControl/>
                    <w:suppressLineNumbers w:val="0"/>
                    <w:jc w:val="center"/>
                    <w:textAlignment w:val="center"/>
                    <w:rPr>
                      <w:rFonts w:hint="default" w:ascii="Times New Roman" w:hAnsi="Times New Roman" w:cs="Times New Roman"/>
                      <w:color w:val="000000"/>
                      <w:sz w:val="21"/>
                      <w:szCs w:val="21"/>
                      <w:highlight w:val="none"/>
                      <w:u w:val="none"/>
                    </w:rPr>
                  </w:pPr>
                  <w:r>
                    <w:rPr>
                      <w:rFonts w:hint="default" w:ascii="Times New Roman" w:hAnsi="Times New Roman" w:eastAsia="宋体" w:cs="Times New Roman"/>
                      <w:i w:val="0"/>
                      <w:iCs w:val="0"/>
                      <w:color w:val="000000"/>
                      <w:kern w:val="0"/>
                      <w:sz w:val="21"/>
                      <w:szCs w:val="21"/>
                      <w:u w:val="none"/>
                      <w:lang w:val="en-US" w:eastAsia="zh-CN" w:bidi="ar"/>
                    </w:rPr>
                    <w:t>62.5</w:t>
                  </w:r>
                </w:p>
              </w:tc>
              <w:tc>
                <w:tcPr>
                  <w:tcW w:w="235" w:type="pct"/>
                  <w:noWrap w:val="0"/>
                  <w:vAlign w:val="center"/>
                </w:tcPr>
                <w:p w14:paraId="6F34F4BD">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5656208B">
                  <w:pPr>
                    <w:tabs>
                      <w:tab w:val="left" w:pos="389"/>
                    </w:tabs>
                    <w:jc w:val="center"/>
                    <w:rPr>
                      <w:rFonts w:hint="eastAsia"/>
                      <w:color w:val="000000"/>
                      <w:sz w:val="21"/>
                      <w:szCs w:val="21"/>
                      <w:highlight w:val="none"/>
                      <w:u w:val="none"/>
                    </w:rPr>
                  </w:pPr>
                </w:p>
              </w:tc>
            </w:tr>
            <w:tr w14:paraId="66D1D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9B4B8AD">
                  <w:pPr>
                    <w:widowControl/>
                    <w:jc w:val="center"/>
                    <w:rPr>
                      <w:color w:val="000000"/>
                      <w:sz w:val="21"/>
                      <w:szCs w:val="21"/>
                      <w:highlight w:val="none"/>
                      <w:u w:val="none"/>
                    </w:rPr>
                  </w:pPr>
                </w:p>
              </w:tc>
              <w:tc>
                <w:tcPr>
                  <w:tcW w:w="244" w:type="pct"/>
                  <w:vMerge w:val="continue"/>
                  <w:noWrap w:val="0"/>
                  <w:vAlign w:val="center"/>
                </w:tcPr>
                <w:p w14:paraId="274AFE94">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18B4D1E1">
                  <w:pPr>
                    <w:keepNext w:val="0"/>
                    <w:keepLines w:val="0"/>
                    <w:pageBreakBefore w:val="0"/>
                    <w:kinsoku/>
                    <w:wordWrap/>
                    <w:overflowPunct/>
                    <w:topLinePunct w:val="0"/>
                    <w:autoSpaceDE/>
                    <w:autoSpaceDN/>
                    <w:bidi w:val="0"/>
                    <w:adjustRightInd/>
                    <w:snapToGrid/>
                    <w:jc w:val="center"/>
                    <w:textAlignment w:val="auto"/>
                    <w:rPr>
                      <w:rFonts w:hint="eastAsia" w:ascii="Times New Roman" w:eastAsia="宋体"/>
                      <w:color w:val="000000" w:themeColor="text1"/>
                      <w:sz w:val="21"/>
                      <w:szCs w:val="21"/>
                      <w:highlight w:val="none"/>
                      <w:vertAlign w:val="baseline"/>
                      <w:lang w:val="en-US" w:eastAsia="zh-CN"/>
                      <w14:textFill>
                        <w14:solidFill>
                          <w14:schemeClr w14:val="tx1"/>
                        </w14:solidFill>
                      </w14:textFill>
                    </w:rPr>
                  </w:pPr>
                  <w:r>
                    <w:rPr>
                      <w:rFonts w:hint="eastAsia" w:eastAsia="宋体"/>
                      <w:color w:val="000000" w:themeColor="text1"/>
                      <w:sz w:val="21"/>
                      <w:szCs w:val="21"/>
                      <w:highlight w:val="none"/>
                      <w:vertAlign w:val="baseline"/>
                      <w:lang w:val="en-US" w:eastAsia="zh-CN"/>
                      <w14:textFill>
                        <w14:solidFill>
                          <w14:schemeClr w14:val="tx1"/>
                        </w14:solidFill>
                      </w14:textFill>
                    </w:rPr>
                    <w:t>自动解冻机</w:t>
                  </w:r>
                </w:p>
              </w:tc>
              <w:tc>
                <w:tcPr>
                  <w:tcW w:w="289" w:type="pct"/>
                  <w:shd w:val="clear" w:color="auto" w:fill="auto"/>
                  <w:noWrap w:val="0"/>
                  <w:vAlign w:val="center"/>
                </w:tcPr>
                <w:p w14:paraId="3717034B">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6DA13F0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59615E7C">
                  <w:pPr>
                    <w:jc w:val="center"/>
                    <w:rPr>
                      <w:color w:val="000000"/>
                      <w:sz w:val="21"/>
                      <w:szCs w:val="21"/>
                      <w:highlight w:val="none"/>
                      <w:u w:val="none"/>
                    </w:rPr>
                  </w:pPr>
                </w:p>
              </w:tc>
              <w:tc>
                <w:tcPr>
                  <w:tcW w:w="689" w:type="dxa"/>
                  <w:noWrap w:val="0"/>
                  <w:vAlign w:val="center"/>
                </w:tcPr>
                <w:p w14:paraId="617821D7">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91.10</w:t>
                  </w:r>
                </w:p>
              </w:tc>
              <w:tc>
                <w:tcPr>
                  <w:tcW w:w="689" w:type="dxa"/>
                  <w:noWrap w:val="0"/>
                  <w:vAlign w:val="center"/>
                </w:tcPr>
                <w:p w14:paraId="5DA23FBD">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15.29</w:t>
                  </w:r>
                </w:p>
              </w:tc>
              <w:tc>
                <w:tcPr>
                  <w:tcW w:w="222" w:type="pct"/>
                  <w:noWrap w:val="0"/>
                  <w:vAlign w:val="center"/>
                </w:tcPr>
                <w:p w14:paraId="11AA38EA">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116910AB">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28.10</w:t>
                  </w:r>
                </w:p>
              </w:tc>
              <w:tc>
                <w:tcPr>
                  <w:tcW w:w="689" w:type="dxa"/>
                  <w:noWrap w:val="0"/>
                  <w:vAlign w:val="center"/>
                </w:tcPr>
                <w:p w14:paraId="6B100E79">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15.29</w:t>
                  </w:r>
                </w:p>
              </w:tc>
              <w:tc>
                <w:tcPr>
                  <w:tcW w:w="689" w:type="dxa"/>
                  <w:noWrap w:val="0"/>
                  <w:vAlign w:val="center"/>
                </w:tcPr>
                <w:p w14:paraId="66413276">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91.10</w:t>
                  </w:r>
                </w:p>
              </w:tc>
              <w:tc>
                <w:tcPr>
                  <w:tcW w:w="691" w:type="dxa"/>
                  <w:noWrap w:val="0"/>
                  <w:vAlign w:val="center"/>
                </w:tcPr>
                <w:p w14:paraId="26D8329F">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15.52</w:t>
                  </w:r>
                </w:p>
              </w:tc>
              <w:tc>
                <w:tcPr>
                  <w:tcW w:w="621" w:type="dxa"/>
                  <w:noWrap w:val="0"/>
                  <w:vAlign w:val="center"/>
                </w:tcPr>
                <w:p w14:paraId="6EE859A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46.0</w:t>
                  </w:r>
                </w:p>
              </w:tc>
              <w:tc>
                <w:tcPr>
                  <w:tcW w:w="599" w:type="dxa"/>
                  <w:noWrap w:val="0"/>
                  <w:vAlign w:val="center"/>
                </w:tcPr>
                <w:p w14:paraId="4B2111F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51.3</w:t>
                  </w:r>
                </w:p>
              </w:tc>
              <w:tc>
                <w:tcPr>
                  <w:tcW w:w="599" w:type="dxa"/>
                  <w:noWrap w:val="0"/>
                  <w:vAlign w:val="center"/>
                </w:tcPr>
                <w:p w14:paraId="2421941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35.8</w:t>
                  </w:r>
                </w:p>
              </w:tc>
              <w:tc>
                <w:tcPr>
                  <w:tcW w:w="637" w:type="dxa"/>
                  <w:noWrap w:val="0"/>
                  <w:vAlign w:val="center"/>
                </w:tcPr>
                <w:p w14:paraId="2B6AD23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51.2</w:t>
                  </w:r>
                </w:p>
              </w:tc>
              <w:tc>
                <w:tcPr>
                  <w:tcW w:w="235" w:type="pct"/>
                  <w:noWrap w:val="0"/>
                  <w:vAlign w:val="center"/>
                </w:tcPr>
                <w:p w14:paraId="160AFFA9">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1C0FB07F">
                  <w:pPr>
                    <w:tabs>
                      <w:tab w:val="left" w:pos="389"/>
                    </w:tabs>
                    <w:jc w:val="center"/>
                    <w:rPr>
                      <w:rFonts w:hint="eastAsia"/>
                      <w:color w:val="000000"/>
                      <w:sz w:val="21"/>
                      <w:szCs w:val="21"/>
                      <w:highlight w:val="none"/>
                      <w:u w:val="none"/>
                    </w:rPr>
                  </w:pPr>
                </w:p>
              </w:tc>
            </w:tr>
            <w:tr w14:paraId="1DED7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292BF58C">
                  <w:pPr>
                    <w:widowControl/>
                    <w:jc w:val="center"/>
                    <w:rPr>
                      <w:color w:val="000000"/>
                      <w:sz w:val="21"/>
                      <w:szCs w:val="21"/>
                      <w:highlight w:val="none"/>
                      <w:u w:val="none"/>
                    </w:rPr>
                  </w:pPr>
                </w:p>
              </w:tc>
              <w:tc>
                <w:tcPr>
                  <w:tcW w:w="244" w:type="pct"/>
                  <w:vMerge w:val="continue"/>
                  <w:noWrap w:val="0"/>
                  <w:vAlign w:val="center"/>
                </w:tcPr>
                <w:p w14:paraId="46C470B1">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10158295">
                  <w:pPr>
                    <w:keepNext w:val="0"/>
                    <w:keepLines w:val="0"/>
                    <w:pageBreakBefore w:val="0"/>
                    <w:kinsoku/>
                    <w:wordWrap/>
                    <w:overflowPunct/>
                    <w:topLinePunct w:val="0"/>
                    <w:autoSpaceDE/>
                    <w:autoSpaceDN/>
                    <w:bidi w:val="0"/>
                    <w:adjustRightInd/>
                    <w:snapToGrid/>
                    <w:jc w:val="center"/>
                    <w:textAlignment w:val="auto"/>
                    <w:rPr>
                      <w:rFonts w:hint="eastAsia" w:ascii="Times New Roman"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鲜肉开条机</w:t>
                  </w:r>
                </w:p>
              </w:tc>
              <w:tc>
                <w:tcPr>
                  <w:tcW w:w="289" w:type="pct"/>
                  <w:shd w:val="clear" w:color="auto" w:fill="auto"/>
                  <w:noWrap w:val="0"/>
                  <w:vAlign w:val="center"/>
                </w:tcPr>
                <w:p w14:paraId="1D9FF32A">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37F57305">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1B45E2D6">
                  <w:pPr>
                    <w:jc w:val="center"/>
                    <w:rPr>
                      <w:color w:val="000000"/>
                      <w:sz w:val="21"/>
                      <w:szCs w:val="21"/>
                      <w:highlight w:val="none"/>
                      <w:u w:val="none"/>
                    </w:rPr>
                  </w:pPr>
                </w:p>
              </w:tc>
              <w:tc>
                <w:tcPr>
                  <w:tcW w:w="689" w:type="dxa"/>
                  <w:noWrap w:val="0"/>
                  <w:vAlign w:val="center"/>
                </w:tcPr>
                <w:p w14:paraId="6F536574">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83.82</w:t>
                  </w:r>
                </w:p>
              </w:tc>
              <w:tc>
                <w:tcPr>
                  <w:tcW w:w="689" w:type="dxa"/>
                  <w:noWrap w:val="0"/>
                  <w:vAlign w:val="center"/>
                </w:tcPr>
                <w:p w14:paraId="467813FF">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19.05</w:t>
                  </w:r>
                </w:p>
              </w:tc>
              <w:tc>
                <w:tcPr>
                  <w:tcW w:w="222" w:type="pct"/>
                  <w:noWrap w:val="0"/>
                  <w:vAlign w:val="center"/>
                </w:tcPr>
                <w:p w14:paraId="50526792">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51697A33">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35.37</w:t>
                  </w:r>
                </w:p>
              </w:tc>
              <w:tc>
                <w:tcPr>
                  <w:tcW w:w="689" w:type="dxa"/>
                  <w:noWrap w:val="0"/>
                  <w:vAlign w:val="center"/>
                </w:tcPr>
                <w:p w14:paraId="0D154A0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19.05</w:t>
                  </w:r>
                </w:p>
              </w:tc>
              <w:tc>
                <w:tcPr>
                  <w:tcW w:w="689" w:type="dxa"/>
                  <w:noWrap w:val="0"/>
                  <w:vAlign w:val="center"/>
                </w:tcPr>
                <w:p w14:paraId="33E3EADF">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83.82</w:t>
                  </w:r>
                </w:p>
              </w:tc>
              <w:tc>
                <w:tcPr>
                  <w:tcW w:w="691" w:type="dxa"/>
                  <w:noWrap w:val="0"/>
                  <w:vAlign w:val="center"/>
                </w:tcPr>
                <w:p w14:paraId="59303231">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11.76</w:t>
                  </w:r>
                </w:p>
              </w:tc>
              <w:tc>
                <w:tcPr>
                  <w:tcW w:w="621" w:type="dxa"/>
                  <w:noWrap w:val="0"/>
                  <w:vAlign w:val="center"/>
                </w:tcPr>
                <w:p w14:paraId="1EF0FFC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44.0</w:t>
                  </w:r>
                </w:p>
              </w:tc>
              <w:tc>
                <w:tcPr>
                  <w:tcW w:w="599" w:type="dxa"/>
                  <w:noWrap w:val="0"/>
                  <w:vAlign w:val="center"/>
                </w:tcPr>
                <w:p w14:paraId="4340FA4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49.4</w:t>
                  </w:r>
                </w:p>
              </w:tc>
              <w:tc>
                <w:tcPr>
                  <w:tcW w:w="599" w:type="dxa"/>
                  <w:noWrap w:val="0"/>
                  <w:vAlign w:val="center"/>
                </w:tcPr>
                <w:p w14:paraId="2F31648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36.5</w:t>
                  </w:r>
                </w:p>
              </w:tc>
              <w:tc>
                <w:tcPr>
                  <w:tcW w:w="637" w:type="dxa"/>
                  <w:noWrap w:val="0"/>
                  <w:vAlign w:val="center"/>
                </w:tcPr>
                <w:p w14:paraId="58D2496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53.6</w:t>
                  </w:r>
                </w:p>
              </w:tc>
              <w:tc>
                <w:tcPr>
                  <w:tcW w:w="235" w:type="pct"/>
                  <w:noWrap w:val="0"/>
                  <w:vAlign w:val="center"/>
                </w:tcPr>
                <w:p w14:paraId="3D3775A8">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0335B406">
                  <w:pPr>
                    <w:tabs>
                      <w:tab w:val="left" w:pos="389"/>
                    </w:tabs>
                    <w:jc w:val="center"/>
                    <w:rPr>
                      <w:rFonts w:hint="eastAsia"/>
                      <w:color w:val="000000"/>
                      <w:sz w:val="21"/>
                      <w:szCs w:val="21"/>
                      <w:highlight w:val="none"/>
                      <w:u w:val="none"/>
                    </w:rPr>
                  </w:pPr>
                </w:p>
              </w:tc>
            </w:tr>
            <w:tr w14:paraId="653B3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4D7FCCC0">
                  <w:pPr>
                    <w:widowControl/>
                    <w:jc w:val="center"/>
                    <w:rPr>
                      <w:color w:val="000000"/>
                      <w:sz w:val="21"/>
                      <w:szCs w:val="21"/>
                      <w:highlight w:val="none"/>
                      <w:u w:val="none"/>
                    </w:rPr>
                  </w:pPr>
                </w:p>
              </w:tc>
              <w:tc>
                <w:tcPr>
                  <w:tcW w:w="244" w:type="pct"/>
                  <w:vMerge w:val="continue"/>
                  <w:noWrap w:val="0"/>
                  <w:vAlign w:val="center"/>
                </w:tcPr>
                <w:p w14:paraId="548FAE5B">
                  <w:pPr>
                    <w:jc w:val="center"/>
                    <w:rPr>
                      <w:rFonts w:hint="default" w:ascii="Times New Roman" w:hAnsi="Times New Roman" w:eastAsia="宋体" w:cs="Times New Roman"/>
                      <w:color w:val="auto"/>
                      <w:sz w:val="21"/>
                      <w:szCs w:val="21"/>
                      <w:highlight w:val="none"/>
                      <w:u w:val="none"/>
                      <w:lang w:val="en-US" w:eastAsia="zh-CN"/>
                    </w:rPr>
                  </w:pPr>
                </w:p>
              </w:tc>
              <w:tc>
                <w:tcPr>
                  <w:tcW w:w="1001" w:type="dxa"/>
                  <w:shd w:val="clear" w:color="auto" w:fill="auto"/>
                  <w:noWrap w:val="0"/>
                  <w:vAlign w:val="center"/>
                </w:tcPr>
                <w:p w14:paraId="0D37393C">
                  <w:pPr>
                    <w:keepNext w:val="0"/>
                    <w:keepLines w:val="0"/>
                    <w:pageBreakBefore w:val="0"/>
                    <w:kinsoku/>
                    <w:wordWrap/>
                    <w:overflowPunct/>
                    <w:topLinePunct w:val="0"/>
                    <w:autoSpaceDE/>
                    <w:autoSpaceDN/>
                    <w:bidi w:val="0"/>
                    <w:adjustRightInd/>
                    <w:snapToGrid/>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鲜肉开条机</w:t>
                  </w:r>
                </w:p>
              </w:tc>
              <w:tc>
                <w:tcPr>
                  <w:tcW w:w="788" w:type="dxa"/>
                  <w:shd w:val="clear" w:color="auto" w:fill="auto"/>
                  <w:noWrap w:val="0"/>
                  <w:vAlign w:val="center"/>
                </w:tcPr>
                <w:p w14:paraId="4F48EC9D">
                  <w:pPr>
                    <w:jc w:val="center"/>
                    <w:rPr>
                      <w:rFonts w:hint="eastAsia"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3C734514">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5CB4EF3A">
                  <w:pPr>
                    <w:jc w:val="center"/>
                    <w:rPr>
                      <w:color w:val="000000"/>
                      <w:sz w:val="21"/>
                      <w:szCs w:val="21"/>
                      <w:highlight w:val="none"/>
                      <w:u w:val="none"/>
                    </w:rPr>
                  </w:pPr>
                </w:p>
              </w:tc>
              <w:tc>
                <w:tcPr>
                  <w:tcW w:w="689" w:type="dxa"/>
                  <w:noWrap w:val="0"/>
                  <w:vAlign w:val="center"/>
                </w:tcPr>
                <w:p w14:paraId="70347B2E">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88.27</w:t>
                  </w:r>
                </w:p>
              </w:tc>
              <w:tc>
                <w:tcPr>
                  <w:tcW w:w="689" w:type="dxa"/>
                  <w:noWrap w:val="0"/>
                  <w:vAlign w:val="center"/>
                </w:tcPr>
                <w:p w14:paraId="2AF1623B">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11.72</w:t>
                  </w:r>
                </w:p>
              </w:tc>
              <w:tc>
                <w:tcPr>
                  <w:tcW w:w="222" w:type="pct"/>
                  <w:noWrap w:val="0"/>
                  <w:vAlign w:val="center"/>
                </w:tcPr>
                <w:p w14:paraId="68913E2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7B18EB74">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30.92</w:t>
                  </w:r>
                </w:p>
              </w:tc>
              <w:tc>
                <w:tcPr>
                  <w:tcW w:w="689" w:type="dxa"/>
                  <w:noWrap w:val="0"/>
                  <w:vAlign w:val="center"/>
                </w:tcPr>
                <w:p w14:paraId="586BCEDA">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11.72</w:t>
                  </w:r>
                </w:p>
              </w:tc>
              <w:tc>
                <w:tcPr>
                  <w:tcW w:w="689" w:type="dxa"/>
                  <w:noWrap w:val="0"/>
                  <w:vAlign w:val="center"/>
                </w:tcPr>
                <w:p w14:paraId="3257383B">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88.27</w:t>
                  </w:r>
                </w:p>
              </w:tc>
              <w:tc>
                <w:tcPr>
                  <w:tcW w:w="691" w:type="dxa"/>
                  <w:noWrap w:val="0"/>
                  <w:vAlign w:val="center"/>
                </w:tcPr>
                <w:p w14:paraId="27A383BE">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19.09</w:t>
                  </w:r>
                </w:p>
              </w:tc>
              <w:tc>
                <w:tcPr>
                  <w:tcW w:w="621" w:type="dxa"/>
                  <w:noWrap w:val="0"/>
                  <w:vAlign w:val="center"/>
                </w:tcPr>
                <w:p w14:paraId="568A74A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45.2</w:t>
                  </w:r>
                </w:p>
              </w:tc>
              <w:tc>
                <w:tcPr>
                  <w:tcW w:w="599" w:type="dxa"/>
                  <w:noWrap w:val="0"/>
                  <w:vAlign w:val="center"/>
                </w:tcPr>
                <w:p w14:paraId="34A02F1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53.6</w:t>
                  </w:r>
                </w:p>
              </w:tc>
              <w:tc>
                <w:tcPr>
                  <w:tcW w:w="599" w:type="dxa"/>
                  <w:noWrap w:val="0"/>
                  <w:vAlign w:val="center"/>
                </w:tcPr>
                <w:p w14:paraId="4BA001A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36.1</w:t>
                  </w:r>
                </w:p>
              </w:tc>
              <w:tc>
                <w:tcPr>
                  <w:tcW w:w="637" w:type="dxa"/>
                  <w:noWrap w:val="0"/>
                  <w:vAlign w:val="center"/>
                </w:tcPr>
                <w:p w14:paraId="48CC5E3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49.4</w:t>
                  </w:r>
                </w:p>
              </w:tc>
              <w:tc>
                <w:tcPr>
                  <w:tcW w:w="235" w:type="pct"/>
                  <w:noWrap w:val="0"/>
                  <w:vAlign w:val="center"/>
                </w:tcPr>
                <w:p w14:paraId="0428AE32">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42CFD6E2">
                  <w:pPr>
                    <w:tabs>
                      <w:tab w:val="left" w:pos="389"/>
                    </w:tabs>
                    <w:jc w:val="center"/>
                    <w:rPr>
                      <w:rFonts w:hint="eastAsia"/>
                      <w:color w:val="000000"/>
                      <w:sz w:val="21"/>
                      <w:szCs w:val="21"/>
                      <w:highlight w:val="none"/>
                      <w:u w:val="none"/>
                    </w:rPr>
                  </w:pPr>
                </w:p>
              </w:tc>
            </w:tr>
            <w:tr w14:paraId="1C028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6543B733">
                  <w:pPr>
                    <w:widowControl/>
                    <w:jc w:val="center"/>
                    <w:rPr>
                      <w:color w:val="000000"/>
                      <w:sz w:val="21"/>
                      <w:szCs w:val="21"/>
                      <w:highlight w:val="none"/>
                      <w:u w:val="none"/>
                    </w:rPr>
                  </w:pPr>
                </w:p>
              </w:tc>
              <w:tc>
                <w:tcPr>
                  <w:tcW w:w="244" w:type="pct"/>
                  <w:vMerge w:val="continue"/>
                  <w:noWrap w:val="0"/>
                  <w:vAlign w:val="center"/>
                </w:tcPr>
                <w:p w14:paraId="4C1A1249">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0B7E41A9">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highlight w:val="none"/>
                      <w:vertAlign w:val="baseline"/>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传送式肉丝肉片机</w:t>
                  </w:r>
                </w:p>
              </w:tc>
              <w:tc>
                <w:tcPr>
                  <w:tcW w:w="289" w:type="pct"/>
                  <w:shd w:val="clear" w:color="auto" w:fill="auto"/>
                  <w:noWrap w:val="0"/>
                  <w:vAlign w:val="center"/>
                </w:tcPr>
                <w:p w14:paraId="1BC4816D">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1824DAD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240A809C">
                  <w:pPr>
                    <w:jc w:val="center"/>
                    <w:rPr>
                      <w:color w:val="000000"/>
                      <w:sz w:val="21"/>
                      <w:szCs w:val="21"/>
                      <w:highlight w:val="none"/>
                      <w:u w:val="none"/>
                    </w:rPr>
                  </w:pPr>
                </w:p>
              </w:tc>
              <w:tc>
                <w:tcPr>
                  <w:tcW w:w="689" w:type="dxa"/>
                  <w:noWrap w:val="0"/>
                  <w:vAlign w:val="center"/>
                </w:tcPr>
                <w:p w14:paraId="09CA6AA6">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80.99</w:t>
                  </w:r>
                </w:p>
              </w:tc>
              <w:tc>
                <w:tcPr>
                  <w:tcW w:w="689" w:type="dxa"/>
                  <w:noWrap w:val="0"/>
                  <w:vAlign w:val="center"/>
                </w:tcPr>
                <w:p w14:paraId="44F156FD">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19.15</w:t>
                  </w:r>
                </w:p>
              </w:tc>
              <w:tc>
                <w:tcPr>
                  <w:tcW w:w="222" w:type="pct"/>
                  <w:noWrap w:val="0"/>
                  <w:vAlign w:val="center"/>
                </w:tcPr>
                <w:p w14:paraId="7C384C87">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785FFBE7">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38.20</w:t>
                  </w:r>
                </w:p>
              </w:tc>
              <w:tc>
                <w:tcPr>
                  <w:tcW w:w="689" w:type="dxa"/>
                  <w:noWrap w:val="0"/>
                  <w:vAlign w:val="center"/>
                </w:tcPr>
                <w:p w14:paraId="5B027AE5">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19.15</w:t>
                  </w:r>
                </w:p>
              </w:tc>
              <w:tc>
                <w:tcPr>
                  <w:tcW w:w="689" w:type="dxa"/>
                  <w:noWrap w:val="0"/>
                  <w:vAlign w:val="center"/>
                </w:tcPr>
                <w:p w14:paraId="0EDB0073">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80.99</w:t>
                  </w:r>
                </w:p>
              </w:tc>
              <w:tc>
                <w:tcPr>
                  <w:tcW w:w="691" w:type="dxa"/>
                  <w:noWrap w:val="0"/>
                  <w:vAlign w:val="center"/>
                </w:tcPr>
                <w:p w14:paraId="0E6A339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11.66</w:t>
                  </w:r>
                </w:p>
              </w:tc>
              <w:tc>
                <w:tcPr>
                  <w:tcW w:w="621" w:type="dxa"/>
                  <w:noWrap w:val="0"/>
                  <w:vAlign w:val="center"/>
                </w:tcPr>
                <w:p w14:paraId="2493B08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43.4</w:t>
                  </w:r>
                </w:p>
              </w:tc>
              <w:tc>
                <w:tcPr>
                  <w:tcW w:w="599" w:type="dxa"/>
                  <w:noWrap w:val="0"/>
                  <w:vAlign w:val="center"/>
                </w:tcPr>
                <w:p w14:paraId="633D377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49.4</w:t>
                  </w:r>
                </w:p>
              </w:tc>
              <w:tc>
                <w:tcPr>
                  <w:tcW w:w="599" w:type="dxa"/>
                  <w:noWrap w:val="0"/>
                  <w:vAlign w:val="center"/>
                </w:tcPr>
                <w:p w14:paraId="2D81AE1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36.8</w:t>
                  </w:r>
                </w:p>
              </w:tc>
              <w:tc>
                <w:tcPr>
                  <w:tcW w:w="637" w:type="dxa"/>
                  <w:noWrap w:val="0"/>
                  <w:vAlign w:val="center"/>
                </w:tcPr>
                <w:p w14:paraId="2E1D920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53.7</w:t>
                  </w:r>
                </w:p>
              </w:tc>
              <w:tc>
                <w:tcPr>
                  <w:tcW w:w="235" w:type="pct"/>
                  <w:noWrap w:val="0"/>
                  <w:vAlign w:val="center"/>
                </w:tcPr>
                <w:p w14:paraId="28CB6949">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0D9774CF">
                  <w:pPr>
                    <w:tabs>
                      <w:tab w:val="left" w:pos="389"/>
                    </w:tabs>
                    <w:jc w:val="center"/>
                    <w:rPr>
                      <w:rFonts w:hint="eastAsia"/>
                      <w:color w:val="000000"/>
                      <w:sz w:val="21"/>
                      <w:szCs w:val="21"/>
                      <w:highlight w:val="none"/>
                      <w:u w:val="none"/>
                    </w:rPr>
                  </w:pPr>
                </w:p>
              </w:tc>
            </w:tr>
            <w:tr w14:paraId="40B55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2E2F3B81">
                  <w:pPr>
                    <w:widowControl/>
                    <w:jc w:val="center"/>
                    <w:rPr>
                      <w:color w:val="000000"/>
                      <w:sz w:val="21"/>
                      <w:szCs w:val="21"/>
                      <w:highlight w:val="none"/>
                      <w:u w:val="none"/>
                    </w:rPr>
                  </w:pPr>
                </w:p>
              </w:tc>
              <w:tc>
                <w:tcPr>
                  <w:tcW w:w="244" w:type="pct"/>
                  <w:vMerge w:val="continue"/>
                  <w:noWrap w:val="0"/>
                  <w:vAlign w:val="center"/>
                </w:tcPr>
                <w:p w14:paraId="58E83CF5">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7722C6C3">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肉丝肉片机</w:t>
                  </w:r>
                </w:p>
              </w:tc>
              <w:tc>
                <w:tcPr>
                  <w:tcW w:w="289" w:type="pct"/>
                  <w:shd w:val="clear" w:color="auto" w:fill="auto"/>
                  <w:noWrap w:val="0"/>
                  <w:vAlign w:val="center"/>
                </w:tcPr>
                <w:p w14:paraId="040D5677">
                  <w:pPr>
                    <w:jc w:val="center"/>
                    <w:rPr>
                      <w:rFonts w:hint="eastAsia"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70</w:t>
                  </w:r>
                </w:p>
              </w:tc>
              <w:tc>
                <w:tcPr>
                  <w:tcW w:w="158" w:type="pct"/>
                  <w:shd w:val="clear" w:color="auto" w:fill="auto"/>
                  <w:noWrap w:val="0"/>
                  <w:vAlign w:val="center"/>
                </w:tcPr>
                <w:p w14:paraId="435BC608">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55BF6D9A">
                  <w:pPr>
                    <w:jc w:val="center"/>
                    <w:rPr>
                      <w:color w:val="000000"/>
                      <w:sz w:val="21"/>
                      <w:szCs w:val="21"/>
                      <w:highlight w:val="none"/>
                      <w:u w:val="none"/>
                    </w:rPr>
                  </w:pPr>
                </w:p>
              </w:tc>
              <w:tc>
                <w:tcPr>
                  <w:tcW w:w="689" w:type="dxa"/>
                  <w:noWrap w:val="0"/>
                  <w:vAlign w:val="center"/>
                </w:tcPr>
                <w:p w14:paraId="0ACA3984">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79.06</w:t>
                  </w:r>
                </w:p>
              </w:tc>
              <w:tc>
                <w:tcPr>
                  <w:tcW w:w="689" w:type="dxa"/>
                  <w:noWrap w:val="0"/>
                  <w:vAlign w:val="center"/>
                </w:tcPr>
                <w:p w14:paraId="3211DB0D">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19.20</w:t>
                  </w:r>
                </w:p>
              </w:tc>
              <w:tc>
                <w:tcPr>
                  <w:tcW w:w="222" w:type="pct"/>
                  <w:noWrap w:val="0"/>
                  <w:vAlign w:val="center"/>
                </w:tcPr>
                <w:p w14:paraId="3181387D">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45AE1887">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40.14</w:t>
                  </w:r>
                </w:p>
              </w:tc>
              <w:tc>
                <w:tcPr>
                  <w:tcW w:w="689" w:type="dxa"/>
                  <w:noWrap w:val="0"/>
                  <w:vAlign w:val="center"/>
                </w:tcPr>
                <w:p w14:paraId="0FB52DE7">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19.20</w:t>
                  </w:r>
                </w:p>
              </w:tc>
              <w:tc>
                <w:tcPr>
                  <w:tcW w:w="689" w:type="dxa"/>
                  <w:noWrap w:val="0"/>
                  <w:vAlign w:val="center"/>
                </w:tcPr>
                <w:p w14:paraId="2BBCFBDD">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79.06</w:t>
                  </w:r>
                </w:p>
              </w:tc>
              <w:tc>
                <w:tcPr>
                  <w:tcW w:w="691" w:type="dxa"/>
                  <w:noWrap w:val="0"/>
                  <w:vAlign w:val="center"/>
                </w:tcPr>
                <w:p w14:paraId="058322F2">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11.61</w:t>
                  </w:r>
                </w:p>
              </w:tc>
              <w:tc>
                <w:tcPr>
                  <w:tcW w:w="621" w:type="dxa"/>
                  <w:noWrap w:val="0"/>
                  <w:vAlign w:val="center"/>
                </w:tcPr>
                <w:p w14:paraId="475DAB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37.9</w:t>
                  </w:r>
                </w:p>
              </w:tc>
              <w:tc>
                <w:tcPr>
                  <w:tcW w:w="599" w:type="dxa"/>
                  <w:noWrap w:val="0"/>
                  <w:vAlign w:val="center"/>
                </w:tcPr>
                <w:p w14:paraId="41F2F2A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44.3</w:t>
                  </w:r>
                </w:p>
              </w:tc>
              <w:tc>
                <w:tcPr>
                  <w:tcW w:w="599" w:type="dxa"/>
                  <w:noWrap w:val="0"/>
                  <w:vAlign w:val="center"/>
                </w:tcPr>
                <w:p w14:paraId="4783FF2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32.0</w:t>
                  </w:r>
                </w:p>
              </w:tc>
              <w:tc>
                <w:tcPr>
                  <w:tcW w:w="637" w:type="dxa"/>
                  <w:noWrap w:val="0"/>
                  <w:vAlign w:val="center"/>
                </w:tcPr>
                <w:p w14:paraId="581E52D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48.7</w:t>
                  </w:r>
                </w:p>
              </w:tc>
              <w:tc>
                <w:tcPr>
                  <w:tcW w:w="235" w:type="pct"/>
                  <w:noWrap w:val="0"/>
                  <w:vAlign w:val="center"/>
                </w:tcPr>
                <w:p w14:paraId="7CA548B1">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62606702">
                  <w:pPr>
                    <w:tabs>
                      <w:tab w:val="left" w:pos="389"/>
                    </w:tabs>
                    <w:jc w:val="center"/>
                    <w:rPr>
                      <w:rFonts w:hint="eastAsia"/>
                      <w:color w:val="000000"/>
                      <w:sz w:val="21"/>
                      <w:szCs w:val="21"/>
                      <w:highlight w:val="none"/>
                      <w:u w:val="none"/>
                    </w:rPr>
                  </w:pPr>
                </w:p>
              </w:tc>
            </w:tr>
            <w:tr w14:paraId="5712F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7E33B8EE">
                  <w:pPr>
                    <w:widowControl/>
                    <w:jc w:val="center"/>
                    <w:rPr>
                      <w:color w:val="000000"/>
                      <w:sz w:val="21"/>
                      <w:szCs w:val="21"/>
                      <w:highlight w:val="none"/>
                      <w:u w:val="none"/>
                    </w:rPr>
                  </w:pPr>
                </w:p>
              </w:tc>
              <w:tc>
                <w:tcPr>
                  <w:tcW w:w="244" w:type="pct"/>
                  <w:vMerge w:val="continue"/>
                  <w:noWrap w:val="0"/>
                  <w:vAlign w:val="center"/>
                </w:tcPr>
                <w:p w14:paraId="6CF31D45">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25CECA90">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eastAsia" w:eastAsia="宋体"/>
                      <w:color w:val="000000" w:themeColor="text1"/>
                      <w:sz w:val="21"/>
                      <w:szCs w:val="21"/>
                      <w:highlight w:val="none"/>
                      <w:vertAlign w:val="baseline"/>
                      <w:lang w:val="en-US" w:eastAsia="zh-CN"/>
                      <w14:textFill>
                        <w14:solidFill>
                          <w14:schemeClr w14:val="tx1"/>
                        </w14:solidFill>
                      </w14:textFill>
                    </w:rPr>
                    <w:t>嫩肉机</w:t>
                  </w:r>
                </w:p>
              </w:tc>
              <w:tc>
                <w:tcPr>
                  <w:tcW w:w="289" w:type="pct"/>
                  <w:shd w:val="clear" w:color="auto" w:fill="auto"/>
                  <w:noWrap w:val="0"/>
                  <w:vAlign w:val="center"/>
                </w:tcPr>
                <w:p w14:paraId="676768D9">
                  <w:pPr>
                    <w:jc w:val="center"/>
                    <w:rPr>
                      <w:rFonts w:hint="eastAsia"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70</w:t>
                  </w:r>
                </w:p>
              </w:tc>
              <w:tc>
                <w:tcPr>
                  <w:tcW w:w="158" w:type="pct"/>
                  <w:shd w:val="clear" w:color="auto" w:fill="auto"/>
                  <w:noWrap w:val="0"/>
                  <w:vAlign w:val="center"/>
                </w:tcPr>
                <w:p w14:paraId="3F4A907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1E668E87">
                  <w:pPr>
                    <w:jc w:val="center"/>
                    <w:rPr>
                      <w:color w:val="000000"/>
                      <w:sz w:val="21"/>
                      <w:szCs w:val="21"/>
                      <w:highlight w:val="none"/>
                      <w:u w:val="none"/>
                    </w:rPr>
                  </w:pPr>
                </w:p>
              </w:tc>
              <w:tc>
                <w:tcPr>
                  <w:tcW w:w="689" w:type="dxa"/>
                  <w:noWrap w:val="0"/>
                  <w:vAlign w:val="center"/>
                </w:tcPr>
                <w:p w14:paraId="72C9B24E">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77.72</w:t>
                  </w:r>
                </w:p>
              </w:tc>
              <w:tc>
                <w:tcPr>
                  <w:tcW w:w="689" w:type="dxa"/>
                  <w:noWrap w:val="0"/>
                  <w:vAlign w:val="center"/>
                </w:tcPr>
                <w:p w14:paraId="37FAF58B">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19.15</w:t>
                  </w:r>
                </w:p>
              </w:tc>
              <w:tc>
                <w:tcPr>
                  <w:tcW w:w="222" w:type="pct"/>
                  <w:noWrap w:val="0"/>
                  <w:vAlign w:val="center"/>
                </w:tcPr>
                <w:p w14:paraId="63C60D9F">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19B62D88">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41.47</w:t>
                  </w:r>
                </w:p>
              </w:tc>
              <w:tc>
                <w:tcPr>
                  <w:tcW w:w="689" w:type="dxa"/>
                  <w:noWrap w:val="0"/>
                  <w:vAlign w:val="center"/>
                </w:tcPr>
                <w:p w14:paraId="1828B062">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19.15</w:t>
                  </w:r>
                </w:p>
              </w:tc>
              <w:tc>
                <w:tcPr>
                  <w:tcW w:w="689" w:type="dxa"/>
                  <w:noWrap w:val="0"/>
                  <w:vAlign w:val="center"/>
                </w:tcPr>
                <w:p w14:paraId="1B213FD0">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77.72</w:t>
                  </w:r>
                </w:p>
              </w:tc>
              <w:tc>
                <w:tcPr>
                  <w:tcW w:w="691" w:type="dxa"/>
                  <w:noWrap w:val="0"/>
                  <w:vAlign w:val="center"/>
                </w:tcPr>
                <w:p w14:paraId="447D1D7E">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11.66</w:t>
                  </w:r>
                </w:p>
              </w:tc>
              <w:tc>
                <w:tcPr>
                  <w:tcW w:w="621" w:type="dxa"/>
                  <w:noWrap w:val="0"/>
                  <w:vAlign w:val="center"/>
                </w:tcPr>
                <w:p w14:paraId="099ACBF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37.6</w:t>
                  </w:r>
                </w:p>
              </w:tc>
              <w:tc>
                <w:tcPr>
                  <w:tcW w:w="599" w:type="dxa"/>
                  <w:noWrap w:val="0"/>
                  <w:vAlign w:val="center"/>
                </w:tcPr>
                <w:p w14:paraId="225C3F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44.4</w:t>
                  </w:r>
                </w:p>
              </w:tc>
              <w:tc>
                <w:tcPr>
                  <w:tcW w:w="599" w:type="dxa"/>
                  <w:noWrap w:val="0"/>
                  <w:vAlign w:val="center"/>
                </w:tcPr>
                <w:p w14:paraId="5825F61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32.2</w:t>
                  </w:r>
                </w:p>
              </w:tc>
              <w:tc>
                <w:tcPr>
                  <w:tcW w:w="637" w:type="dxa"/>
                  <w:noWrap w:val="0"/>
                  <w:vAlign w:val="center"/>
                </w:tcPr>
                <w:p w14:paraId="495C0F6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48.7</w:t>
                  </w:r>
                </w:p>
              </w:tc>
              <w:tc>
                <w:tcPr>
                  <w:tcW w:w="235" w:type="pct"/>
                  <w:noWrap w:val="0"/>
                  <w:vAlign w:val="center"/>
                </w:tcPr>
                <w:p w14:paraId="0AFEF30E">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33CDFA9F">
                  <w:pPr>
                    <w:tabs>
                      <w:tab w:val="left" w:pos="389"/>
                    </w:tabs>
                    <w:jc w:val="center"/>
                    <w:rPr>
                      <w:rFonts w:hint="eastAsia"/>
                      <w:color w:val="000000"/>
                      <w:sz w:val="21"/>
                      <w:szCs w:val="21"/>
                      <w:highlight w:val="none"/>
                      <w:u w:val="none"/>
                    </w:rPr>
                  </w:pPr>
                </w:p>
              </w:tc>
            </w:tr>
            <w:tr w14:paraId="03BE9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6C8FC32">
                  <w:pPr>
                    <w:widowControl/>
                    <w:jc w:val="center"/>
                    <w:rPr>
                      <w:color w:val="000000"/>
                      <w:sz w:val="21"/>
                      <w:szCs w:val="21"/>
                      <w:highlight w:val="none"/>
                      <w:u w:val="none"/>
                    </w:rPr>
                  </w:pPr>
                </w:p>
              </w:tc>
              <w:tc>
                <w:tcPr>
                  <w:tcW w:w="244" w:type="pct"/>
                  <w:vMerge w:val="continue"/>
                  <w:noWrap w:val="0"/>
                  <w:vAlign w:val="center"/>
                </w:tcPr>
                <w:p w14:paraId="3D15BA9E">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3E8FF371">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highlight w:val="none"/>
                      <w:vertAlign w:val="baseline"/>
                      <w14:textFill>
                        <w14:solidFill>
                          <w14:schemeClr w14:val="tx1"/>
                        </w14:solidFill>
                      </w14:textFill>
                    </w:rPr>
                  </w:pPr>
                  <w:r>
                    <w:rPr>
                      <w:rFonts w:hint="eastAsia" w:eastAsia="宋体"/>
                      <w:color w:val="000000" w:themeColor="text1"/>
                      <w:sz w:val="21"/>
                      <w:szCs w:val="21"/>
                      <w:highlight w:val="none"/>
                      <w:vertAlign w:val="baseline"/>
                      <w:lang w:val="en-US" w:eastAsia="zh-CN"/>
                      <w14:textFill>
                        <w14:solidFill>
                          <w14:schemeClr w14:val="tx1"/>
                        </w14:solidFill>
                      </w14:textFill>
                    </w:rPr>
                    <w:t>肉丁机</w:t>
                  </w:r>
                </w:p>
              </w:tc>
              <w:tc>
                <w:tcPr>
                  <w:tcW w:w="289" w:type="pct"/>
                  <w:shd w:val="clear" w:color="auto" w:fill="auto"/>
                  <w:noWrap w:val="0"/>
                  <w:vAlign w:val="center"/>
                </w:tcPr>
                <w:p w14:paraId="29176794">
                  <w:pPr>
                    <w:jc w:val="center"/>
                    <w:rPr>
                      <w:rFonts w:hint="eastAsia"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70</w:t>
                  </w:r>
                </w:p>
              </w:tc>
              <w:tc>
                <w:tcPr>
                  <w:tcW w:w="429" w:type="dxa"/>
                  <w:shd w:val="clear" w:color="auto" w:fill="auto"/>
                  <w:noWrap w:val="0"/>
                  <w:vAlign w:val="center"/>
                </w:tcPr>
                <w:p w14:paraId="3B507D14">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483F0962">
                  <w:pPr>
                    <w:jc w:val="center"/>
                    <w:rPr>
                      <w:color w:val="000000"/>
                      <w:sz w:val="21"/>
                      <w:szCs w:val="21"/>
                      <w:highlight w:val="none"/>
                      <w:u w:val="none"/>
                    </w:rPr>
                  </w:pPr>
                </w:p>
              </w:tc>
              <w:tc>
                <w:tcPr>
                  <w:tcW w:w="689" w:type="dxa"/>
                  <w:noWrap w:val="0"/>
                  <w:vAlign w:val="center"/>
                </w:tcPr>
                <w:p w14:paraId="7C740CFF">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75.71</w:t>
                  </w:r>
                </w:p>
              </w:tc>
              <w:tc>
                <w:tcPr>
                  <w:tcW w:w="689" w:type="dxa"/>
                  <w:noWrap w:val="0"/>
                  <w:vAlign w:val="center"/>
                </w:tcPr>
                <w:p w14:paraId="71612D6F">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19.30</w:t>
                  </w:r>
                </w:p>
              </w:tc>
              <w:tc>
                <w:tcPr>
                  <w:tcW w:w="222" w:type="pct"/>
                  <w:noWrap w:val="0"/>
                  <w:vAlign w:val="center"/>
                </w:tcPr>
                <w:p w14:paraId="0EB0CC1B">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7589966D">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43.48</w:t>
                  </w:r>
                </w:p>
              </w:tc>
              <w:tc>
                <w:tcPr>
                  <w:tcW w:w="689" w:type="dxa"/>
                  <w:noWrap w:val="0"/>
                  <w:vAlign w:val="center"/>
                </w:tcPr>
                <w:p w14:paraId="21D146F6">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19.30</w:t>
                  </w:r>
                </w:p>
              </w:tc>
              <w:tc>
                <w:tcPr>
                  <w:tcW w:w="689" w:type="dxa"/>
                  <w:noWrap w:val="0"/>
                  <w:vAlign w:val="center"/>
                </w:tcPr>
                <w:p w14:paraId="2862066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75.71</w:t>
                  </w:r>
                </w:p>
              </w:tc>
              <w:tc>
                <w:tcPr>
                  <w:tcW w:w="691" w:type="dxa"/>
                  <w:noWrap w:val="0"/>
                  <w:vAlign w:val="center"/>
                </w:tcPr>
                <w:p w14:paraId="1EBB1C06">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11.51</w:t>
                  </w:r>
                </w:p>
              </w:tc>
              <w:tc>
                <w:tcPr>
                  <w:tcW w:w="621" w:type="dxa"/>
                  <w:noWrap w:val="0"/>
                  <w:vAlign w:val="center"/>
                </w:tcPr>
                <w:p w14:paraId="06EBE9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37.2</w:t>
                  </w:r>
                </w:p>
              </w:tc>
              <w:tc>
                <w:tcPr>
                  <w:tcW w:w="599" w:type="dxa"/>
                  <w:noWrap w:val="0"/>
                  <w:vAlign w:val="center"/>
                </w:tcPr>
                <w:p w14:paraId="73F413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44.3</w:t>
                  </w:r>
                </w:p>
              </w:tc>
              <w:tc>
                <w:tcPr>
                  <w:tcW w:w="599" w:type="dxa"/>
                  <w:noWrap w:val="0"/>
                  <w:vAlign w:val="center"/>
                </w:tcPr>
                <w:p w14:paraId="3C63849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32.4</w:t>
                  </w:r>
                </w:p>
              </w:tc>
              <w:tc>
                <w:tcPr>
                  <w:tcW w:w="637" w:type="dxa"/>
                  <w:noWrap w:val="0"/>
                  <w:vAlign w:val="center"/>
                </w:tcPr>
                <w:p w14:paraId="28C3421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48.8</w:t>
                  </w:r>
                </w:p>
              </w:tc>
              <w:tc>
                <w:tcPr>
                  <w:tcW w:w="235" w:type="pct"/>
                  <w:noWrap w:val="0"/>
                  <w:vAlign w:val="center"/>
                </w:tcPr>
                <w:p w14:paraId="058439B9">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0FB7F09B">
                  <w:pPr>
                    <w:tabs>
                      <w:tab w:val="left" w:pos="389"/>
                    </w:tabs>
                    <w:jc w:val="center"/>
                    <w:rPr>
                      <w:rFonts w:hint="eastAsia"/>
                      <w:color w:val="000000"/>
                      <w:sz w:val="21"/>
                      <w:szCs w:val="21"/>
                      <w:highlight w:val="none"/>
                      <w:u w:val="none"/>
                    </w:rPr>
                  </w:pPr>
                </w:p>
              </w:tc>
            </w:tr>
            <w:tr w14:paraId="0D0A4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3C184C6A">
                  <w:pPr>
                    <w:widowControl/>
                    <w:jc w:val="center"/>
                    <w:rPr>
                      <w:color w:val="000000"/>
                      <w:sz w:val="21"/>
                      <w:szCs w:val="21"/>
                      <w:highlight w:val="none"/>
                      <w:u w:val="none"/>
                    </w:rPr>
                  </w:pPr>
                </w:p>
              </w:tc>
              <w:tc>
                <w:tcPr>
                  <w:tcW w:w="244" w:type="pct"/>
                  <w:vMerge w:val="continue"/>
                  <w:noWrap w:val="0"/>
                  <w:vAlign w:val="center"/>
                </w:tcPr>
                <w:p w14:paraId="124AE53C">
                  <w:pPr>
                    <w:jc w:val="center"/>
                    <w:rPr>
                      <w:rFonts w:hint="default" w:ascii="Times New Roman" w:hAnsi="Times New Roman" w:eastAsia="宋体" w:cs="Times New Roman"/>
                      <w:color w:val="auto"/>
                      <w:sz w:val="21"/>
                      <w:szCs w:val="21"/>
                      <w:highlight w:val="none"/>
                      <w:u w:val="none"/>
                      <w:lang w:val="en-US" w:eastAsia="zh-CN"/>
                    </w:rPr>
                  </w:pPr>
                </w:p>
              </w:tc>
              <w:tc>
                <w:tcPr>
                  <w:tcW w:w="1001" w:type="dxa"/>
                  <w:shd w:val="clear" w:color="auto" w:fill="auto"/>
                  <w:noWrap w:val="0"/>
                  <w:vAlign w:val="center"/>
                </w:tcPr>
                <w:p w14:paraId="2E2BDF54">
                  <w:pPr>
                    <w:keepNext w:val="0"/>
                    <w:keepLines w:val="0"/>
                    <w:pageBreakBefore w:val="0"/>
                    <w:kinsoku/>
                    <w:wordWrap/>
                    <w:overflowPunct/>
                    <w:topLinePunct w:val="0"/>
                    <w:autoSpaceDE/>
                    <w:autoSpaceDN/>
                    <w:bidi w:val="0"/>
                    <w:adjustRightInd/>
                    <w:snapToGrid/>
                    <w:jc w:val="center"/>
                    <w:textAlignment w:val="auto"/>
                    <w:rPr>
                      <w:rFonts w:hint="eastAsia" w:eastAsia="宋体"/>
                      <w:color w:val="000000" w:themeColor="text1"/>
                      <w:sz w:val="21"/>
                      <w:szCs w:val="21"/>
                      <w:highlight w:val="none"/>
                      <w:vertAlign w:val="baseline"/>
                      <w:lang w:val="en-US" w:eastAsia="zh-CN"/>
                      <w14:textFill>
                        <w14:solidFill>
                          <w14:schemeClr w14:val="tx1"/>
                        </w14:solidFill>
                      </w14:textFill>
                    </w:rPr>
                  </w:pPr>
                  <w:r>
                    <w:rPr>
                      <w:rFonts w:hint="eastAsia" w:eastAsia="宋体"/>
                      <w:color w:val="000000" w:themeColor="text1"/>
                      <w:sz w:val="21"/>
                      <w:szCs w:val="21"/>
                      <w:highlight w:val="none"/>
                      <w:vertAlign w:val="baseline"/>
                      <w:lang w:val="en-US" w:eastAsia="zh-CN"/>
                      <w14:textFill>
                        <w14:solidFill>
                          <w14:schemeClr w14:val="tx1"/>
                        </w14:solidFill>
                      </w14:textFill>
                    </w:rPr>
                    <w:t>肉丁机</w:t>
                  </w:r>
                </w:p>
              </w:tc>
              <w:tc>
                <w:tcPr>
                  <w:tcW w:w="788" w:type="dxa"/>
                  <w:shd w:val="clear" w:color="auto" w:fill="auto"/>
                  <w:noWrap w:val="0"/>
                  <w:vAlign w:val="center"/>
                </w:tcPr>
                <w:p w14:paraId="7C6BF85C">
                  <w:pPr>
                    <w:jc w:val="center"/>
                    <w:rPr>
                      <w:rFonts w:hint="eastAsia"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70</w:t>
                  </w:r>
                </w:p>
              </w:tc>
              <w:tc>
                <w:tcPr>
                  <w:tcW w:w="429" w:type="dxa"/>
                  <w:shd w:val="clear" w:color="auto" w:fill="auto"/>
                  <w:noWrap w:val="0"/>
                  <w:vAlign w:val="center"/>
                </w:tcPr>
                <w:p w14:paraId="75FA6E34">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3047BFDF">
                  <w:pPr>
                    <w:jc w:val="center"/>
                    <w:rPr>
                      <w:color w:val="000000"/>
                      <w:sz w:val="21"/>
                      <w:szCs w:val="21"/>
                      <w:highlight w:val="none"/>
                      <w:u w:val="none"/>
                    </w:rPr>
                  </w:pPr>
                </w:p>
              </w:tc>
              <w:tc>
                <w:tcPr>
                  <w:tcW w:w="689" w:type="dxa"/>
                  <w:noWrap w:val="0"/>
                  <w:vAlign w:val="center"/>
                </w:tcPr>
                <w:p w14:paraId="3FE3FA1F">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83.07</w:t>
                  </w:r>
                </w:p>
              </w:tc>
              <w:tc>
                <w:tcPr>
                  <w:tcW w:w="689" w:type="dxa"/>
                  <w:noWrap w:val="0"/>
                  <w:vAlign w:val="center"/>
                </w:tcPr>
                <w:p w14:paraId="74C1D9F0">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11.57</w:t>
                  </w:r>
                </w:p>
              </w:tc>
              <w:tc>
                <w:tcPr>
                  <w:tcW w:w="222" w:type="pct"/>
                  <w:noWrap w:val="0"/>
                  <w:vAlign w:val="center"/>
                </w:tcPr>
                <w:p w14:paraId="7B6E5A15">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5D3D71D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36.12</w:t>
                  </w:r>
                </w:p>
              </w:tc>
              <w:tc>
                <w:tcPr>
                  <w:tcW w:w="689" w:type="dxa"/>
                  <w:noWrap w:val="0"/>
                  <w:vAlign w:val="center"/>
                </w:tcPr>
                <w:p w14:paraId="4BAE2A08">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11.57</w:t>
                  </w:r>
                </w:p>
              </w:tc>
              <w:tc>
                <w:tcPr>
                  <w:tcW w:w="689" w:type="dxa"/>
                  <w:noWrap w:val="0"/>
                  <w:vAlign w:val="center"/>
                </w:tcPr>
                <w:p w14:paraId="19A9F8E4">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83.07</w:t>
                  </w:r>
                </w:p>
              </w:tc>
              <w:tc>
                <w:tcPr>
                  <w:tcW w:w="691" w:type="dxa"/>
                  <w:noWrap w:val="0"/>
                  <w:vAlign w:val="center"/>
                </w:tcPr>
                <w:p w14:paraId="5AEB9FD1">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19.24</w:t>
                  </w:r>
                </w:p>
              </w:tc>
              <w:tc>
                <w:tcPr>
                  <w:tcW w:w="621" w:type="dxa"/>
                  <w:noWrap w:val="0"/>
                  <w:vAlign w:val="center"/>
                </w:tcPr>
                <w:p w14:paraId="59C1BC4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38.8</w:t>
                  </w:r>
                </w:p>
              </w:tc>
              <w:tc>
                <w:tcPr>
                  <w:tcW w:w="599" w:type="dxa"/>
                  <w:noWrap w:val="0"/>
                  <w:vAlign w:val="center"/>
                </w:tcPr>
                <w:p w14:paraId="07046A5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48.7</w:t>
                  </w:r>
                </w:p>
              </w:tc>
              <w:tc>
                <w:tcPr>
                  <w:tcW w:w="599" w:type="dxa"/>
                  <w:noWrap w:val="0"/>
                  <w:vAlign w:val="center"/>
                </w:tcPr>
                <w:p w14:paraId="38501C3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31.6</w:t>
                  </w:r>
                </w:p>
              </w:tc>
              <w:tc>
                <w:tcPr>
                  <w:tcW w:w="637" w:type="dxa"/>
                  <w:noWrap w:val="0"/>
                  <w:vAlign w:val="center"/>
                </w:tcPr>
                <w:p w14:paraId="2DB479B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44.3</w:t>
                  </w:r>
                </w:p>
              </w:tc>
              <w:tc>
                <w:tcPr>
                  <w:tcW w:w="235" w:type="pct"/>
                  <w:noWrap w:val="0"/>
                  <w:vAlign w:val="center"/>
                </w:tcPr>
                <w:p w14:paraId="73C40767">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14C61CF7">
                  <w:pPr>
                    <w:tabs>
                      <w:tab w:val="left" w:pos="389"/>
                    </w:tabs>
                    <w:jc w:val="center"/>
                    <w:rPr>
                      <w:rFonts w:hint="eastAsia"/>
                      <w:color w:val="000000"/>
                      <w:sz w:val="21"/>
                      <w:szCs w:val="21"/>
                      <w:highlight w:val="none"/>
                      <w:u w:val="none"/>
                    </w:rPr>
                  </w:pPr>
                </w:p>
              </w:tc>
            </w:tr>
            <w:tr w14:paraId="03280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512BAAAB">
                  <w:pPr>
                    <w:widowControl/>
                    <w:jc w:val="center"/>
                    <w:rPr>
                      <w:color w:val="000000"/>
                      <w:sz w:val="21"/>
                      <w:szCs w:val="21"/>
                      <w:highlight w:val="none"/>
                      <w:u w:val="none"/>
                    </w:rPr>
                  </w:pPr>
                </w:p>
              </w:tc>
              <w:tc>
                <w:tcPr>
                  <w:tcW w:w="244" w:type="pct"/>
                  <w:vMerge w:val="continue"/>
                  <w:noWrap w:val="0"/>
                  <w:vAlign w:val="center"/>
                </w:tcPr>
                <w:p w14:paraId="03F1BF86">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0EA3CB23">
                  <w:pPr>
                    <w:keepNext w:val="0"/>
                    <w:keepLines w:val="0"/>
                    <w:pageBreakBefore w:val="0"/>
                    <w:kinsoku/>
                    <w:wordWrap/>
                    <w:overflowPunct/>
                    <w:topLinePunct w:val="0"/>
                    <w:autoSpaceDE/>
                    <w:autoSpaceDN/>
                    <w:bidi w:val="0"/>
                    <w:adjustRightInd/>
                    <w:snapToGrid/>
                    <w:jc w:val="center"/>
                    <w:textAlignment w:val="auto"/>
                    <w:rPr>
                      <w:rFonts w:hint="eastAsia" w:ascii="Times New Roman"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冻肉切块机</w:t>
                  </w:r>
                </w:p>
              </w:tc>
              <w:tc>
                <w:tcPr>
                  <w:tcW w:w="289" w:type="pct"/>
                  <w:shd w:val="clear" w:color="auto" w:fill="auto"/>
                  <w:noWrap w:val="0"/>
                  <w:vAlign w:val="center"/>
                </w:tcPr>
                <w:p w14:paraId="3BF2B9F9">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80</w:t>
                  </w:r>
                </w:p>
              </w:tc>
              <w:tc>
                <w:tcPr>
                  <w:tcW w:w="158" w:type="pct"/>
                  <w:shd w:val="clear" w:color="auto" w:fill="auto"/>
                  <w:noWrap w:val="0"/>
                  <w:vAlign w:val="center"/>
                </w:tcPr>
                <w:p w14:paraId="2864F338">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7EA4FB93">
                  <w:pPr>
                    <w:jc w:val="center"/>
                    <w:rPr>
                      <w:color w:val="000000"/>
                      <w:sz w:val="21"/>
                      <w:szCs w:val="21"/>
                      <w:highlight w:val="none"/>
                      <w:u w:val="none"/>
                    </w:rPr>
                  </w:pPr>
                </w:p>
              </w:tc>
              <w:tc>
                <w:tcPr>
                  <w:tcW w:w="689" w:type="dxa"/>
                  <w:noWrap w:val="0"/>
                  <w:vAlign w:val="center"/>
                </w:tcPr>
                <w:p w14:paraId="35295422">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74.00</w:t>
                  </w:r>
                </w:p>
              </w:tc>
              <w:tc>
                <w:tcPr>
                  <w:tcW w:w="689" w:type="dxa"/>
                  <w:noWrap w:val="0"/>
                  <w:vAlign w:val="center"/>
                </w:tcPr>
                <w:p w14:paraId="2768C053">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19.08</w:t>
                  </w:r>
                </w:p>
              </w:tc>
              <w:tc>
                <w:tcPr>
                  <w:tcW w:w="222" w:type="pct"/>
                  <w:noWrap w:val="0"/>
                  <w:vAlign w:val="center"/>
                </w:tcPr>
                <w:p w14:paraId="547E620F">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5AF92553">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45.19</w:t>
                  </w:r>
                </w:p>
              </w:tc>
              <w:tc>
                <w:tcPr>
                  <w:tcW w:w="689" w:type="dxa"/>
                  <w:noWrap w:val="0"/>
                  <w:vAlign w:val="center"/>
                </w:tcPr>
                <w:p w14:paraId="38E3313A">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19.08</w:t>
                  </w:r>
                </w:p>
              </w:tc>
              <w:tc>
                <w:tcPr>
                  <w:tcW w:w="689" w:type="dxa"/>
                  <w:noWrap w:val="0"/>
                  <w:vAlign w:val="center"/>
                </w:tcPr>
                <w:p w14:paraId="4760C2FA">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74.00</w:t>
                  </w:r>
                </w:p>
              </w:tc>
              <w:tc>
                <w:tcPr>
                  <w:tcW w:w="691" w:type="dxa"/>
                  <w:noWrap w:val="0"/>
                  <w:vAlign w:val="center"/>
                </w:tcPr>
                <w:p w14:paraId="75CBFE5E">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11.73</w:t>
                  </w:r>
                </w:p>
              </w:tc>
              <w:tc>
                <w:tcPr>
                  <w:tcW w:w="621" w:type="dxa"/>
                  <w:noWrap w:val="0"/>
                  <w:vAlign w:val="center"/>
                </w:tcPr>
                <w:p w14:paraId="4BEF0CD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46.9</w:t>
                  </w:r>
                </w:p>
              </w:tc>
              <w:tc>
                <w:tcPr>
                  <w:tcW w:w="599" w:type="dxa"/>
                  <w:noWrap w:val="0"/>
                  <w:vAlign w:val="center"/>
                </w:tcPr>
                <w:p w14:paraId="38C9D6A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54.4</w:t>
                  </w:r>
                </w:p>
              </w:tc>
              <w:tc>
                <w:tcPr>
                  <w:tcW w:w="599" w:type="dxa"/>
                  <w:noWrap w:val="0"/>
                  <w:vAlign w:val="center"/>
                </w:tcPr>
                <w:p w14:paraId="113B2C9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42.6</w:t>
                  </w:r>
                </w:p>
              </w:tc>
              <w:tc>
                <w:tcPr>
                  <w:tcW w:w="637" w:type="dxa"/>
                  <w:noWrap w:val="0"/>
                  <w:vAlign w:val="center"/>
                </w:tcPr>
                <w:p w14:paraId="10C21B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58.6</w:t>
                  </w:r>
                </w:p>
              </w:tc>
              <w:tc>
                <w:tcPr>
                  <w:tcW w:w="235" w:type="pct"/>
                  <w:noWrap w:val="0"/>
                  <w:vAlign w:val="center"/>
                </w:tcPr>
                <w:p w14:paraId="48C25195">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5BD4A367">
                  <w:pPr>
                    <w:tabs>
                      <w:tab w:val="left" w:pos="389"/>
                    </w:tabs>
                    <w:jc w:val="center"/>
                    <w:rPr>
                      <w:rFonts w:hint="eastAsia"/>
                      <w:color w:val="000000"/>
                      <w:sz w:val="21"/>
                      <w:szCs w:val="21"/>
                      <w:highlight w:val="none"/>
                      <w:u w:val="none"/>
                    </w:rPr>
                  </w:pPr>
                </w:p>
              </w:tc>
            </w:tr>
            <w:tr w14:paraId="1FAD6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502E6B8F">
                  <w:pPr>
                    <w:widowControl/>
                    <w:jc w:val="center"/>
                    <w:rPr>
                      <w:color w:val="000000"/>
                      <w:sz w:val="21"/>
                      <w:szCs w:val="21"/>
                      <w:highlight w:val="none"/>
                      <w:u w:val="none"/>
                    </w:rPr>
                  </w:pPr>
                </w:p>
              </w:tc>
              <w:tc>
                <w:tcPr>
                  <w:tcW w:w="244" w:type="pct"/>
                  <w:vMerge w:val="continue"/>
                  <w:noWrap w:val="0"/>
                  <w:vAlign w:val="center"/>
                </w:tcPr>
                <w:p w14:paraId="6F7A7780">
                  <w:pPr>
                    <w:jc w:val="center"/>
                    <w:rPr>
                      <w:rFonts w:hint="default" w:ascii="Times New Roman" w:hAnsi="Times New Roman" w:eastAsia="宋体" w:cs="Times New Roman"/>
                      <w:color w:val="auto"/>
                      <w:sz w:val="21"/>
                      <w:szCs w:val="21"/>
                      <w:highlight w:val="none"/>
                      <w:u w:val="none"/>
                      <w:lang w:val="en-US" w:eastAsia="zh-CN"/>
                    </w:rPr>
                  </w:pPr>
                </w:p>
              </w:tc>
              <w:tc>
                <w:tcPr>
                  <w:tcW w:w="1001" w:type="dxa"/>
                  <w:shd w:val="clear" w:color="auto" w:fill="auto"/>
                  <w:noWrap w:val="0"/>
                  <w:vAlign w:val="center"/>
                </w:tcPr>
                <w:p w14:paraId="710F2F91">
                  <w:pPr>
                    <w:keepNext w:val="0"/>
                    <w:keepLines w:val="0"/>
                    <w:pageBreakBefore w:val="0"/>
                    <w:kinsoku/>
                    <w:wordWrap/>
                    <w:overflowPunct/>
                    <w:topLinePunct w:val="0"/>
                    <w:autoSpaceDE/>
                    <w:autoSpaceDN/>
                    <w:bidi w:val="0"/>
                    <w:adjustRightInd/>
                    <w:snapToGrid/>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冻肉切块机</w:t>
                  </w:r>
                </w:p>
              </w:tc>
              <w:tc>
                <w:tcPr>
                  <w:tcW w:w="788" w:type="dxa"/>
                  <w:shd w:val="clear" w:color="auto" w:fill="auto"/>
                  <w:noWrap w:val="0"/>
                  <w:vAlign w:val="center"/>
                </w:tcPr>
                <w:p w14:paraId="714059E4">
                  <w:pPr>
                    <w:jc w:val="center"/>
                    <w:rPr>
                      <w:rFonts w:hint="eastAsia"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80</w:t>
                  </w:r>
                </w:p>
              </w:tc>
              <w:tc>
                <w:tcPr>
                  <w:tcW w:w="158" w:type="pct"/>
                  <w:shd w:val="clear" w:color="auto" w:fill="auto"/>
                  <w:noWrap w:val="0"/>
                  <w:vAlign w:val="center"/>
                </w:tcPr>
                <w:p w14:paraId="0EE40CEC">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5B326FAC">
                  <w:pPr>
                    <w:jc w:val="center"/>
                    <w:rPr>
                      <w:color w:val="000000"/>
                      <w:sz w:val="21"/>
                      <w:szCs w:val="21"/>
                      <w:highlight w:val="none"/>
                      <w:u w:val="none"/>
                    </w:rPr>
                  </w:pPr>
                </w:p>
              </w:tc>
              <w:tc>
                <w:tcPr>
                  <w:tcW w:w="689" w:type="dxa"/>
                  <w:noWrap w:val="0"/>
                  <w:vAlign w:val="center"/>
                </w:tcPr>
                <w:p w14:paraId="77BD2BDD">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84.85</w:t>
                  </w:r>
                </w:p>
              </w:tc>
              <w:tc>
                <w:tcPr>
                  <w:tcW w:w="689" w:type="dxa"/>
                  <w:noWrap w:val="0"/>
                  <w:vAlign w:val="center"/>
                </w:tcPr>
                <w:p w14:paraId="6484FFD8">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11.57</w:t>
                  </w:r>
                </w:p>
              </w:tc>
              <w:tc>
                <w:tcPr>
                  <w:tcW w:w="222" w:type="pct"/>
                  <w:noWrap w:val="0"/>
                  <w:vAlign w:val="center"/>
                </w:tcPr>
                <w:p w14:paraId="409F852B">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457BD3AA">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34.34</w:t>
                  </w:r>
                </w:p>
              </w:tc>
              <w:tc>
                <w:tcPr>
                  <w:tcW w:w="689" w:type="dxa"/>
                  <w:noWrap w:val="0"/>
                  <w:vAlign w:val="center"/>
                </w:tcPr>
                <w:p w14:paraId="10D15DA0">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11.57</w:t>
                  </w:r>
                </w:p>
              </w:tc>
              <w:tc>
                <w:tcPr>
                  <w:tcW w:w="689" w:type="dxa"/>
                  <w:noWrap w:val="0"/>
                  <w:vAlign w:val="center"/>
                </w:tcPr>
                <w:p w14:paraId="0DD14BF0">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84.85</w:t>
                  </w:r>
                </w:p>
              </w:tc>
              <w:tc>
                <w:tcPr>
                  <w:tcW w:w="691" w:type="dxa"/>
                  <w:noWrap w:val="0"/>
                  <w:vAlign w:val="center"/>
                </w:tcPr>
                <w:p w14:paraId="48713E37">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19.24</w:t>
                  </w:r>
                </w:p>
              </w:tc>
              <w:tc>
                <w:tcPr>
                  <w:tcW w:w="621" w:type="dxa"/>
                  <w:noWrap w:val="0"/>
                  <w:vAlign w:val="center"/>
                </w:tcPr>
                <w:p w14:paraId="574922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49.3</w:t>
                  </w:r>
                </w:p>
              </w:tc>
              <w:tc>
                <w:tcPr>
                  <w:tcW w:w="599" w:type="dxa"/>
                  <w:noWrap w:val="0"/>
                  <w:vAlign w:val="center"/>
                </w:tcPr>
                <w:p w14:paraId="582EF92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58.7</w:t>
                  </w:r>
                </w:p>
              </w:tc>
              <w:tc>
                <w:tcPr>
                  <w:tcW w:w="599" w:type="dxa"/>
                  <w:noWrap w:val="0"/>
                  <w:vAlign w:val="center"/>
                </w:tcPr>
                <w:p w14:paraId="0215FA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41.4</w:t>
                  </w:r>
                </w:p>
              </w:tc>
              <w:tc>
                <w:tcPr>
                  <w:tcW w:w="637" w:type="dxa"/>
                  <w:noWrap w:val="0"/>
                  <w:vAlign w:val="center"/>
                </w:tcPr>
                <w:p w14:paraId="0BB0107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54.3</w:t>
                  </w:r>
                </w:p>
              </w:tc>
              <w:tc>
                <w:tcPr>
                  <w:tcW w:w="235" w:type="pct"/>
                  <w:noWrap w:val="0"/>
                  <w:vAlign w:val="center"/>
                </w:tcPr>
                <w:p w14:paraId="43E0A788">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0530FA55">
                  <w:pPr>
                    <w:tabs>
                      <w:tab w:val="left" w:pos="389"/>
                    </w:tabs>
                    <w:jc w:val="center"/>
                    <w:rPr>
                      <w:rFonts w:hint="eastAsia"/>
                      <w:color w:val="000000"/>
                      <w:sz w:val="21"/>
                      <w:szCs w:val="21"/>
                      <w:highlight w:val="none"/>
                      <w:u w:val="none"/>
                    </w:rPr>
                  </w:pPr>
                </w:p>
              </w:tc>
            </w:tr>
            <w:tr w14:paraId="765A0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1580ED6D">
                  <w:pPr>
                    <w:widowControl/>
                    <w:jc w:val="center"/>
                    <w:rPr>
                      <w:color w:val="000000"/>
                      <w:sz w:val="21"/>
                      <w:szCs w:val="21"/>
                      <w:highlight w:val="none"/>
                      <w:u w:val="none"/>
                    </w:rPr>
                  </w:pPr>
                </w:p>
              </w:tc>
              <w:tc>
                <w:tcPr>
                  <w:tcW w:w="244" w:type="pct"/>
                  <w:vMerge w:val="continue"/>
                  <w:noWrap w:val="0"/>
                  <w:vAlign w:val="center"/>
                </w:tcPr>
                <w:p w14:paraId="0E60053A">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2A5B3B6C">
                  <w:pPr>
                    <w:keepNext w:val="0"/>
                    <w:keepLines w:val="0"/>
                    <w:pageBreakBefore w:val="0"/>
                    <w:kinsoku/>
                    <w:wordWrap/>
                    <w:overflowPunct/>
                    <w:topLinePunct w:val="0"/>
                    <w:autoSpaceDE/>
                    <w:autoSpaceDN/>
                    <w:bidi w:val="0"/>
                    <w:adjustRightInd/>
                    <w:snapToGrid/>
                    <w:jc w:val="center"/>
                    <w:textAlignment w:val="auto"/>
                    <w:rPr>
                      <w:rFonts w:hint="eastAsia" w:ascii="Times New Roman"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绞肉机</w:t>
                  </w:r>
                </w:p>
              </w:tc>
              <w:tc>
                <w:tcPr>
                  <w:tcW w:w="289" w:type="pct"/>
                  <w:shd w:val="clear" w:color="auto" w:fill="auto"/>
                  <w:noWrap w:val="0"/>
                  <w:vAlign w:val="center"/>
                </w:tcPr>
                <w:p w14:paraId="379D226F">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2EAC6078">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4E4090D6">
                  <w:pPr>
                    <w:jc w:val="center"/>
                    <w:rPr>
                      <w:color w:val="000000"/>
                      <w:sz w:val="21"/>
                      <w:szCs w:val="21"/>
                      <w:highlight w:val="none"/>
                      <w:u w:val="none"/>
                    </w:rPr>
                  </w:pPr>
                </w:p>
              </w:tc>
              <w:tc>
                <w:tcPr>
                  <w:tcW w:w="689" w:type="dxa"/>
                  <w:noWrap w:val="0"/>
                  <w:vAlign w:val="center"/>
                </w:tcPr>
                <w:p w14:paraId="168B3735">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72.59</w:t>
                  </w:r>
                </w:p>
              </w:tc>
              <w:tc>
                <w:tcPr>
                  <w:tcW w:w="689" w:type="dxa"/>
                  <w:noWrap w:val="0"/>
                  <w:vAlign w:val="center"/>
                </w:tcPr>
                <w:p w14:paraId="45C598D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19.36</w:t>
                  </w:r>
                </w:p>
              </w:tc>
              <w:tc>
                <w:tcPr>
                  <w:tcW w:w="222" w:type="pct"/>
                  <w:noWrap w:val="0"/>
                  <w:vAlign w:val="center"/>
                </w:tcPr>
                <w:p w14:paraId="7ABB688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3453C9B5">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46.60</w:t>
                  </w:r>
                </w:p>
              </w:tc>
              <w:tc>
                <w:tcPr>
                  <w:tcW w:w="689" w:type="dxa"/>
                  <w:noWrap w:val="0"/>
                  <w:vAlign w:val="center"/>
                </w:tcPr>
                <w:p w14:paraId="107372BB">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19.36</w:t>
                  </w:r>
                </w:p>
              </w:tc>
              <w:tc>
                <w:tcPr>
                  <w:tcW w:w="689" w:type="dxa"/>
                  <w:noWrap w:val="0"/>
                  <w:vAlign w:val="center"/>
                </w:tcPr>
                <w:p w14:paraId="42496417">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72.59</w:t>
                  </w:r>
                </w:p>
              </w:tc>
              <w:tc>
                <w:tcPr>
                  <w:tcW w:w="691" w:type="dxa"/>
                  <w:noWrap w:val="0"/>
                  <w:vAlign w:val="center"/>
                </w:tcPr>
                <w:p w14:paraId="1F3A1D49">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11.45</w:t>
                  </w:r>
                </w:p>
              </w:tc>
              <w:tc>
                <w:tcPr>
                  <w:tcW w:w="621" w:type="dxa"/>
                  <w:noWrap w:val="0"/>
                  <w:vAlign w:val="center"/>
                </w:tcPr>
                <w:p w14:paraId="368E5A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41.6</w:t>
                  </w:r>
                </w:p>
              </w:tc>
              <w:tc>
                <w:tcPr>
                  <w:tcW w:w="599" w:type="dxa"/>
                  <w:noWrap w:val="0"/>
                  <w:vAlign w:val="center"/>
                </w:tcPr>
                <w:p w14:paraId="7936DB6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49.3</w:t>
                  </w:r>
                </w:p>
              </w:tc>
              <w:tc>
                <w:tcPr>
                  <w:tcW w:w="599" w:type="dxa"/>
                  <w:noWrap w:val="0"/>
                  <w:vAlign w:val="center"/>
                </w:tcPr>
                <w:p w14:paraId="19850E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37.8</w:t>
                  </w:r>
                </w:p>
              </w:tc>
              <w:tc>
                <w:tcPr>
                  <w:tcW w:w="637" w:type="dxa"/>
                  <w:noWrap w:val="0"/>
                  <w:vAlign w:val="center"/>
                </w:tcPr>
                <w:p w14:paraId="505DDE3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53.8</w:t>
                  </w:r>
                </w:p>
              </w:tc>
              <w:tc>
                <w:tcPr>
                  <w:tcW w:w="235" w:type="pct"/>
                  <w:noWrap w:val="0"/>
                  <w:vAlign w:val="center"/>
                </w:tcPr>
                <w:p w14:paraId="0D244C18">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7DD608BD">
                  <w:pPr>
                    <w:tabs>
                      <w:tab w:val="left" w:pos="389"/>
                    </w:tabs>
                    <w:jc w:val="center"/>
                    <w:rPr>
                      <w:rFonts w:hint="eastAsia"/>
                      <w:color w:val="000000"/>
                      <w:sz w:val="21"/>
                      <w:szCs w:val="21"/>
                      <w:highlight w:val="none"/>
                      <w:u w:val="none"/>
                    </w:rPr>
                  </w:pPr>
                </w:p>
              </w:tc>
            </w:tr>
            <w:tr w14:paraId="51ECE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5CE51306">
                  <w:pPr>
                    <w:widowControl/>
                    <w:jc w:val="center"/>
                    <w:rPr>
                      <w:color w:val="000000"/>
                      <w:sz w:val="21"/>
                      <w:szCs w:val="21"/>
                      <w:highlight w:val="none"/>
                      <w:u w:val="none"/>
                    </w:rPr>
                  </w:pPr>
                </w:p>
              </w:tc>
              <w:tc>
                <w:tcPr>
                  <w:tcW w:w="244" w:type="pct"/>
                  <w:vMerge w:val="continue"/>
                  <w:noWrap w:val="0"/>
                  <w:vAlign w:val="center"/>
                </w:tcPr>
                <w:p w14:paraId="0CAAB165">
                  <w:pPr>
                    <w:jc w:val="center"/>
                    <w:rPr>
                      <w:rFonts w:hint="default" w:ascii="Times New Roman" w:hAnsi="Times New Roman" w:eastAsia="宋体" w:cs="Times New Roman"/>
                      <w:color w:val="auto"/>
                      <w:sz w:val="21"/>
                      <w:szCs w:val="21"/>
                      <w:highlight w:val="none"/>
                      <w:u w:val="none"/>
                      <w:lang w:val="en-US" w:eastAsia="zh-CN"/>
                    </w:rPr>
                  </w:pPr>
                </w:p>
              </w:tc>
              <w:tc>
                <w:tcPr>
                  <w:tcW w:w="1001" w:type="dxa"/>
                  <w:shd w:val="clear" w:color="auto" w:fill="auto"/>
                  <w:noWrap w:val="0"/>
                  <w:vAlign w:val="center"/>
                </w:tcPr>
                <w:p w14:paraId="587D80DE">
                  <w:pPr>
                    <w:keepNext w:val="0"/>
                    <w:keepLines w:val="0"/>
                    <w:pageBreakBefore w:val="0"/>
                    <w:kinsoku/>
                    <w:wordWrap/>
                    <w:overflowPunct/>
                    <w:topLinePunct w:val="0"/>
                    <w:autoSpaceDE/>
                    <w:autoSpaceDN/>
                    <w:bidi w:val="0"/>
                    <w:adjustRightInd/>
                    <w:snapToGrid/>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绞肉机</w:t>
                  </w:r>
                </w:p>
              </w:tc>
              <w:tc>
                <w:tcPr>
                  <w:tcW w:w="788" w:type="dxa"/>
                  <w:shd w:val="clear" w:color="auto" w:fill="auto"/>
                  <w:noWrap w:val="0"/>
                  <w:vAlign w:val="center"/>
                </w:tcPr>
                <w:p w14:paraId="4033DE21">
                  <w:pPr>
                    <w:jc w:val="center"/>
                    <w:rPr>
                      <w:rFonts w:hint="eastAsia"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429" w:type="dxa"/>
                  <w:shd w:val="clear" w:color="auto" w:fill="auto"/>
                  <w:noWrap w:val="0"/>
                  <w:vAlign w:val="center"/>
                </w:tcPr>
                <w:p w14:paraId="02D550C3">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1693924B">
                  <w:pPr>
                    <w:jc w:val="center"/>
                    <w:rPr>
                      <w:color w:val="000000"/>
                      <w:sz w:val="21"/>
                      <w:szCs w:val="21"/>
                      <w:highlight w:val="none"/>
                      <w:u w:val="none"/>
                    </w:rPr>
                  </w:pPr>
                </w:p>
              </w:tc>
              <w:tc>
                <w:tcPr>
                  <w:tcW w:w="689" w:type="dxa"/>
                  <w:noWrap w:val="0"/>
                  <w:vAlign w:val="center"/>
                </w:tcPr>
                <w:p w14:paraId="2C2A1EAA">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86.74</w:t>
                  </w:r>
                </w:p>
              </w:tc>
              <w:tc>
                <w:tcPr>
                  <w:tcW w:w="689" w:type="dxa"/>
                  <w:noWrap w:val="0"/>
                  <w:vAlign w:val="center"/>
                </w:tcPr>
                <w:p w14:paraId="2C1F41DC">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11.72</w:t>
                  </w:r>
                </w:p>
              </w:tc>
              <w:tc>
                <w:tcPr>
                  <w:tcW w:w="222" w:type="pct"/>
                  <w:noWrap w:val="0"/>
                  <w:vAlign w:val="center"/>
                </w:tcPr>
                <w:p w14:paraId="0FA3BD1B">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175</w:t>
                  </w:r>
                </w:p>
              </w:tc>
              <w:tc>
                <w:tcPr>
                  <w:tcW w:w="689" w:type="dxa"/>
                  <w:noWrap w:val="0"/>
                  <w:vAlign w:val="center"/>
                </w:tcPr>
                <w:p w14:paraId="43866845">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32.45</w:t>
                  </w:r>
                </w:p>
              </w:tc>
              <w:tc>
                <w:tcPr>
                  <w:tcW w:w="689" w:type="dxa"/>
                  <w:noWrap w:val="0"/>
                  <w:vAlign w:val="center"/>
                </w:tcPr>
                <w:p w14:paraId="6CE52A0E">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11.72</w:t>
                  </w:r>
                </w:p>
              </w:tc>
              <w:tc>
                <w:tcPr>
                  <w:tcW w:w="689" w:type="dxa"/>
                  <w:noWrap w:val="0"/>
                  <w:vAlign w:val="center"/>
                </w:tcPr>
                <w:p w14:paraId="65332EB8">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86.74</w:t>
                  </w:r>
                </w:p>
              </w:tc>
              <w:tc>
                <w:tcPr>
                  <w:tcW w:w="691" w:type="dxa"/>
                  <w:noWrap w:val="0"/>
                  <w:vAlign w:val="center"/>
                </w:tcPr>
                <w:p w14:paraId="71254DF5">
                  <w:pPr>
                    <w:keepNext w:val="0"/>
                    <w:keepLines w:val="0"/>
                    <w:widowControl/>
                    <w:suppressLineNumbers w:val="0"/>
                    <w:jc w:val="center"/>
                    <w:textAlignment w:val="center"/>
                    <w:rPr>
                      <w:rFonts w:hint="eastAsia"/>
                      <w:color w:val="000000"/>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19.09</w:t>
                  </w:r>
                </w:p>
              </w:tc>
              <w:tc>
                <w:tcPr>
                  <w:tcW w:w="621" w:type="dxa"/>
                  <w:noWrap w:val="0"/>
                  <w:vAlign w:val="center"/>
                </w:tcPr>
                <w:p w14:paraId="23AEF88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44.8</w:t>
                  </w:r>
                </w:p>
              </w:tc>
              <w:tc>
                <w:tcPr>
                  <w:tcW w:w="599" w:type="dxa"/>
                  <w:noWrap w:val="0"/>
                  <w:vAlign w:val="center"/>
                </w:tcPr>
                <w:p w14:paraId="7C8E3FA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53.6</w:t>
                  </w:r>
                </w:p>
              </w:tc>
              <w:tc>
                <w:tcPr>
                  <w:tcW w:w="599" w:type="dxa"/>
                  <w:noWrap w:val="0"/>
                  <w:vAlign w:val="center"/>
                </w:tcPr>
                <w:p w14:paraId="2F60238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36.2</w:t>
                  </w:r>
                </w:p>
              </w:tc>
              <w:tc>
                <w:tcPr>
                  <w:tcW w:w="637" w:type="dxa"/>
                  <w:noWrap w:val="0"/>
                  <w:vAlign w:val="center"/>
                </w:tcPr>
                <w:p w14:paraId="0656AC4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49.4</w:t>
                  </w:r>
                </w:p>
              </w:tc>
              <w:tc>
                <w:tcPr>
                  <w:tcW w:w="235" w:type="pct"/>
                  <w:noWrap w:val="0"/>
                  <w:vAlign w:val="center"/>
                </w:tcPr>
                <w:p w14:paraId="742C1808">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65977B4A">
                  <w:pPr>
                    <w:tabs>
                      <w:tab w:val="left" w:pos="389"/>
                    </w:tabs>
                    <w:jc w:val="center"/>
                    <w:rPr>
                      <w:rFonts w:hint="eastAsia"/>
                      <w:color w:val="000000"/>
                      <w:sz w:val="21"/>
                      <w:szCs w:val="21"/>
                      <w:highlight w:val="none"/>
                      <w:u w:val="none"/>
                    </w:rPr>
                  </w:pPr>
                </w:p>
              </w:tc>
            </w:tr>
            <w:tr w14:paraId="7B609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22B9E251">
                  <w:pPr>
                    <w:widowControl/>
                    <w:jc w:val="center"/>
                    <w:rPr>
                      <w:color w:val="000000"/>
                      <w:sz w:val="21"/>
                      <w:szCs w:val="21"/>
                      <w:highlight w:val="none"/>
                      <w:u w:val="none"/>
                    </w:rPr>
                  </w:pPr>
                </w:p>
              </w:tc>
              <w:tc>
                <w:tcPr>
                  <w:tcW w:w="244" w:type="pct"/>
                  <w:vMerge w:val="continue"/>
                  <w:noWrap w:val="0"/>
                  <w:vAlign w:val="center"/>
                </w:tcPr>
                <w:p w14:paraId="060D545B">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10E2F27D">
                  <w:pPr>
                    <w:keepNext w:val="0"/>
                    <w:keepLines w:val="0"/>
                    <w:pageBreakBefore w:val="0"/>
                    <w:kinsoku/>
                    <w:wordWrap/>
                    <w:overflowPunct/>
                    <w:topLinePunct w:val="0"/>
                    <w:autoSpaceDE/>
                    <w:autoSpaceDN/>
                    <w:bidi w:val="0"/>
                    <w:adjustRightInd/>
                    <w:snapToGrid/>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和面机</w:t>
                  </w:r>
                </w:p>
              </w:tc>
              <w:tc>
                <w:tcPr>
                  <w:tcW w:w="289" w:type="pct"/>
                  <w:shd w:val="clear" w:color="auto" w:fill="auto"/>
                  <w:noWrap w:val="0"/>
                  <w:vAlign w:val="center"/>
                </w:tcPr>
                <w:p w14:paraId="27F1C228">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5D8B8EB2">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2</w:t>
                  </w:r>
                </w:p>
              </w:tc>
              <w:tc>
                <w:tcPr>
                  <w:tcW w:w="350" w:type="pct"/>
                  <w:vMerge w:val="continue"/>
                  <w:noWrap w:val="0"/>
                  <w:vAlign w:val="center"/>
                </w:tcPr>
                <w:p w14:paraId="06BCD457">
                  <w:pPr>
                    <w:jc w:val="center"/>
                    <w:rPr>
                      <w:color w:val="000000"/>
                      <w:sz w:val="21"/>
                      <w:szCs w:val="21"/>
                      <w:highlight w:val="none"/>
                      <w:u w:val="none"/>
                    </w:rPr>
                  </w:pPr>
                </w:p>
              </w:tc>
              <w:tc>
                <w:tcPr>
                  <w:tcW w:w="689" w:type="dxa"/>
                  <w:noWrap w:val="0"/>
                  <w:vAlign w:val="center"/>
                </w:tcPr>
                <w:p w14:paraId="6B740E2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88.35</w:t>
                  </w:r>
                </w:p>
              </w:tc>
              <w:tc>
                <w:tcPr>
                  <w:tcW w:w="689" w:type="dxa"/>
                  <w:noWrap w:val="0"/>
                  <w:vAlign w:val="center"/>
                </w:tcPr>
                <w:p w14:paraId="05F0B4E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2.73</w:t>
                  </w:r>
                </w:p>
              </w:tc>
              <w:tc>
                <w:tcPr>
                  <w:tcW w:w="222" w:type="pct"/>
                  <w:noWrap w:val="0"/>
                  <w:vAlign w:val="center"/>
                </w:tcPr>
                <w:p w14:paraId="6415934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olor w:val="000000"/>
                      <w:sz w:val="21"/>
                      <w:szCs w:val="21"/>
                      <w:highlight w:val="none"/>
                      <w:u w:val="none"/>
                      <w:lang w:val="en-US" w:eastAsia="zh-CN"/>
                    </w:rPr>
                    <w:t>175</w:t>
                  </w:r>
                </w:p>
              </w:tc>
              <w:tc>
                <w:tcPr>
                  <w:tcW w:w="689" w:type="dxa"/>
                  <w:noWrap w:val="0"/>
                  <w:vAlign w:val="center"/>
                </w:tcPr>
                <w:p w14:paraId="5BA3F44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30.85</w:t>
                  </w:r>
                </w:p>
              </w:tc>
              <w:tc>
                <w:tcPr>
                  <w:tcW w:w="689" w:type="dxa"/>
                  <w:noWrap w:val="0"/>
                  <w:vAlign w:val="center"/>
                </w:tcPr>
                <w:p w14:paraId="4012AB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2.73</w:t>
                  </w:r>
                </w:p>
              </w:tc>
              <w:tc>
                <w:tcPr>
                  <w:tcW w:w="689" w:type="dxa"/>
                  <w:noWrap w:val="0"/>
                  <w:vAlign w:val="center"/>
                </w:tcPr>
                <w:p w14:paraId="7454E1E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88.35</w:t>
                  </w:r>
                </w:p>
              </w:tc>
              <w:tc>
                <w:tcPr>
                  <w:tcW w:w="691" w:type="dxa"/>
                  <w:noWrap w:val="0"/>
                  <w:vAlign w:val="center"/>
                </w:tcPr>
                <w:p w14:paraId="2172A89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28.08</w:t>
                  </w:r>
                </w:p>
              </w:tc>
              <w:tc>
                <w:tcPr>
                  <w:tcW w:w="621" w:type="dxa"/>
                  <w:noWrap w:val="0"/>
                  <w:vAlign w:val="center"/>
                </w:tcPr>
                <w:p w14:paraId="34D4700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45.2</w:t>
                  </w:r>
                </w:p>
              </w:tc>
              <w:tc>
                <w:tcPr>
                  <w:tcW w:w="599" w:type="dxa"/>
                  <w:noWrap w:val="0"/>
                  <w:vAlign w:val="center"/>
                </w:tcPr>
                <w:p w14:paraId="53C883B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66.3</w:t>
                  </w:r>
                </w:p>
              </w:tc>
              <w:tc>
                <w:tcPr>
                  <w:tcW w:w="599" w:type="dxa"/>
                  <w:noWrap w:val="0"/>
                  <w:vAlign w:val="center"/>
                </w:tcPr>
                <w:p w14:paraId="4B2FA4E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36.1</w:t>
                  </w:r>
                </w:p>
              </w:tc>
              <w:tc>
                <w:tcPr>
                  <w:tcW w:w="637" w:type="dxa"/>
                  <w:noWrap w:val="0"/>
                  <w:vAlign w:val="center"/>
                </w:tcPr>
                <w:p w14:paraId="56E1B0C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46.0</w:t>
                  </w:r>
                </w:p>
              </w:tc>
              <w:tc>
                <w:tcPr>
                  <w:tcW w:w="235" w:type="pct"/>
                  <w:noWrap w:val="0"/>
                  <w:vAlign w:val="center"/>
                </w:tcPr>
                <w:p w14:paraId="7BA6C5CC">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0F996961">
                  <w:pPr>
                    <w:tabs>
                      <w:tab w:val="left" w:pos="389"/>
                    </w:tabs>
                    <w:jc w:val="center"/>
                    <w:rPr>
                      <w:rFonts w:hint="eastAsia"/>
                      <w:color w:val="000000"/>
                      <w:sz w:val="21"/>
                      <w:szCs w:val="21"/>
                      <w:highlight w:val="none"/>
                      <w:u w:val="none"/>
                    </w:rPr>
                  </w:pPr>
                </w:p>
              </w:tc>
            </w:tr>
            <w:tr w14:paraId="45D87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00E28A2E">
                  <w:pPr>
                    <w:widowControl/>
                    <w:jc w:val="center"/>
                    <w:rPr>
                      <w:color w:val="000000"/>
                      <w:sz w:val="21"/>
                      <w:szCs w:val="21"/>
                      <w:highlight w:val="none"/>
                      <w:u w:val="none"/>
                    </w:rPr>
                  </w:pPr>
                </w:p>
              </w:tc>
              <w:tc>
                <w:tcPr>
                  <w:tcW w:w="244" w:type="pct"/>
                  <w:vMerge w:val="continue"/>
                  <w:noWrap w:val="0"/>
                  <w:vAlign w:val="center"/>
                </w:tcPr>
                <w:p w14:paraId="4C128B31">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1636F436">
                  <w:pPr>
                    <w:keepNext w:val="0"/>
                    <w:keepLines w:val="0"/>
                    <w:pageBreakBefore w:val="0"/>
                    <w:kinsoku/>
                    <w:wordWrap/>
                    <w:overflowPunct/>
                    <w:topLinePunct w:val="0"/>
                    <w:autoSpaceDE/>
                    <w:autoSpaceDN/>
                    <w:bidi w:val="0"/>
                    <w:adjustRightInd/>
                    <w:snapToGrid/>
                    <w:jc w:val="center"/>
                    <w:textAlignment w:val="auto"/>
                    <w:rPr>
                      <w:rFonts w:hint="default" w:eastAsia="宋体"/>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电炒锅</w:t>
                  </w:r>
                </w:p>
              </w:tc>
              <w:tc>
                <w:tcPr>
                  <w:tcW w:w="289" w:type="pct"/>
                  <w:shd w:val="clear" w:color="auto" w:fill="auto"/>
                  <w:noWrap w:val="0"/>
                  <w:vAlign w:val="center"/>
                </w:tcPr>
                <w:p w14:paraId="5A6CFED0">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2EDAEB3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10</w:t>
                  </w:r>
                </w:p>
              </w:tc>
              <w:tc>
                <w:tcPr>
                  <w:tcW w:w="350" w:type="pct"/>
                  <w:vMerge w:val="continue"/>
                  <w:noWrap w:val="0"/>
                  <w:vAlign w:val="center"/>
                </w:tcPr>
                <w:p w14:paraId="07BD0360">
                  <w:pPr>
                    <w:jc w:val="center"/>
                    <w:rPr>
                      <w:color w:val="000000"/>
                      <w:sz w:val="21"/>
                      <w:szCs w:val="21"/>
                      <w:highlight w:val="none"/>
                      <w:u w:val="none"/>
                    </w:rPr>
                  </w:pPr>
                </w:p>
              </w:tc>
              <w:tc>
                <w:tcPr>
                  <w:tcW w:w="689" w:type="dxa"/>
                  <w:noWrap w:val="0"/>
                  <w:vAlign w:val="center"/>
                </w:tcPr>
                <w:p w14:paraId="24EDBA6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59.22</w:t>
                  </w:r>
                </w:p>
              </w:tc>
              <w:tc>
                <w:tcPr>
                  <w:tcW w:w="689" w:type="dxa"/>
                  <w:noWrap w:val="0"/>
                  <w:vAlign w:val="center"/>
                </w:tcPr>
                <w:p w14:paraId="62A9883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15.21</w:t>
                  </w:r>
                </w:p>
              </w:tc>
              <w:tc>
                <w:tcPr>
                  <w:tcW w:w="222" w:type="pct"/>
                  <w:noWrap w:val="0"/>
                  <w:vAlign w:val="center"/>
                </w:tcPr>
                <w:p w14:paraId="3DB1687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olor w:val="000000"/>
                      <w:sz w:val="21"/>
                      <w:szCs w:val="21"/>
                      <w:highlight w:val="none"/>
                      <w:u w:val="none"/>
                      <w:lang w:val="en-US" w:eastAsia="zh-CN"/>
                    </w:rPr>
                    <w:t>175</w:t>
                  </w:r>
                </w:p>
              </w:tc>
              <w:tc>
                <w:tcPr>
                  <w:tcW w:w="689" w:type="dxa"/>
                  <w:noWrap w:val="0"/>
                  <w:vAlign w:val="center"/>
                </w:tcPr>
                <w:p w14:paraId="6B28561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59.98</w:t>
                  </w:r>
                </w:p>
              </w:tc>
              <w:tc>
                <w:tcPr>
                  <w:tcW w:w="689" w:type="dxa"/>
                  <w:noWrap w:val="0"/>
                  <w:vAlign w:val="center"/>
                </w:tcPr>
                <w:p w14:paraId="74C8DC8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15.21</w:t>
                  </w:r>
                </w:p>
              </w:tc>
              <w:tc>
                <w:tcPr>
                  <w:tcW w:w="689" w:type="dxa"/>
                  <w:noWrap w:val="0"/>
                  <w:vAlign w:val="center"/>
                </w:tcPr>
                <w:p w14:paraId="7EEE24C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59.22</w:t>
                  </w:r>
                </w:p>
              </w:tc>
              <w:tc>
                <w:tcPr>
                  <w:tcW w:w="691" w:type="dxa"/>
                  <w:noWrap w:val="0"/>
                  <w:vAlign w:val="center"/>
                </w:tcPr>
                <w:p w14:paraId="6C85F40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15.60</w:t>
                  </w:r>
                </w:p>
              </w:tc>
              <w:tc>
                <w:tcPr>
                  <w:tcW w:w="621" w:type="dxa"/>
                  <w:noWrap w:val="0"/>
                  <w:vAlign w:val="center"/>
                </w:tcPr>
                <w:p w14:paraId="386193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39.4</w:t>
                  </w:r>
                </w:p>
              </w:tc>
              <w:tc>
                <w:tcPr>
                  <w:tcW w:w="599" w:type="dxa"/>
                  <w:noWrap w:val="0"/>
                  <w:vAlign w:val="center"/>
                </w:tcPr>
                <w:p w14:paraId="07B43E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51.4</w:t>
                  </w:r>
                </w:p>
              </w:tc>
              <w:tc>
                <w:tcPr>
                  <w:tcW w:w="599" w:type="dxa"/>
                  <w:noWrap w:val="0"/>
                  <w:vAlign w:val="center"/>
                </w:tcPr>
                <w:p w14:paraId="227112E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39.6</w:t>
                  </w:r>
                </w:p>
              </w:tc>
              <w:tc>
                <w:tcPr>
                  <w:tcW w:w="637" w:type="dxa"/>
                  <w:noWrap w:val="0"/>
                  <w:vAlign w:val="center"/>
                </w:tcPr>
                <w:p w14:paraId="110442A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51.1</w:t>
                  </w:r>
                </w:p>
              </w:tc>
              <w:tc>
                <w:tcPr>
                  <w:tcW w:w="235" w:type="pct"/>
                  <w:noWrap w:val="0"/>
                  <w:vAlign w:val="center"/>
                </w:tcPr>
                <w:p w14:paraId="0919B43F">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069A0F67">
                  <w:pPr>
                    <w:tabs>
                      <w:tab w:val="left" w:pos="389"/>
                    </w:tabs>
                    <w:jc w:val="center"/>
                    <w:rPr>
                      <w:rFonts w:hint="eastAsia"/>
                      <w:color w:val="000000"/>
                      <w:sz w:val="21"/>
                      <w:szCs w:val="21"/>
                      <w:highlight w:val="none"/>
                      <w:u w:val="none"/>
                    </w:rPr>
                  </w:pPr>
                </w:p>
              </w:tc>
            </w:tr>
            <w:tr w14:paraId="123FD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6BD45768">
                  <w:pPr>
                    <w:widowControl/>
                    <w:jc w:val="center"/>
                    <w:rPr>
                      <w:color w:val="000000"/>
                      <w:sz w:val="21"/>
                      <w:szCs w:val="21"/>
                      <w:highlight w:val="none"/>
                      <w:u w:val="none"/>
                    </w:rPr>
                  </w:pPr>
                </w:p>
              </w:tc>
              <w:tc>
                <w:tcPr>
                  <w:tcW w:w="244" w:type="pct"/>
                  <w:vMerge w:val="continue"/>
                  <w:noWrap w:val="0"/>
                  <w:vAlign w:val="center"/>
                </w:tcPr>
                <w:p w14:paraId="326B78C5">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6DBAEEEB">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燃气炒锅</w:t>
                  </w:r>
                </w:p>
              </w:tc>
              <w:tc>
                <w:tcPr>
                  <w:tcW w:w="289" w:type="pct"/>
                  <w:shd w:val="clear" w:color="auto" w:fill="auto"/>
                  <w:noWrap w:val="0"/>
                  <w:vAlign w:val="center"/>
                </w:tcPr>
                <w:p w14:paraId="4967D4DB">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75</w:t>
                  </w:r>
                </w:p>
              </w:tc>
              <w:tc>
                <w:tcPr>
                  <w:tcW w:w="158" w:type="pct"/>
                  <w:shd w:val="clear" w:color="auto" w:fill="auto"/>
                  <w:noWrap w:val="0"/>
                  <w:vAlign w:val="center"/>
                </w:tcPr>
                <w:p w14:paraId="5BCF1375">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7</w:t>
                  </w:r>
                </w:p>
              </w:tc>
              <w:tc>
                <w:tcPr>
                  <w:tcW w:w="350" w:type="pct"/>
                  <w:vMerge w:val="continue"/>
                  <w:noWrap w:val="0"/>
                  <w:vAlign w:val="center"/>
                </w:tcPr>
                <w:p w14:paraId="4678A375">
                  <w:pPr>
                    <w:jc w:val="center"/>
                    <w:rPr>
                      <w:color w:val="000000"/>
                      <w:sz w:val="21"/>
                      <w:szCs w:val="21"/>
                      <w:highlight w:val="none"/>
                      <w:u w:val="none"/>
                    </w:rPr>
                  </w:pPr>
                </w:p>
              </w:tc>
              <w:tc>
                <w:tcPr>
                  <w:tcW w:w="689" w:type="dxa"/>
                  <w:noWrap w:val="0"/>
                  <w:vAlign w:val="center"/>
                </w:tcPr>
                <w:p w14:paraId="524B20A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56.22</w:t>
                  </w:r>
                </w:p>
              </w:tc>
              <w:tc>
                <w:tcPr>
                  <w:tcW w:w="689" w:type="dxa"/>
                  <w:noWrap w:val="0"/>
                  <w:vAlign w:val="center"/>
                </w:tcPr>
                <w:p w14:paraId="303B46A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13.84</w:t>
                  </w:r>
                </w:p>
              </w:tc>
              <w:tc>
                <w:tcPr>
                  <w:tcW w:w="222" w:type="pct"/>
                  <w:noWrap w:val="0"/>
                  <w:vAlign w:val="center"/>
                </w:tcPr>
                <w:p w14:paraId="641742E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olor w:val="000000"/>
                      <w:sz w:val="21"/>
                      <w:szCs w:val="21"/>
                      <w:highlight w:val="none"/>
                      <w:u w:val="none"/>
                      <w:lang w:val="en-US" w:eastAsia="zh-CN"/>
                    </w:rPr>
                    <w:t>175</w:t>
                  </w:r>
                </w:p>
              </w:tc>
              <w:tc>
                <w:tcPr>
                  <w:tcW w:w="689" w:type="dxa"/>
                  <w:noWrap w:val="0"/>
                  <w:vAlign w:val="center"/>
                </w:tcPr>
                <w:p w14:paraId="57FE26F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62.97</w:t>
                  </w:r>
                </w:p>
              </w:tc>
              <w:tc>
                <w:tcPr>
                  <w:tcW w:w="689" w:type="dxa"/>
                  <w:noWrap w:val="0"/>
                  <w:vAlign w:val="center"/>
                </w:tcPr>
                <w:p w14:paraId="131DC99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13.84</w:t>
                  </w:r>
                </w:p>
              </w:tc>
              <w:tc>
                <w:tcPr>
                  <w:tcW w:w="689" w:type="dxa"/>
                  <w:noWrap w:val="0"/>
                  <w:vAlign w:val="center"/>
                </w:tcPr>
                <w:p w14:paraId="5FF5798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56.22</w:t>
                  </w:r>
                </w:p>
              </w:tc>
              <w:tc>
                <w:tcPr>
                  <w:tcW w:w="691" w:type="dxa"/>
                  <w:noWrap w:val="0"/>
                  <w:vAlign w:val="center"/>
                </w:tcPr>
                <w:p w14:paraId="4F714C8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16.97</w:t>
                  </w:r>
                </w:p>
              </w:tc>
              <w:tc>
                <w:tcPr>
                  <w:tcW w:w="621" w:type="dxa"/>
                  <w:noWrap w:val="0"/>
                  <w:vAlign w:val="center"/>
                </w:tcPr>
                <w:p w14:paraId="120D30A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39.0</w:t>
                  </w:r>
                </w:p>
              </w:tc>
              <w:tc>
                <w:tcPr>
                  <w:tcW w:w="599" w:type="dxa"/>
                  <w:noWrap w:val="0"/>
                  <w:vAlign w:val="center"/>
                </w:tcPr>
                <w:p w14:paraId="3D2F6D7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52.2</w:t>
                  </w:r>
                </w:p>
              </w:tc>
              <w:tc>
                <w:tcPr>
                  <w:tcW w:w="599" w:type="dxa"/>
                  <w:noWrap w:val="0"/>
                  <w:vAlign w:val="center"/>
                </w:tcPr>
                <w:p w14:paraId="5A3B256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40.0</w:t>
                  </w:r>
                </w:p>
              </w:tc>
              <w:tc>
                <w:tcPr>
                  <w:tcW w:w="637" w:type="dxa"/>
                  <w:noWrap w:val="0"/>
                  <w:vAlign w:val="center"/>
                </w:tcPr>
                <w:p w14:paraId="0D8AFBC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50.4</w:t>
                  </w:r>
                </w:p>
              </w:tc>
              <w:tc>
                <w:tcPr>
                  <w:tcW w:w="235" w:type="pct"/>
                  <w:noWrap w:val="0"/>
                  <w:vAlign w:val="center"/>
                </w:tcPr>
                <w:p w14:paraId="7676950D">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4ABEB2DD">
                  <w:pPr>
                    <w:tabs>
                      <w:tab w:val="left" w:pos="389"/>
                    </w:tabs>
                    <w:jc w:val="center"/>
                    <w:rPr>
                      <w:rFonts w:hint="eastAsia"/>
                      <w:color w:val="000000"/>
                      <w:sz w:val="21"/>
                      <w:szCs w:val="21"/>
                      <w:highlight w:val="none"/>
                      <w:u w:val="none"/>
                    </w:rPr>
                  </w:pPr>
                </w:p>
              </w:tc>
            </w:tr>
            <w:tr w14:paraId="02DD2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0EBF8377">
                  <w:pPr>
                    <w:widowControl/>
                    <w:jc w:val="center"/>
                    <w:rPr>
                      <w:color w:val="000000"/>
                      <w:sz w:val="21"/>
                      <w:szCs w:val="21"/>
                      <w:highlight w:val="none"/>
                      <w:u w:val="none"/>
                    </w:rPr>
                  </w:pPr>
                </w:p>
              </w:tc>
              <w:tc>
                <w:tcPr>
                  <w:tcW w:w="244" w:type="pct"/>
                  <w:vMerge w:val="continue"/>
                  <w:noWrap w:val="0"/>
                  <w:vAlign w:val="center"/>
                </w:tcPr>
                <w:p w14:paraId="32B9F400">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53A3C70E">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蒸汽洗箱机</w:t>
                  </w:r>
                </w:p>
              </w:tc>
              <w:tc>
                <w:tcPr>
                  <w:tcW w:w="289" w:type="pct"/>
                  <w:shd w:val="clear" w:color="auto" w:fill="auto"/>
                  <w:noWrap w:val="0"/>
                  <w:vAlign w:val="center"/>
                </w:tcPr>
                <w:p w14:paraId="26162114">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80</w:t>
                  </w:r>
                </w:p>
              </w:tc>
              <w:tc>
                <w:tcPr>
                  <w:tcW w:w="158" w:type="pct"/>
                  <w:shd w:val="clear" w:color="auto" w:fill="auto"/>
                  <w:noWrap w:val="0"/>
                  <w:vAlign w:val="center"/>
                </w:tcPr>
                <w:p w14:paraId="0029C7F5">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099C4CC9">
                  <w:pPr>
                    <w:jc w:val="center"/>
                    <w:rPr>
                      <w:color w:val="000000"/>
                      <w:sz w:val="21"/>
                      <w:szCs w:val="21"/>
                      <w:highlight w:val="none"/>
                      <w:u w:val="none"/>
                    </w:rPr>
                  </w:pPr>
                </w:p>
              </w:tc>
              <w:tc>
                <w:tcPr>
                  <w:tcW w:w="689" w:type="dxa"/>
                  <w:noWrap w:val="0"/>
                  <w:vAlign w:val="center"/>
                </w:tcPr>
                <w:p w14:paraId="338BF8F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27.85</w:t>
                  </w:r>
                </w:p>
              </w:tc>
              <w:tc>
                <w:tcPr>
                  <w:tcW w:w="689" w:type="dxa"/>
                  <w:noWrap w:val="0"/>
                  <w:vAlign w:val="center"/>
                </w:tcPr>
                <w:p w14:paraId="21122AB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18.86</w:t>
                  </w:r>
                </w:p>
              </w:tc>
              <w:tc>
                <w:tcPr>
                  <w:tcW w:w="222" w:type="pct"/>
                  <w:noWrap w:val="0"/>
                  <w:vAlign w:val="center"/>
                </w:tcPr>
                <w:p w14:paraId="0E273DB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olor w:val="000000"/>
                      <w:sz w:val="21"/>
                      <w:szCs w:val="21"/>
                      <w:highlight w:val="none"/>
                      <w:u w:val="none"/>
                      <w:lang w:val="en-US" w:eastAsia="zh-CN"/>
                    </w:rPr>
                    <w:t>175</w:t>
                  </w:r>
                </w:p>
              </w:tc>
              <w:tc>
                <w:tcPr>
                  <w:tcW w:w="689" w:type="dxa"/>
                  <w:noWrap w:val="0"/>
                  <w:vAlign w:val="center"/>
                </w:tcPr>
                <w:p w14:paraId="6E73B64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91.35</w:t>
                  </w:r>
                </w:p>
              </w:tc>
              <w:tc>
                <w:tcPr>
                  <w:tcW w:w="689" w:type="dxa"/>
                  <w:noWrap w:val="0"/>
                  <w:vAlign w:val="center"/>
                </w:tcPr>
                <w:p w14:paraId="11A9CC0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18.86</w:t>
                  </w:r>
                </w:p>
              </w:tc>
              <w:tc>
                <w:tcPr>
                  <w:tcW w:w="689" w:type="dxa"/>
                  <w:noWrap w:val="0"/>
                  <w:vAlign w:val="center"/>
                </w:tcPr>
                <w:p w14:paraId="055FFC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27.85</w:t>
                  </w:r>
                </w:p>
              </w:tc>
              <w:tc>
                <w:tcPr>
                  <w:tcW w:w="691" w:type="dxa"/>
                  <w:noWrap w:val="0"/>
                  <w:vAlign w:val="center"/>
                </w:tcPr>
                <w:p w14:paraId="4172247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11.95</w:t>
                  </w:r>
                </w:p>
              </w:tc>
              <w:tc>
                <w:tcPr>
                  <w:tcW w:w="621" w:type="dxa"/>
                  <w:noWrap w:val="0"/>
                  <w:vAlign w:val="center"/>
                </w:tcPr>
                <w:p w14:paraId="68F0C10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40.8</w:t>
                  </w:r>
                </w:p>
              </w:tc>
              <w:tc>
                <w:tcPr>
                  <w:tcW w:w="599" w:type="dxa"/>
                  <w:noWrap w:val="0"/>
                  <w:vAlign w:val="center"/>
                </w:tcPr>
                <w:p w14:paraId="70B5603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54.5</w:t>
                  </w:r>
                </w:p>
              </w:tc>
              <w:tc>
                <w:tcPr>
                  <w:tcW w:w="599" w:type="dxa"/>
                  <w:noWrap w:val="0"/>
                  <w:vAlign w:val="center"/>
                </w:tcPr>
                <w:p w14:paraId="7823CBA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51.1</w:t>
                  </w:r>
                </w:p>
              </w:tc>
              <w:tc>
                <w:tcPr>
                  <w:tcW w:w="637" w:type="dxa"/>
                  <w:noWrap w:val="0"/>
                  <w:vAlign w:val="center"/>
                </w:tcPr>
                <w:p w14:paraId="6618F89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58.5</w:t>
                  </w:r>
                </w:p>
              </w:tc>
              <w:tc>
                <w:tcPr>
                  <w:tcW w:w="235" w:type="pct"/>
                  <w:noWrap w:val="0"/>
                  <w:vAlign w:val="center"/>
                </w:tcPr>
                <w:p w14:paraId="1913A371">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55400BD7">
                  <w:pPr>
                    <w:tabs>
                      <w:tab w:val="left" w:pos="389"/>
                    </w:tabs>
                    <w:jc w:val="center"/>
                    <w:rPr>
                      <w:rFonts w:hint="eastAsia"/>
                      <w:color w:val="000000"/>
                      <w:sz w:val="21"/>
                      <w:szCs w:val="21"/>
                      <w:highlight w:val="none"/>
                      <w:u w:val="none"/>
                    </w:rPr>
                  </w:pPr>
                </w:p>
              </w:tc>
            </w:tr>
            <w:tr w14:paraId="3A771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noWrap w:val="0"/>
                  <w:vAlign w:val="center"/>
                </w:tcPr>
                <w:p w14:paraId="493868EF">
                  <w:pPr>
                    <w:widowControl/>
                    <w:jc w:val="center"/>
                    <w:rPr>
                      <w:color w:val="000000"/>
                      <w:sz w:val="21"/>
                      <w:szCs w:val="21"/>
                      <w:highlight w:val="none"/>
                      <w:u w:val="none"/>
                    </w:rPr>
                  </w:pPr>
                </w:p>
              </w:tc>
              <w:tc>
                <w:tcPr>
                  <w:tcW w:w="244" w:type="pct"/>
                  <w:vMerge w:val="continue"/>
                  <w:noWrap w:val="0"/>
                  <w:vAlign w:val="center"/>
                </w:tcPr>
                <w:p w14:paraId="51A7019B">
                  <w:pPr>
                    <w:jc w:val="center"/>
                    <w:rPr>
                      <w:rFonts w:hint="default" w:ascii="Times New Roman" w:hAnsi="Times New Roman" w:eastAsia="宋体" w:cs="Times New Roman"/>
                      <w:color w:val="auto"/>
                      <w:sz w:val="21"/>
                      <w:szCs w:val="21"/>
                      <w:highlight w:val="none"/>
                      <w:u w:val="none"/>
                      <w:lang w:val="en-US" w:eastAsia="zh-CN"/>
                    </w:rPr>
                  </w:pPr>
                </w:p>
              </w:tc>
              <w:tc>
                <w:tcPr>
                  <w:tcW w:w="368" w:type="pct"/>
                  <w:shd w:val="clear" w:color="auto" w:fill="auto"/>
                  <w:noWrap w:val="0"/>
                  <w:vAlign w:val="center"/>
                </w:tcPr>
                <w:p w14:paraId="3429DB68">
                  <w:pPr>
                    <w:keepNext w:val="0"/>
                    <w:keepLines w:val="0"/>
                    <w:pageBreakBefore w:val="0"/>
                    <w:kinsoku/>
                    <w:wordWrap/>
                    <w:overflowPunct/>
                    <w:topLinePunct w:val="0"/>
                    <w:autoSpaceDE/>
                    <w:autoSpaceDN/>
                    <w:bidi w:val="0"/>
                    <w:adjustRightInd/>
                    <w:snapToGrid/>
                    <w:jc w:val="center"/>
                    <w:textAlignment w:val="auto"/>
                    <w:rPr>
                      <w:rFonts w:hint="eastAsia"/>
                      <w:color w:val="000000" w:themeColor="text1"/>
                      <w:sz w:val="21"/>
                      <w:szCs w:val="21"/>
                      <w:highlight w:val="none"/>
                      <w:vertAlign w:val="baseline"/>
                      <w:lang w:val="en-US" w:eastAsia="zh-CN"/>
                      <w14:textFill>
                        <w14:solidFill>
                          <w14:schemeClr w14:val="tx1"/>
                        </w14:solidFill>
                      </w14:textFill>
                    </w:rPr>
                  </w:pPr>
                  <w:r>
                    <w:rPr>
                      <w:rFonts w:hint="default" w:eastAsia="宋体"/>
                      <w:color w:val="000000" w:themeColor="text1"/>
                      <w:sz w:val="21"/>
                      <w:szCs w:val="21"/>
                      <w:highlight w:val="none"/>
                      <w:vertAlign w:val="baseline"/>
                      <w:lang w:val="en-US" w:eastAsia="zh-CN"/>
                      <w14:textFill>
                        <w14:solidFill>
                          <w14:schemeClr w14:val="tx1"/>
                        </w14:solidFill>
                      </w14:textFill>
                    </w:rPr>
                    <w:t>蒸汽自动提升洗碗机</w:t>
                  </w:r>
                </w:p>
              </w:tc>
              <w:tc>
                <w:tcPr>
                  <w:tcW w:w="289" w:type="pct"/>
                  <w:shd w:val="clear" w:color="auto" w:fill="auto"/>
                  <w:noWrap w:val="0"/>
                  <w:vAlign w:val="center"/>
                </w:tcPr>
                <w:p w14:paraId="7B97BD25">
                  <w:pPr>
                    <w:jc w:val="center"/>
                    <w:rPr>
                      <w:rFonts w:hint="default" w:cs="Times New Roman"/>
                      <w:color w:val="000000"/>
                      <w:kern w:val="2"/>
                      <w:sz w:val="21"/>
                      <w:szCs w:val="21"/>
                      <w:highlight w:val="none"/>
                      <w:u w:val="none"/>
                      <w:lang w:val="en-US" w:eastAsia="zh-CN" w:bidi="ar-SA"/>
                    </w:rPr>
                  </w:pPr>
                  <w:r>
                    <w:rPr>
                      <w:rFonts w:hint="eastAsia" w:cs="Times New Roman"/>
                      <w:color w:val="000000"/>
                      <w:kern w:val="2"/>
                      <w:sz w:val="21"/>
                      <w:szCs w:val="21"/>
                      <w:highlight w:val="none"/>
                      <w:u w:val="none"/>
                      <w:lang w:val="en-US" w:eastAsia="zh-CN" w:bidi="ar-SA"/>
                    </w:rPr>
                    <w:t>80</w:t>
                  </w:r>
                </w:p>
              </w:tc>
              <w:tc>
                <w:tcPr>
                  <w:tcW w:w="158" w:type="pct"/>
                  <w:shd w:val="clear" w:color="auto" w:fill="auto"/>
                  <w:noWrap w:val="0"/>
                  <w:vAlign w:val="center"/>
                </w:tcPr>
                <w:p w14:paraId="41F210E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1</w:t>
                  </w:r>
                </w:p>
              </w:tc>
              <w:tc>
                <w:tcPr>
                  <w:tcW w:w="350" w:type="pct"/>
                  <w:vMerge w:val="continue"/>
                  <w:noWrap w:val="0"/>
                  <w:vAlign w:val="center"/>
                </w:tcPr>
                <w:p w14:paraId="7F5E1739">
                  <w:pPr>
                    <w:jc w:val="center"/>
                    <w:rPr>
                      <w:color w:val="000000"/>
                      <w:sz w:val="21"/>
                      <w:szCs w:val="21"/>
                      <w:highlight w:val="none"/>
                      <w:u w:val="none"/>
                    </w:rPr>
                  </w:pPr>
                </w:p>
              </w:tc>
              <w:tc>
                <w:tcPr>
                  <w:tcW w:w="689" w:type="dxa"/>
                  <w:noWrap w:val="0"/>
                  <w:vAlign w:val="center"/>
                </w:tcPr>
                <w:p w14:paraId="3D60BF1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22.72</w:t>
                  </w:r>
                </w:p>
              </w:tc>
              <w:tc>
                <w:tcPr>
                  <w:tcW w:w="689" w:type="dxa"/>
                  <w:noWrap w:val="0"/>
                  <w:vAlign w:val="center"/>
                </w:tcPr>
                <w:p w14:paraId="2630FEB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12.54</w:t>
                  </w:r>
                </w:p>
              </w:tc>
              <w:tc>
                <w:tcPr>
                  <w:tcW w:w="222" w:type="pct"/>
                  <w:noWrap w:val="0"/>
                  <w:vAlign w:val="center"/>
                </w:tcPr>
                <w:p w14:paraId="0186AFB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olor w:val="000000"/>
                      <w:sz w:val="21"/>
                      <w:szCs w:val="21"/>
                      <w:highlight w:val="none"/>
                      <w:u w:val="none"/>
                      <w:lang w:val="en-US" w:eastAsia="zh-CN"/>
                    </w:rPr>
                    <w:t>175</w:t>
                  </w:r>
                </w:p>
              </w:tc>
              <w:tc>
                <w:tcPr>
                  <w:tcW w:w="689" w:type="dxa"/>
                  <w:noWrap w:val="0"/>
                  <w:vAlign w:val="center"/>
                </w:tcPr>
                <w:p w14:paraId="33AF210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96.47</w:t>
                  </w:r>
                </w:p>
              </w:tc>
              <w:tc>
                <w:tcPr>
                  <w:tcW w:w="689" w:type="dxa"/>
                  <w:noWrap w:val="0"/>
                  <w:vAlign w:val="center"/>
                </w:tcPr>
                <w:p w14:paraId="50AB0A5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12.54</w:t>
                  </w:r>
                </w:p>
              </w:tc>
              <w:tc>
                <w:tcPr>
                  <w:tcW w:w="689" w:type="dxa"/>
                  <w:noWrap w:val="0"/>
                  <w:vAlign w:val="center"/>
                </w:tcPr>
                <w:p w14:paraId="71C9E4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22.72</w:t>
                  </w:r>
                </w:p>
              </w:tc>
              <w:tc>
                <w:tcPr>
                  <w:tcW w:w="691" w:type="dxa"/>
                  <w:noWrap w:val="0"/>
                  <w:vAlign w:val="center"/>
                </w:tcPr>
                <w:p w14:paraId="4182C9E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18.27</w:t>
                  </w:r>
                </w:p>
              </w:tc>
              <w:tc>
                <w:tcPr>
                  <w:tcW w:w="621" w:type="dxa"/>
                  <w:noWrap w:val="0"/>
                  <w:vAlign w:val="center"/>
                </w:tcPr>
                <w:p w14:paraId="2F8F502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40.3</w:t>
                  </w:r>
                </w:p>
              </w:tc>
              <w:tc>
                <w:tcPr>
                  <w:tcW w:w="599" w:type="dxa"/>
                  <w:noWrap w:val="0"/>
                  <w:vAlign w:val="center"/>
                </w:tcPr>
                <w:p w14:paraId="2DDBDCE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58.0</w:t>
                  </w:r>
                </w:p>
              </w:tc>
              <w:tc>
                <w:tcPr>
                  <w:tcW w:w="599" w:type="dxa"/>
                  <w:noWrap w:val="0"/>
                  <w:vAlign w:val="center"/>
                </w:tcPr>
                <w:p w14:paraId="1A3E449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52.9</w:t>
                  </w:r>
                </w:p>
              </w:tc>
              <w:tc>
                <w:tcPr>
                  <w:tcW w:w="637" w:type="dxa"/>
                  <w:noWrap w:val="0"/>
                  <w:vAlign w:val="center"/>
                </w:tcPr>
                <w:p w14:paraId="4CACEA1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54.8</w:t>
                  </w:r>
                </w:p>
              </w:tc>
              <w:tc>
                <w:tcPr>
                  <w:tcW w:w="235" w:type="pct"/>
                  <w:noWrap w:val="0"/>
                  <w:vAlign w:val="center"/>
                </w:tcPr>
                <w:p w14:paraId="1D395841">
                  <w:pPr>
                    <w:widowControl/>
                    <w:jc w:val="center"/>
                    <w:rPr>
                      <w:rFonts w:hint="eastAsia"/>
                      <w:color w:val="000000"/>
                      <w:sz w:val="21"/>
                      <w:szCs w:val="21"/>
                      <w:highlight w:val="none"/>
                      <w:u w:val="none"/>
                      <w:lang w:val="en-US" w:eastAsia="zh-CN"/>
                    </w:rPr>
                  </w:pPr>
                  <w:r>
                    <w:rPr>
                      <w:rFonts w:hint="eastAsia"/>
                      <w:color w:val="000000"/>
                      <w:sz w:val="21"/>
                      <w:szCs w:val="21"/>
                      <w:highlight w:val="none"/>
                      <w:u w:val="none"/>
                      <w:lang w:val="en-US" w:eastAsia="zh-CN"/>
                    </w:rPr>
                    <w:t>8</w:t>
                  </w:r>
                </w:p>
              </w:tc>
              <w:tc>
                <w:tcPr>
                  <w:tcW w:w="550" w:type="pct"/>
                  <w:vMerge w:val="continue"/>
                  <w:noWrap w:val="0"/>
                  <w:vAlign w:val="center"/>
                </w:tcPr>
                <w:p w14:paraId="0B8D5192">
                  <w:pPr>
                    <w:tabs>
                      <w:tab w:val="left" w:pos="389"/>
                    </w:tabs>
                    <w:jc w:val="center"/>
                    <w:rPr>
                      <w:rFonts w:hint="eastAsia"/>
                      <w:color w:val="000000"/>
                      <w:sz w:val="21"/>
                      <w:szCs w:val="21"/>
                      <w:highlight w:val="none"/>
                      <w:u w:val="none"/>
                    </w:rPr>
                  </w:pPr>
                </w:p>
              </w:tc>
            </w:tr>
            <w:tr w14:paraId="4C803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19"/>
                  <w:noWrap w:val="0"/>
                  <w:vAlign w:val="center"/>
                </w:tcPr>
                <w:p w14:paraId="7480B3FE">
                  <w:pPr>
                    <w:rPr>
                      <w:color w:val="000000"/>
                      <w:sz w:val="21"/>
                      <w:szCs w:val="21"/>
                      <w:highlight w:val="none"/>
                      <w:u w:val="none"/>
                    </w:rPr>
                  </w:pPr>
                  <w:r>
                    <w:rPr>
                      <w:color w:val="000000"/>
                      <w:sz w:val="21"/>
                      <w:szCs w:val="21"/>
                      <w:highlight w:val="none"/>
                      <w:u w:val="none"/>
                    </w:rPr>
                    <w:t>注：</w:t>
                  </w:r>
                  <w:r>
                    <w:rPr>
                      <w:rFonts w:hint="eastAsia"/>
                      <w:color w:val="000000"/>
                      <w:sz w:val="21"/>
                      <w:szCs w:val="21"/>
                      <w:highlight w:val="none"/>
                      <w:u w:val="none"/>
                    </w:rPr>
                    <w:t>以</w:t>
                  </w:r>
                  <w:r>
                    <w:rPr>
                      <w:rFonts w:hint="default" w:ascii="Times New Roman" w:hAnsi="Times New Roman" w:eastAsia="宋体" w:cs="Times New Roman"/>
                      <w:color w:val="auto"/>
                      <w:sz w:val="21"/>
                      <w:szCs w:val="21"/>
                      <w:highlight w:val="none"/>
                      <w:u w:val="none"/>
                      <w:lang w:val="en-US" w:eastAsia="zh-CN"/>
                    </w:rPr>
                    <w:t>生产车间</w:t>
                  </w:r>
                  <w:r>
                    <w:rPr>
                      <w:rFonts w:hint="eastAsia"/>
                      <w:color w:val="000000"/>
                      <w:sz w:val="21"/>
                      <w:szCs w:val="21"/>
                      <w:highlight w:val="none"/>
                      <w:u w:val="none"/>
                    </w:rPr>
                    <w:t>西南角</w:t>
                  </w:r>
                  <w:r>
                    <w:rPr>
                      <w:color w:val="000000"/>
                      <w:sz w:val="21"/>
                      <w:szCs w:val="21"/>
                      <w:highlight w:val="none"/>
                      <w:u w:val="none"/>
                    </w:rPr>
                    <w:t>为（0，0）点，正东为X轴正方向，正北为Y轴正方向</w:t>
                  </w:r>
                </w:p>
              </w:tc>
            </w:tr>
          </w:tbl>
          <w:p w14:paraId="6176BEB1">
            <w:pPr>
              <w:widowControl/>
              <w:spacing w:line="360" w:lineRule="auto"/>
              <w:jc w:val="center"/>
              <w:rPr>
                <w:b/>
                <w:bCs/>
                <w:color w:val="000000"/>
                <w:sz w:val="24"/>
                <w:szCs w:val="24"/>
                <w:highlight w:val="none"/>
                <w:u w:val="none"/>
              </w:rPr>
            </w:pPr>
            <w:r>
              <w:rPr>
                <w:b/>
                <w:bCs/>
                <w:color w:val="000000"/>
                <w:kern w:val="0"/>
                <w:sz w:val="24"/>
                <w:szCs w:val="24"/>
                <w:highlight w:val="none"/>
                <w:u w:val="none"/>
                <w:lang w:bidi="ar"/>
              </w:rPr>
              <w:t>表</w:t>
            </w:r>
            <w:r>
              <w:rPr>
                <w:rFonts w:hint="eastAsia"/>
                <w:b/>
                <w:bCs/>
                <w:color w:val="000000"/>
                <w:kern w:val="0"/>
                <w:sz w:val="24"/>
                <w:szCs w:val="24"/>
                <w:highlight w:val="none"/>
                <w:u w:val="none"/>
                <w:lang w:bidi="ar"/>
              </w:rPr>
              <w:t>4-</w:t>
            </w:r>
            <w:r>
              <w:rPr>
                <w:rFonts w:hint="eastAsia"/>
                <w:b/>
                <w:bCs/>
                <w:color w:val="000000"/>
                <w:kern w:val="0"/>
                <w:sz w:val="24"/>
                <w:szCs w:val="24"/>
                <w:highlight w:val="none"/>
                <w:u w:val="none"/>
                <w:lang w:val="en-US" w:eastAsia="zh-CN" w:bidi="ar"/>
              </w:rPr>
              <w:t>17</w:t>
            </w:r>
            <w:r>
              <w:rPr>
                <w:rFonts w:hint="eastAsia"/>
                <w:b/>
                <w:bCs/>
                <w:color w:val="000000"/>
                <w:kern w:val="0"/>
                <w:sz w:val="24"/>
                <w:szCs w:val="24"/>
                <w:highlight w:val="none"/>
                <w:u w:val="none"/>
                <w:lang w:bidi="ar"/>
              </w:rPr>
              <w:t xml:space="preserve">  </w:t>
            </w:r>
            <w:r>
              <w:rPr>
                <w:b/>
                <w:bCs/>
                <w:color w:val="000000"/>
                <w:kern w:val="0"/>
                <w:sz w:val="24"/>
                <w:szCs w:val="24"/>
                <w:highlight w:val="none"/>
                <w:u w:val="none"/>
                <w:lang w:bidi="ar"/>
              </w:rPr>
              <w:t>车间边界噪声源强一览表</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7"/>
              <w:gridCol w:w="2719"/>
              <w:gridCol w:w="2719"/>
              <w:gridCol w:w="2722"/>
              <w:gridCol w:w="2730"/>
            </w:tblGrid>
            <w:tr w14:paraId="49526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Merge w:val="restart"/>
                  <w:noWrap w:val="0"/>
                  <w:vAlign w:val="center"/>
                </w:tcPr>
                <w:p w14:paraId="5A6F8951">
                  <w:pPr>
                    <w:pStyle w:val="19"/>
                    <w:spacing w:after="0"/>
                    <w:ind w:left="0" w:leftChars="0" w:firstLine="0" w:firstLineChars="0"/>
                    <w:jc w:val="center"/>
                    <w:rPr>
                      <w:rFonts w:ascii="Times New Roman" w:hAnsi="Times New Roman"/>
                      <w:color w:val="000000"/>
                      <w:sz w:val="21"/>
                      <w:szCs w:val="21"/>
                      <w:highlight w:val="none"/>
                      <w:u w:val="none"/>
                    </w:rPr>
                  </w:pPr>
                  <w:r>
                    <w:rPr>
                      <w:rFonts w:hint="eastAsia" w:ascii="Times New Roman" w:hAnsi="Times New Roman"/>
                      <w:color w:val="000000"/>
                      <w:sz w:val="21"/>
                      <w:szCs w:val="21"/>
                      <w:highlight w:val="none"/>
                      <w:u w:val="none"/>
                    </w:rPr>
                    <w:t>面源</w:t>
                  </w:r>
                </w:p>
              </w:tc>
              <w:tc>
                <w:tcPr>
                  <w:tcW w:w="4001" w:type="pct"/>
                  <w:gridSpan w:val="4"/>
                  <w:noWrap w:val="0"/>
                  <w:vAlign w:val="center"/>
                </w:tcPr>
                <w:p w14:paraId="547A5F12">
                  <w:pPr>
                    <w:pStyle w:val="19"/>
                    <w:spacing w:after="0"/>
                    <w:ind w:left="0" w:leftChars="0" w:firstLine="0" w:firstLineChars="0"/>
                    <w:jc w:val="center"/>
                    <w:rPr>
                      <w:rFonts w:ascii="Times New Roman" w:hAnsi="Times New Roman"/>
                      <w:color w:val="000000"/>
                      <w:sz w:val="21"/>
                      <w:szCs w:val="21"/>
                      <w:highlight w:val="none"/>
                      <w:u w:val="none"/>
                    </w:rPr>
                  </w:pPr>
                  <w:r>
                    <w:rPr>
                      <w:rFonts w:ascii="Times New Roman" w:hAnsi="Times New Roman"/>
                      <w:color w:val="000000"/>
                      <w:sz w:val="21"/>
                      <w:szCs w:val="21"/>
                      <w:highlight w:val="none"/>
                      <w:u w:val="none"/>
                    </w:rPr>
                    <w:t>车间边界声压级dB（A）</w:t>
                  </w:r>
                </w:p>
              </w:tc>
            </w:tr>
            <w:tr w14:paraId="16F3A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vMerge w:val="continue"/>
                  <w:noWrap w:val="0"/>
                  <w:vAlign w:val="center"/>
                </w:tcPr>
                <w:p w14:paraId="6BF1ADC2">
                  <w:pPr>
                    <w:pStyle w:val="19"/>
                    <w:spacing w:after="0"/>
                    <w:ind w:left="0" w:leftChars="0" w:firstLine="0" w:firstLineChars="0"/>
                    <w:jc w:val="center"/>
                    <w:rPr>
                      <w:rFonts w:ascii="Times New Roman" w:hAnsi="Times New Roman"/>
                      <w:color w:val="000000"/>
                      <w:sz w:val="21"/>
                      <w:szCs w:val="21"/>
                      <w:highlight w:val="none"/>
                      <w:u w:val="none"/>
                    </w:rPr>
                  </w:pPr>
                </w:p>
              </w:tc>
              <w:tc>
                <w:tcPr>
                  <w:tcW w:w="999" w:type="pct"/>
                  <w:noWrap w:val="0"/>
                  <w:vAlign w:val="center"/>
                </w:tcPr>
                <w:p w14:paraId="46E63554">
                  <w:pPr>
                    <w:pStyle w:val="19"/>
                    <w:spacing w:after="0"/>
                    <w:ind w:left="0" w:leftChars="0" w:firstLine="0" w:firstLineChars="0"/>
                    <w:jc w:val="center"/>
                    <w:rPr>
                      <w:rFonts w:ascii="Times New Roman" w:hAnsi="Times New Roman"/>
                      <w:color w:val="000000"/>
                      <w:sz w:val="21"/>
                      <w:szCs w:val="21"/>
                      <w:highlight w:val="none"/>
                      <w:u w:val="none"/>
                    </w:rPr>
                  </w:pPr>
                  <w:r>
                    <w:rPr>
                      <w:rFonts w:ascii="Times New Roman" w:hAnsi="Times New Roman"/>
                      <w:color w:val="000000"/>
                      <w:sz w:val="21"/>
                      <w:szCs w:val="21"/>
                      <w:highlight w:val="none"/>
                      <w:u w:val="none"/>
                    </w:rPr>
                    <w:t>车间东边界</w:t>
                  </w:r>
                </w:p>
              </w:tc>
              <w:tc>
                <w:tcPr>
                  <w:tcW w:w="999" w:type="pct"/>
                  <w:noWrap w:val="0"/>
                  <w:vAlign w:val="center"/>
                </w:tcPr>
                <w:p w14:paraId="2B48A696">
                  <w:pPr>
                    <w:pStyle w:val="19"/>
                    <w:spacing w:after="0"/>
                    <w:ind w:left="0" w:leftChars="0" w:firstLine="0" w:firstLineChars="0"/>
                    <w:jc w:val="center"/>
                    <w:rPr>
                      <w:rFonts w:ascii="Times New Roman" w:hAnsi="Times New Roman"/>
                      <w:color w:val="000000"/>
                      <w:sz w:val="21"/>
                      <w:szCs w:val="21"/>
                      <w:highlight w:val="none"/>
                      <w:u w:val="none"/>
                    </w:rPr>
                  </w:pPr>
                  <w:r>
                    <w:rPr>
                      <w:rFonts w:ascii="Times New Roman" w:hAnsi="Times New Roman"/>
                      <w:color w:val="000000"/>
                      <w:sz w:val="21"/>
                      <w:szCs w:val="21"/>
                      <w:highlight w:val="none"/>
                      <w:u w:val="none"/>
                    </w:rPr>
                    <w:t>车间</w:t>
                  </w:r>
                  <w:r>
                    <w:rPr>
                      <w:rFonts w:hint="eastAsia" w:ascii="Times New Roman" w:hAnsi="Times New Roman"/>
                      <w:color w:val="000000"/>
                      <w:sz w:val="21"/>
                      <w:szCs w:val="21"/>
                      <w:highlight w:val="none"/>
                      <w:u w:val="none"/>
                    </w:rPr>
                    <w:t>南</w:t>
                  </w:r>
                  <w:r>
                    <w:rPr>
                      <w:rFonts w:ascii="Times New Roman" w:hAnsi="Times New Roman"/>
                      <w:color w:val="000000"/>
                      <w:sz w:val="21"/>
                      <w:szCs w:val="21"/>
                      <w:highlight w:val="none"/>
                      <w:u w:val="none"/>
                    </w:rPr>
                    <w:t>边界</w:t>
                  </w:r>
                </w:p>
              </w:tc>
              <w:tc>
                <w:tcPr>
                  <w:tcW w:w="1000" w:type="pct"/>
                  <w:noWrap w:val="0"/>
                  <w:vAlign w:val="center"/>
                </w:tcPr>
                <w:p w14:paraId="66400937">
                  <w:pPr>
                    <w:pStyle w:val="19"/>
                    <w:spacing w:after="0"/>
                    <w:ind w:left="0" w:leftChars="0" w:firstLine="0" w:firstLineChars="0"/>
                    <w:jc w:val="center"/>
                    <w:rPr>
                      <w:rFonts w:ascii="Times New Roman" w:hAnsi="Times New Roman"/>
                      <w:color w:val="000000"/>
                      <w:sz w:val="21"/>
                      <w:szCs w:val="21"/>
                      <w:highlight w:val="none"/>
                      <w:u w:val="none"/>
                    </w:rPr>
                  </w:pPr>
                  <w:r>
                    <w:rPr>
                      <w:rFonts w:ascii="Times New Roman" w:hAnsi="Times New Roman"/>
                      <w:color w:val="000000"/>
                      <w:sz w:val="21"/>
                      <w:szCs w:val="21"/>
                      <w:highlight w:val="none"/>
                      <w:u w:val="none"/>
                    </w:rPr>
                    <w:t>车间</w:t>
                  </w:r>
                  <w:r>
                    <w:rPr>
                      <w:rFonts w:hint="eastAsia" w:ascii="Times New Roman" w:hAnsi="Times New Roman"/>
                      <w:color w:val="000000"/>
                      <w:sz w:val="21"/>
                      <w:szCs w:val="21"/>
                      <w:highlight w:val="none"/>
                      <w:u w:val="none"/>
                    </w:rPr>
                    <w:t>西</w:t>
                  </w:r>
                  <w:r>
                    <w:rPr>
                      <w:rFonts w:ascii="Times New Roman" w:hAnsi="Times New Roman"/>
                      <w:color w:val="000000"/>
                      <w:sz w:val="21"/>
                      <w:szCs w:val="21"/>
                      <w:highlight w:val="none"/>
                      <w:u w:val="none"/>
                    </w:rPr>
                    <w:t>边界</w:t>
                  </w:r>
                </w:p>
              </w:tc>
              <w:tc>
                <w:tcPr>
                  <w:tcW w:w="1003" w:type="pct"/>
                  <w:noWrap w:val="0"/>
                  <w:vAlign w:val="center"/>
                </w:tcPr>
                <w:p w14:paraId="17ED89D4">
                  <w:pPr>
                    <w:pStyle w:val="19"/>
                    <w:spacing w:after="0"/>
                    <w:ind w:left="0" w:leftChars="0" w:firstLine="0" w:firstLineChars="0"/>
                    <w:jc w:val="center"/>
                    <w:rPr>
                      <w:rFonts w:ascii="Times New Roman" w:hAnsi="Times New Roman"/>
                      <w:color w:val="000000"/>
                      <w:sz w:val="21"/>
                      <w:szCs w:val="21"/>
                      <w:highlight w:val="none"/>
                      <w:u w:val="none"/>
                    </w:rPr>
                  </w:pPr>
                  <w:r>
                    <w:rPr>
                      <w:rFonts w:ascii="Times New Roman" w:hAnsi="Times New Roman"/>
                      <w:color w:val="000000"/>
                      <w:sz w:val="21"/>
                      <w:szCs w:val="21"/>
                      <w:highlight w:val="none"/>
                      <w:u w:val="none"/>
                    </w:rPr>
                    <w:t>车间</w:t>
                  </w:r>
                  <w:r>
                    <w:rPr>
                      <w:rFonts w:hint="eastAsia" w:ascii="Times New Roman" w:hAnsi="Times New Roman"/>
                      <w:color w:val="000000"/>
                      <w:sz w:val="21"/>
                      <w:szCs w:val="21"/>
                      <w:highlight w:val="none"/>
                      <w:u w:val="none"/>
                    </w:rPr>
                    <w:t>北</w:t>
                  </w:r>
                  <w:r>
                    <w:rPr>
                      <w:rFonts w:ascii="Times New Roman" w:hAnsi="Times New Roman"/>
                      <w:color w:val="000000"/>
                      <w:sz w:val="21"/>
                      <w:szCs w:val="21"/>
                      <w:highlight w:val="none"/>
                      <w:u w:val="none"/>
                    </w:rPr>
                    <w:t>边界</w:t>
                  </w:r>
                </w:p>
              </w:tc>
            </w:tr>
            <w:tr w14:paraId="46D51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8" w:type="pct"/>
                  <w:noWrap w:val="0"/>
                  <w:vAlign w:val="center"/>
                </w:tcPr>
                <w:p w14:paraId="74CF9F4F">
                  <w:pPr>
                    <w:pStyle w:val="19"/>
                    <w:spacing w:after="0"/>
                    <w:ind w:left="0" w:leftChars="0" w:firstLine="0" w:firstLineChars="0"/>
                    <w:jc w:val="center"/>
                    <w:rPr>
                      <w:rFonts w:ascii="Times New Roman" w:hAnsi="Times New Roman"/>
                      <w:color w:val="000000"/>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生产车间</w:t>
                  </w:r>
                </w:p>
              </w:tc>
              <w:tc>
                <w:tcPr>
                  <w:tcW w:w="999" w:type="pct"/>
                  <w:shd w:val="clear" w:color="auto" w:fill="auto"/>
                  <w:noWrap w:val="0"/>
                  <w:vAlign w:val="center"/>
                </w:tcPr>
                <w:p w14:paraId="41920F6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57.4</w:t>
                  </w:r>
                </w:p>
              </w:tc>
              <w:tc>
                <w:tcPr>
                  <w:tcW w:w="999" w:type="pct"/>
                  <w:shd w:val="clear" w:color="auto" w:fill="auto"/>
                  <w:noWrap w:val="0"/>
                  <w:vAlign w:val="center"/>
                </w:tcPr>
                <w:p w14:paraId="6A9251D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68.9</w:t>
                  </w:r>
                </w:p>
              </w:tc>
              <w:tc>
                <w:tcPr>
                  <w:tcW w:w="1000" w:type="pct"/>
                  <w:shd w:val="clear" w:color="auto" w:fill="auto"/>
                  <w:noWrap w:val="0"/>
                  <w:vAlign w:val="center"/>
                </w:tcPr>
                <w:p w14:paraId="5938003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56.4</w:t>
                  </w:r>
                </w:p>
              </w:tc>
              <w:tc>
                <w:tcPr>
                  <w:tcW w:w="1003" w:type="pct"/>
                  <w:shd w:val="clear" w:color="auto" w:fill="auto"/>
                  <w:noWrap w:val="0"/>
                  <w:vAlign w:val="center"/>
                </w:tcPr>
                <w:p w14:paraId="7F35DFB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70.7</w:t>
                  </w:r>
                </w:p>
              </w:tc>
            </w:tr>
          </w:tbl>
          <w:p w14:paraId="7A842437">
            <w:pPr>
              <w:widowControl/>
              <w:spacing w:line="360" w:lineRule="auto"/>
              <w:jc w:val="center"/>
              <w:rPr>
                <w:b/>
                <w:bCs/>
                <w:color w:val="000000"/>
                <w:sz w:val="24"/>
                <w:szCs w:val="24"/>
                <w:highlight w:val="none"/>
                <w:u w:val="none"/>
              </w:rPr>
            </w:pPr>
            <w:r>
              <w:rPr>
                <w:b/>
                <w:bCs/>
                <w:color w:val="000000"/>
                <w:kern w:val="0"/>
                <w:sz w:val="24"/>
                <w:szCs w:val="24"/>
                <w:highlight w:val="none"/>
                <w:u w:val="none"/>
                <w:lang w:bidi="ar"/>
              </w:rPr>
              <w:t>表</w:t>
            </w:r>
            <w:r>
              <w:rPr>
                <w:rFonts w:hint="eastAsia"/>
                <w:b/>
                <w:bCs/>
                <w:color w:val="000000"/>
                <w:kern w:val="0"/>
                <w:sz w:val="24"/>
                <w:szCs w:val="24"/>
                <w:highlight w:val="none"/>
                <w:u w:val="none"/>
                <w:lang w:bidi="ar"/>
              </w:rPr>
              <w:t>4-</w:t>
            </w:r>
            <w:r>
              <w:rPr>
                <w:rFonts w:hint="eastAsia"/>
                <w:b/>
                <w:bCs/>
                <w:color w:val="000000"/>
                <w:kern w:val="0"/>
                <w:sz w:val="24"/>
                <w:szCs w:val="24"/>
                <w:highlight w:val="none"/>
                <w:u w:val="none"/>
                <w:lang w:val="en-US" w:eastAsia="zh-CN" w:bidi="ar"/>
              </w:rPr>
              <w:t>18</w:t>
            </w:r>
            <w:r>
              <w:rPr>
                <w:rFonts w:hint="eastAsia"/>
                <w:b/>
                <w:bCs/>
                <w:color w:val="000000"/>
                <w:kern w:val="0"/>
                <w:sz w:val="24"/>
                <w:szCs w:val="24"/>
                <w:highlight w:val="none"/>
                <w:u w:val="none"/>
                <w:lang w:bidi="ar"/>
              </w:rPr>
              <w:t xml:space="preserve">  降噪后车间外噪声源强一览表</w:t>
            </w:r>
          </w:p>
          <w:tbl>
            <w:tblPr>
              <w:tblStyle w:val="20"/>
              <w:tblW w:w="136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2"/>
              <w:gridCol w:w="2722"/>
              <w:gridCol w:w="2722"/>
              <w:gridCol w:w="2723"/>
              <w:gridCol w:w="2723"/>
            </w:tblGrid>
            <w:tr w14:paraId="5779A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2" w:type="dxa"/>
                  <w:vMerge w:val="restart"/>
                  <w:noWrap w:val="0"/>
                  <w:vAlign w:val="center"/>
                </w:tcPr>
                <w:p w14:paraId="686C83DA">
                  <w:pPr>
                    <w:pStyle w:val="19"/>
                    <w:spacing w:after="0"/>
                    <w:ind w:left="0" w:leftChars="0" w:firstLine="0" w:firstLineChars="0"/>
                    <w:jc w:val="center"/>
                    <w:rPr>
                      <w:rFonts w:ascii="Times New Roman" w:hAnsi="Times New Roman"/>
                      <w:color w:val="000000"/>
                      <w:sz w:val="21"/>
                      <w:szCs w:val="21"/>
                      <w:highlight w:val="none"/>
                      <w:u w:val="none"/>
                    </w:rPr>
                  </w:pPr>
                  <w:commentRangeStart w:id="92"/>
                  <w:r>
                    <w:rPr>
                      <w:rFonts w:hint="eastAsia" w:ascii="Times New Roman" w:hAnsi="Times New Roman"/>
                      <w:color w:val="000000"/>
                      <w:sz w:val="21"/>
                      <w:szCs w:val="21"/>
                      <w:highlight w:val="none"/>
                      <w:u w:val="none"/>
                    </w:rPr>
                    <w:t>面源</w:t>
                  </w:r>
                  <w:commentRangeEnd w:id="92"/>
                  <w:r>
                    <w:commentReference w:id="92"/>
                  </w:r>
                </w:p>
              </w:tc>
              <w:tc>
                <w:tcPr>
                  <w:tcW w:w="10890" w:type="dxa"/>
                  <w:gridSpan w:val="4"/>
                  <w:noWrap w:val="0"/>
                  <w:vAlign w:val="center"/>
                </w:tcPr>
                <w:p w14:paraId="08ACEE98">
                  <w:pPr>
                    <w:pStyle w:val="19"/>
                    <w:spacing w:after="0"/>
                    <w:ind w:left="0" w:leftChars="0" w:firstLine="0" w:firstLineChars="0"/>
                    <w:jc w:val="center"/>
                    <w:rPr>
                      <w:rFonts w:ascii="Times New Roman" w:hAnsi="Times New Roman"/>
                      <w:color w:val="000000"/>
                      <w:sz w:val="21"/>
                      <w:szCs w:val="21"/>
                      <w:highlight w:val="none"/>
                      <w:u w:val="none"/>
                    </w:rPr>
                  </w:pPr>
                  <w:r>
                    <w:rPr>
                      <w:rFonts w:ascii="Times New Roman" w:hAnsi="Times New Roman"/>
                      <w:color w:val="000000"/>
                      <w:sz w:val="21"/>
                      <w:szCs w:val="21"/>
                      <w:highlight w:val="none"/>
                      <w:u w:val="none"/>
                    </w:rPr>
                    <w:t>车间边界声压级dB（A）</w:t>
                  </w:r>
                </w:p>
              </w:tc>
            </w:tr>
            <w:tr w14:paraId="56846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2" w:type="dxa"/>
                  <w:vMerge w:val="continue"/>
                  <w:noWrap w:val="0"/>
                  <w:vAlign w:val="center"/>
                </w:tcPr>
                <w:p w14:paraId="5B6C773A">
                  <w:pPr>
                    <w:pStyle w:val="19"/>
                    <w:spacing w:after="0"/>
                    <w:ind w:left="0" w:leftChars="0" w:firstLine="0" w:firstLineChars="0"/>
                    <w:jc w:val="center"/>
                    <w:rPr>
                      <w:rFonts w:ascii="Times New Roman" w:hAnsi="Times New Roman"/>
                      <w:color w:val="000000"/>
                      <w:sz w:val="21"/>
                      <w:szCs w:val="21"/>
                      <w:highlight w:val="none"/>
                      <w:u w:val="none"/>
                    </w:rPr>
                  </w:pPr>
                </w:p>
              </w:tc>
              <w:tc>
                <w:tcPr>
                  <w:tcW w:w="2722" w:type="dxa"/>
                  <w:noWrap w:val="0"/>
                  <w:vAlign w:val="center"/>
                </w:tcPr>
                <w:p w14:paraId="0C00BCD5">
                  <w:pPr>
                    <w:pStyle w:val="19"/>
                    <w:spacing w:after="0"/>
                    <w:ind w:left="0" w:leftChars="0" w:firstLine="0" w:firstLineChars="0"/>
                    <w:jc w:val="center"/>
                    <w:rPr>
                      <w:rFonts w:ascii="Times New Roman" w:hAnsi="Times New Roman"/>
                      <w:color w:val="000000"/>
                      <w:sz w:val="21"/>
                      <w:szCs w:val="21"/>
                      <w:highlight w:val="none"/>
                      <w:u w:val="none"/>
                    </w:rPr>
                  </w:pPr>
                  <w:r>
                    <w:rPr>
                      <w:rFonts w:ascii="Times New Roman" w:hAnsi="Times New Roman"/>
                      <w:color w:val="000000"/>
                      <w:sz w:val="21"/>
                      <w:szCs w:val="21"/>
                      <w:highlight w:val="none"/>
                      <w:u w:val="none"/>
                    </w:rPr>
                    <w:t>车间东边界</w:t>
                  </w:r>
                </w:p>
              </w:tc>
              <w:tc>
                <w:tcPr>
                  <w:tcW w:w="2722" w:type="dxa"/>
                  <w:noWrap w:val="0"/>
                  <w:vAlign w:val="center"/>
                </w:tcPr>
                <w:p w14:paraId="4DA35F65">
                  <w:pPr>
                    <w:pStyle w:val="19"/>
                    <w:spacing w:after="0"/>
                    <w:ind w:left="0" w:leftChars="0" w:firstLine="0" w:firstLineChars="0"/>
                    <w:jc w:val="center"/>
                    <w:rPr>
                      <w:rFonts w:ascii="Times New Roman" w:hAnsi="Times New Roman"/>
                      <w:color w:val="000000"/>
                      <w:sz w:val="21"/>
                      <w:szCs w:val="21"/>
                      <w:highlight w:val="none"/>
                      <w:u w:val="none"/>
                    </w:rPr>
                  </w:pPr>
                  <w:r>
                    <w:rPr>
                      <w:rFonts w:ascii="Times New Roman" w:hAnsi="Times New Roman"/>
                      <w:color w:val="000000"/>
                      <w:sz w:val="21"/>
                      <w:szCs w:val="21"/>
                      <w:highlight w:val="none"/>
                      <w:u w:val="none"/>
                    </w:rPr>
                    <w:t>车间</w:t>
                  </w:r>
                  <w:r>
                    <w:rPr>
                      <w:rFonts w:hint="eastAsia" w:ascii="Times New Roman" w:hAnsi="Times New Roman"/>
                      <w:color w:val="000000"/>
                      <w:sz w:val="21"/>
                      <w:szCs w:val="21"/>
                      <w:highlight w:val="none"/>
                      <w:u w:val="none"/>
                    </w:rPr>
                    <w:t>南</w:t>
                  </w:r>
                  <w:r>
                    <w:rPr>
                      <w:rFonts w:ascii="Times New Roman" w:hAnsi="Times New Roman"/>
                      <w:color w:val="000000"/>
                      <w:sz w:val="21"/>
                      <w:szCs w:val="21"/>
                      <w:highlight w:val="none"/>
                      <w:u w:val="none"/>
                    </w:rPr>
                    <w:t>边界</w:t>
                  </w:r>
                </w:p>
              </w:tc>
              <w:tc>
                <w:tcPr>
                  <w:tcW w:w="2723" w:type="dxa"/>
                  <w:noWrap w:val="0"/>
                  <w:vAlign w:val="center"/>
                </w:tcPr>
                <w:p w14:paraId="48DD2B9E">
                  <w:pPr>
                    <w:pStyle w:val="19"/>
                    <w:spacing w:after="0"/>
                    <w:ind w:left="0" w:leftChars="0" w:firstLine="0" w:firstLineChars="0"/>
                    <w:jc w:val="center"/>
                    <w:rPr>
                      <w:rFonts w:ascii="Times New Roman" w:hAnsi="Times New Roman"/>
                      <w:color w:val="000000"/>
                      <w:sz w:val="21"/>
                      <w:szCs w:val="21"/>
                      <w:highlight w:val="none"/>
                      <w:u w:val="none"/>
                    </w:rPr>
                  </w:pPr>
                  <w:r>
                    <w:rPr>
                      <w:rFonts w:ascii="Times New Roman" w:hAnsi="Times New Roman"/>
                      <w:color w:val="000000"/>
                      <w:sz w:val="21"/>
                      <w:szCs w:val="21"/>
                      <w:highlight w:val="none"/>
                      <w:u w:val="none"/>
                    </w:rPr>
                    <w:t>车间</w:t>
                  </w:r>
                  <w:r>
                    <w:rPr>
                      <w:rFonts w:hint="eastAsia" w:ascii="Times New Roman" w:hAnsi="Times New Roman"/>
                      <w:color w:val="000000"/>
                      <w:sz w:val="21"/>
                      <w:szCs w:val="21"/>
                      <w:highlight w:val="none"/>
                      <w:u w:val="none"/>
                    </w:rPr>
                    <w:t>西</w:t>
                  </w:r>
                  <w:r>
                    <w:rPr>
                      <w:rFonts w:ascii="Times New Roman" w:hAnsi="Times New Roman"/>
                      <w:color w:val="000000"/>
                      <w:sz w:val="21"/>
                      <w:szCs w:val="21"/>
                      <w:highlight w:val="none"/>
                      <w:u w:val="none"/>
                    </w:rPr>
                    <w:t>边界</w:t>
                  </w:r>
                </w:p>
              </w:tc>
              <w:tc>
                <w:tcPr>
                  <w:tcW w:w="2723" w:type="dxa"/>
                  <w:noWrap w:val="0"/>
                  <w:vAlign w:val="center"/>
                </w:tcPr>
                <w:p w14:paraId="3EBD700E">
                  <w:pPr>
                    <w:pStyle w:val="19"/>
                    <w:spacing w:after="0"/>
                    <w:ind w:left="0" w:leftChars="0" w:firstLine="0" w:firstLineChars="0"/>
                    <w:jc w:val="center"/>
                    <w:rPr>
                      <w:rFonts w:ascii="Times New Roman" w:hAnsi="Times New Roman"/>
                      <w:color w:val="000000"/>
                      <w:sz w:val="21"/>
                      <w:szCs w:val="21"/>
                      <w:highlight w:val="none"/>
                      <w:u w:val="none"/>
                    </w:rPr>
                  </w:pPr>
                  <w:r>
                    <w:rPr>
                      <w:rFonts w:ascii="Times New Roman" w:hAnsi="Times New Roman"/>
                      <w:color w:val="000000"/>
                      <w:sz w:val="21"/>
                      <w:szCs w:val="21"/>
                      <w:highlight w:val="none"/>
                      <w:u w:val="none"/>
                    </w:rPr>
                    <w:t>车间</w:t>
                  </w:r>
                  <w:r>
                    <w:rPr>
                      <w:rFonts w:hint="eastAsia" w:ascii="Times New Roman" w:hAnsi="Times New Roman"/>
                      <w:color w:val="000000"/>
                      <w:sz w:val="21"/>
                      <w:szCs w:val="21"/>
                      <w:highlight w:val="none"/>
                      <w:u w:val="none"/>
                    </w:rPr>
                    <w:t>北</w:t>
                  </w:r>
                  <w:r>
                    <w:rPr>
                      <w:rFonts w:ascii="Times New Roman" w:hAnsi="Times New Roman"/>
                      <w:color w:val="000000"/>
                      <w:sz w:val="21"/>
                      <w:szCs w:val="21"/>
                      <w:highlight w:val="none"/>
                      <w:u w:val="none"/>
                    </w:rPr>
                    <w:t>边界</w:t>
                  </w:r>
                </w:p>
              </w:tc>
            </w:tr>
            <w:tr w14:paraId="36A64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2" w:type="dxa"/>
                  <w:shd w:val="clear" w:color="auto" w:fill="auto"/>
                  <w:noWrap w:val="0"/>
                  <w:vAlign w:val="center"/>
                </w:tcPr>
                <w:p w14:paraId="2E45EFA8">
                  <w:pPr>
                    <w:pStyle w:val="19"/>
                    <w:spacing w:after="0"/>
                    <w:ind w:left="0" w:leftChars="0" w:firstLine="0" w:firstLineChars="0"/>
                    <w:jc w:val="center"/>
                    <w:rPr>
                      <w:rFonts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生产车间</w:t>
                  </w:r>
                </w:p>
              </w:tc>
              <w:tc>
                <w:tcPr>
                  <w:tcW w:w="2722" w:type="dxa"/>
                  <w:shd w:val="clear" w:color="auto" w:fill="auto"/>
                  <w:noWrap w:val="0"/>
                  <w:vAlign w:val="center"/>
                </w:tcPr>
                <w:p w14:paraId="1613B492">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37.4</w:t>
                  </w:r>
                </w:p>
              </w:tc>
              <w:tc>
                <w:tcPr>
                  <w:tcW w:w="2722" w:type="dxa"/>
                  <w:shd w:val="clear" w:color="auto" w:fill="auto"/>
                  <w:noWrap w:val="0"/>
                  <w:vAlign w:val="center"/>
                </w:tcPr>
                <w:p w14:paraId="103A12E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48.9</w:t>
                  </w:r>
                </w:p>
              </w:tc>
              <w:tc>
                <w:tcPr>
                  <w:tcW w:w="2723" w:type="dxa"/>
                  <w:shd w:val="clear" w:color="auto" w:fill="auto"/>
                  <w:noWrap w:val="0"/>
                  <w:vAlign w:val="center"/>
                </w:tcPr>
                <w:p w14:paraId="72AE6B78">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36.4</w:t>
                  </w:r>
                </w:p>
              </w:tc>
              <w:tc>
                <w:tcPr>
                  <w:tcW w:w="2723" w:type="dxa"/>
                  <w:shd w:val="clear" w:color="auto" w:fill="auto"/>
                  <w:noWrap w:val="0"/>
                  <w:vAlign w:val="center"/>
                </w:tcPr>
                <w:p w14:paraId="2095D9EA">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50.7</w:t>
                  </w:r>
                </w:p>
              </w:tc>
            </w:tr>
          </w:tbl>
          <w:p w14:paraId="5EAB5AF4">
            <w:pPr>
              <w:pStyle w:val="19"/>
              <w:spacing w:after="0"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3.2</w:t>
            </w:r>
            <w:r>
              <w:rPr>
                <w:rFonts w:hint="eastAsia" w:ascii="Times New Roman" w:hAnsi="Times New Roman"/>
                <w:color w:val="000000"/>
                <w:sz w:val="24"/>
                <w:highlight w:val="none"/>
                <w:u w:val="none"/>
              </w:rPr>
              <w:t xml:space="preserve"> </w:t>
            </w:r>
            <w:r>
              <w:rPr>
                <w:rFonts w:ascii="Times New Roman" w:hAnsi="Times New Roman"/>
                <w:color w:val="000000"/>
                <w:sz w:val="24"/>
                <w:highlight w:val="none"/>
                <w:u w:val="none"/>
              </w:rPr>
              <w:t>噪声预测模式</w:t>
            </w:r>
          </w:p>
          <w:p w14:paraId="35495122">
            <w:pPr>
              <w:pStyle w:val="19"/>
              <w:spacing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根据《环境影响评价技术导则-声环境》（HJ2.4-2021）要求，本次评价声环境质量预测范围为项目四周厂界。本次评价根据《环境影响评价技术导则-声环境》（HJ2.4-2021）中声级预测模式对边界进行达标预测分析。</w:t>
            </w:r>
          </w:p>
          <w:p w14:paraId="07AA528E">
            <w:pPr>
              <w:pStyle w:val="19"/>
              <w:spacing w:after="0"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①建设项目声源在预测点产生的等效声级贡献值(</w:t>
            </w:r>
            <w:r>
              <w:rPr>
                <w:rFonts w:ascii="Times New Roman" w:hAnsi="Times New Roman"/>
                <w:color w:val="000000"/>
                <w:sz w:val="24"/>
                <w:highlight w:val="none"/>
                <w:u w:val="none"/>
              </w:rPr>
              <w:object>
                <v:shape id="_x0000_i1026" o:spt="75" type="#_x0000_t75" style="height:18.75pt;width:21pt;" o:ole="t" filled="f" o:preferrelative="t" stroked="f" coordsize="21600,21600">
                  <v:path/>
                  <v:fill on="f" focussize="0,0"/>
                  <v:stroke on="f"/>
                  <v:imagedata r:id="rId16" o:title=""/>
                  <o:lock v:ext="edit" aspectratio="t"/>
                  <w10:wrap type="none"/>
                  <w10:anchorlock/>
                </v:shape>
                <o:OLEObject Type="Embed" ProgID="Equation.KSEE3" ShapeID="_x0000_i1026" DrawAspect="Content" ObjectID="_1468075726" r:id="rId15">
                  <o:LockedField>false</o:LockedField>
                </o:OLEObject>
              </w:object>
            </w:r>
            <w:r>
              <w:rPr>
                <w:rFonts w:ascii="Times New Roman" w:hAnsi="Times New Roman"/>
                <w:color w:val="000000"/>
                <w:sz w:val="24"/>
                <w:highlight w:val="none"/>
                <w:u w:val="none"/>
              </w:rPr>
              <w:t>)计算公式：</w:t>
            </w:r>
          </w:p>
          <w:p w14:paraId="6B5C92EF">
            <w:pPr>
              <w:spacing w:line="360" w:lineRule="auto"/>
              <w:jc w:val="center"/>
              <w:rPr>
                <w:color w:val="000000"/>
                <w:sz w:val="24"/>
                <w:szCs w:val="24"/>
                <w:highlight w:val="none"/>
                <w:u w:val="none"/>
              </w:rPr>
            </w:pPr>
            <w:r>
              <w:rPr>
                <w:color w:val="000000"/>
                <w:position w:val="-14"/>
                <w:sz w:val="24"/>
                <w:szCs w:val="24"/>
                <w:highlight w:val="none"/>
                <w:u w:val="none"/>
              </w:rPr>
              <w:object>
                <v:shape id="_x0000_i1027" o:spt="75" type="#_x0000_t75" style="height:18.75pt;width:21pt;" o:ole="t" filled="f" o:preferrelative="t" stroked="f" coordsize="21600,21600">
                  <v:path/>
                  <v:fill on="f" focussize="0,0"/>
                  <v:stroke on="f"/>
                  <v:imagedata r:id="rId16" o:title=""/>
                  <o:lock v:ext="edit" aspectratio="t"/>
                  <w10:wrap type="none"/>
                  <w10:anchorlock/>
                </v:shape>
                <o:OLEObject Type="Embed" ProgID="Equation.KSEE3" ShapeID="_x0000_i1027" DrawAspect="Content" ObjectID="_1468075727" r:id="rId17">
                  <o:LockedField>false</o:LockedField>
                </o:OLEObject>
              </w:object>
            </w:r>
            <w:r>
              <w:rPr>
                <w:color w:val="000000"/>
                <w:sz w:val="24"/>
                <w:szCs w:val="24"/>
                <w:highlight w:val="none"/>
                <w:u w:val="none"/>
              </w:rPr>
              <w:t>=</w:t>
            </w:r>
            <w:r>
              <w:rPr>
                <w:color w:val="000000"/>
                <w:position w:val="-10"/>
                <w:sz w:val="24"/>
                <w:szCs w:val="24"/>
                <w:highlight w:val="none"/>
                <w:u w:val="none"/>
              </w:rPr>
              <w:object>
                <v:shape id="_x0000_i1028" o:spt="75" type="#_x0000_t75" style="height:15.75pt;width:24pt;" o:ole="t" filled="f" o:preferrelative="t" stroked="f" coordsize="21600,21600">
                  <v:path/>
                  <v:fill on="f" focussize="0,0"/>
                  <v:stroke on="f"/>
                  <v:imagedata r:id="rId19" o:title=""/>
                  <o:lock v:ext="edit" aspectratio="t"/>
                  <w10:wrap type="none"/>
                  <w10:anchorlock/>
                </v:shape>
                <o:OLEObject Type="Embed" ProgID="Equation.KSEE3" ShapeID="_x0000_i1028" DrawAspect="Content" ObjectID="_1468075728" r:id="rId18">
                  <o:LockedField>false</o:LockedField>
                </o:OLEObject>
              </w:object>
            </w:r>
            <w:r>
              <w:rPr>
                <w:color w:val="000000"/>
                <w:sz w:val="24"/>
                <w:szCs w:val="24"/>
                <w:highlight w:val="none"/>
                <w:u w:val="none"/>
              </w:rPr>
              <w:t>(</w:t>
            </w:r>
            <w:r>
              <w:rPr>
                <w:color w:val="000000"/>
                <w:position w:val="-12"/>
                <w:sz w:val="24"/>
                <w:szCs w:val="24"/>
                <w:highlight w:val="none"/>
                <w:u w:val="none"/>
              </w:rPr>
              <w:object>
                <v:shape id="_x0000_i1029" o:spt="75" type="#_x0000_t75" style="height:18pt;width:9.75pt;" o:ole="t" filled="f" o:preferrelative="t" stroked="f" coordsize="21600,21600">
                  <v:path/>
                  <v:fill on="f" focussize="0,0"/>
                  <v:stroke on="f"/>
                  <v:imagedata r:id="rId21" o:title=""/>
                  <o:lock v:ext="edit" aspectratio="t"/>
                  <w10:wrap type="none"/>
                  <w10:anchorlock/>
                </v:shape>
                <o:OLEObject Type="Embed" ProgID="Equation.KSEE3" ShapeID="_x0000_i1029" DrawAspect="Content" ObjectID="_1468075729" r:id="rId20">
                  <o:LockedField>false</o:LockedField>
                </o:OLEObject>
              </w:object>
            </w:r>
            <w:r>
              <w:rPr>
                <w:color w:val="000000"/>
                <w:position w:val="-28"/>
                <w:sz w:val="24"/>
                <w:szCs w:val="24"/>
                <w:highlight w:val="none"/>
                <w:u w:val="none"/>
              </w:rPr>
              <w:object>
                <v:shape id="_x0000_i1030" o:spt="75" type="#_x0000_t75" style="height:27pt;width:54.75pt;" o:ole="t" filled="f" o:preferrelative="t" stroked="f" coordsize="21600,21600">
                  <v:path/>
                  <v:fill on="f" focussize="0,0"/>
                  <v:stroke on="f"/>
                  <v:imagedata r:id="rId23" o:title=""/>
                  <o:lock v:ext="edit" aspectratio="t"/>
                  <w10:wrap type="none"/>
                  <w10:anchorlock/>
                </v:shape>
                <o:OLEObject Type="Embed" ProgID="Equation.KSEE3" ShapeID="_x0000_i1030" DrawAspect="Content" ObjectID="_1468075730" r:id="rId22">
                  <o:LockedField>false</o:LockedField>
                </o:OLEObject>
              </w:object>
            </w:r>
            <w:r>
              <w:rPr>
                <w:color w:val="000000"/>
                <w:sz w:val="24"/>
                <w:szCs w:val="24"/>
                <w:highlight w:val="none"/>
                <w:u w:val="none"/>
              </w:rPr>
              <w:t>)</w:t>
            </w:r>
          </w:p>
          <w:p w14:paraId="0E0CECD8">
            <w:pPr>
              <w:pStyle w:val="19"/>
              <w:spacing w:after="0"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式中：</w:t>
            </w:r>
            <w:r>
              <w:rPr>
                <w:rFonts w:ascii="Times New Roman" w:hAnsi="Times New Roman"/>
                <w:color w:val="000000"/>
                <w:sz w:val="24"/>
                <w:highlight w:val="none"/>
                <w:u w:val="none"/>
              </w:rPr>
              <w:object>
                <v:shape id="_x0000_i1031" o:spt="75" type="#_x0000_t75" style="height:18.75pt;width:21pt;" o:ole="t" filled="f" o:preferrelative="t" stroked="f" coordsize="21600,21600">
                  <v:path/>
                  <v:fill on="f" focussize="0,0"/>
                  <v:stroke on="f"/>
                  <v:imagedata r:id="rId16" o:title=""/>
                  <o:lock v:ext="edit" aspectratio="t"/>
                  <w10:wrap type="none"/>
                  <w10:anchorlock/>
                </v:shape>
                <o:OLEObject Type="Embed" ProgID="Equation.KSEE3" ShapeID="_x0000_i1031" DrawAspect="Content" ObjectID="_1468075731" r:id="rId24">
                  <o:LockedField>false</o:LockedField>
                </o:OLEObject>
              </w:object>
            </w:r>
            <w:r>
              <w:rPr>
                <w:rFonts w:ascii="Times New Roman" w:hAnsi="Times New Roman"/>
                <w:color w:val="000000"/>
                <w:sz w:val="24"/>
                <w:highlight w:val="none"/>
                <w:u w:val="none"/>
              </w:rPr>
              <w:t>：建设项目声源在预测点的等效声级贡献值，dB(A)；</w:t>
            </w:r>
          </w:p>
          <w:p w14:paraId="785D2522">
            <w:pPr>
              <w:pStyle w:val="19"/>
              <w:spacing w:after="0" w:line="360" w:lineRule="auto"/>
              <w:ind w:left="0" w:leftChars="0" w:firstLine="1200" w:firstLineChars="500"/>
              <w:rPr>
                <w:rFonts w:ascii="Times New Roman" w:hAnsi="Times New Roman"/>
                <w:color w:val="000000"/>
                <w:sz w:val="24"/>
                <w:highlight w:val="none"/>
                <w:u w:val="none"/>
              </w:rPr>
            </w:pPr>
            <w:r>
              <w:rPr>
                <w:rFonts w:ascii="Times New Roman" w:hAnsi="Times New Roman"/>
                <w:color w:val="000000"/>
                <w:sz w:val="24"/>
                <w:highlight w:val="none"/>
                <w:u w:val="none"/>
              </w:rPr>
              <w:object>
                <v:shape id="_x0000_i1032" o:spt="75" type="#_x0000_t75" style="height:17.25pt;width:18pt;" o:ole="t" filled="f" o:preferrelative="t" stroked="f" coordsize="21600,21600">
                  <v:path/>
                  <v:fill on="f" focussize="0,0"/>
                  <v:stroke on="f"/>
                  <v:imagedata r:id="rId26" o:title=""/>
                  <o:lock v:ext="edit" aspectratio="t"/>
                  <w10:wrap type="none"/>
                  <w10:anchorlock/>
                </v:shape>
                <o:OLEObject Type="Embed" ProgID="Equation.KSEE3" ShapeID="_x0000_i1032" DrawAspect="Content" ObjectID="_1468075732" r:id="rId25">
                  <o:LockedField>false</o:LockedField>
                </o:OLEObject>
              </w:object>
            </w:r>
            <w:r>
              <w:rPr>
                <w:rFonts w:ascii="Times New Roman" w:hAnsi="Times New Roman"/>
                <w:color w:val="000000"/>
                <w:sz w:val="24"/>
                <w:highlight w:val="none"/>
                <w:u w:val="none"/>
              </w:rPr>
              <w:t>：声源在预测点</w:t>
            </w:r>
            <w:commentRangeStart w:id="93"/>
            <w:r>
              <w:rPr>
                <w:rFonts w:ascii="Times New Roman" w:hAnsi="Times New Roman"/>
                <w:color w:val="000000"/>
                <w:sz w:val="24"/>
                <w:highlight w:val="none"/>
                <w:u w:val="none"/>
              </w:rPr>
              <w:t>产生</w:t>
            </w:r>
            <w:commentRangeEnd w:id="93"/>
            <w:r>
              <w:commentReference w:id="93"/>
            </w:r>
            <w:r>
              <w:rPr>
                <w:rFonts w:ascii="Times New Roman" w:hAnsi="Times New Roman"/>
                <w:color w:val="000000"/>
                <w:sz w:val="24"/>
                <w:highlight w:val="none"/>
                <w:u w:val="none"/>
              </w:rPr>
              <w:t>的A声级，dB(A)；</w:t>
            </w:r>
          </w:p>
          <w:p w14:paraId="7BD0B300">
            <w:pPr>
              <w:pStyle w:val="19"/>
              <w:spacing w:after="0" w:line="360" w:lineRule="auto"/>
              <w:ind w:left="0" w:leftChars="0" w:firstLine="1200" w:firstLineChars="500"/>
              <w:rPr>
                <w:rFonts w:ascii="Times New Roman" w:hAnsi="Times New Roman"/>
                <w:color w:val="000000"/>
                <w:sz w:val="24"/>
                <w:highlight w:val="none"/>
                <w:u w:val="none"/>
              </w:rPr>
            </w:pPr>
            <w:r>
              <w:rPr>
                <w:rFonts w:ascii="Times New Roman" w:hAnsi="Times New Roman"/>
                <w:color w:val="000000"/>
                <w:sz w:val="24"/>
                <w:highlight w:val="none"/>
                <w:u w:val="none"/>
              </w:rPr>
              <w:t>T：预测计算的时间段，s；</w:t>
            </w:r>
          </w:p>
          <w:p w14:paraId="6823B219">
            <w:pPr>
              <w:pStyle w:val="19"/>
              <w:spacing w:after="0" w:line="360" w:lineRule="auto"/>
              <w:ind w:left="0" w:leftChars="0" w:firstLine="1200" w:firstLineChars="500"/>
              <w:rPr>
                <w:rFonts w:ascii="Times New Roman" w:hAnsi="Times New Roman"/>
                <w:color w:val="000000"/>
                <w:sz w:val="24"/>
                <w:highlight w:val="none"/>
                <w:u w:val="none"/>
              </w:rPr>
            </w:pPr>
            <w:r>
              <w:rPr>
                <w:rFonts w:ascii="Times New Roman" w:hAnsi="Times New Roman"/>
                <w:color w:val="000000"/>
                <w:sz w:val="24"/>
                <w:highlight w:val="none"/>
                <w:u w:val="none"/>
              </w:rPr>
              <w:t>Ti：i声源在T时段内的运行时间，s。</w:t>
            </w:r>
          </w:p>
          <w:p w14:paraId="06E32AD7">
            <w:pPr>
              <w:pStyle w:val="19"/>
              <w:spacing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②无指向性点声源的几何发散衰减计算公式为：</w:t>
            </w:r>
          </w:p>
          <w:p w14:paraId="3F4A66D3">
            <w:pPr>
              <w:pStyle w:val="19"/>
              <w:spacing w:line="360" w:lineRule="auto"/>
              <w:ind w:left="0" w:leftChars="0" w:firstLine="480"/>
              <w:jc w:val="center"/>
              <w:rPr>
                <w:rFonts w:ascii="Times New Roman" w:hAnsi="Times New Roman"/>
                <w:color w:val="000000"/>
                <w:sz w:val="24"/>
                <w:highlight w:val="none"/>
                <w:u w:val="none"/>
              </w:rPr>
            </w:pPr>
            <w:r>
              <w:rPr>
                <w:rFonts w:ascii="Times New Roman" w:hAnsi="Times New Roman"/>
                <w:color w:val="000000"/>
                <w:sz w:val="24"/>
                <w:highlight w:val="none"/>
                <w:u w:val="none"/>
              </w:rPr>
              <w:t>Lr =L0 -20lg(R/R0)</w:t>
            </w:r>
          </w:p>
          <w:p w14:paraId="135140D0">
            <w:pPr>
              <w:pStyle w:val="19"/>
              <w:spacing w:after="0"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式中：Lr：距噪声源距离为r处声级值，dB(A)；</w:t>
            </w:r>
          </w:p>
          <w:p w14:paraId="359501A7">
            <w:pPr>
              <w:pStyle w:val="19"/>
              <w:spacing w:after="0" w:line="360" w:lineRule="auto"/>
              <w:ind w:left="0" w:leftChars="0" w:firstLine="1200" w:firstLineChars="500"/>
              <w:rPr>
                <w:rFonts w:ascii="Times New Roman" w:hAnsi="Times New Roman"/>
                <w:color w:val="000000"/>
                <w:sz w:val="24"/>
                <w:highlight w:val="none"/>
                <w:u w:val="none"/>
              </w:rPr>
            </w:pPr>
            <w:r>
              <w:rPr>
                <w:rFonts w:ascii="Times New Roman" w:hAnsi="Times New Roman"/>
                <w:color w:val="000000"/>
                <w:sz w:val="24"/>
                <w:highlight w:val="none"/>
                <w:u w:val="none"/>
              </w:rPr>
              <w:t>L</w:t>
            </w:r>
            <w:r>
              <w:rPr>
                <w:rFonts w:ascii="Times New Roman" w:hAnsi="Times New Roman"/>
                <w:color w:val="000000"/>
                <w:sz w:val="24"/>
                <w:highlight w:val="none"/>
                <w:u w:val="none"/>
                <w:vertAlign w:val="subscript"/>
              </w:rPr>
              <w:t>0</w:t>
            </w:r>
            <w:r>
              <w:rPr>
                <w:rFonts w:ascii="Times New Roman" w:hAnsi="Times New Roman"/>
                <w:color w:val="000000"/>
                <w:sz w:val="24"/>
                <w:highlight w:val="none"/>
                <w:u w:val="none"/>
              </w:rPr>
              <w:t>：距噪声源距离为r</w:t>
            </w:r>
            <w:r>
              <w:rPr>
                <w:rFonts w:ascii="Times New Roman" w:hAnsi="Times New Roman"/>
                <w:color w:val="000000"/>
                <w:sz w:val="24"/>
                <w:highlight w:val="none"/>
                <w:u w:val="none"/>
                <w:vertAlign w:val="subscript"/>
              </w:rPr>
              <w:t>0</w:t>
            </w:r>
            <w:r>
              <w:rPr>
                <w:rFonts w:ascii="Times New Roman" w:hAnsi="Times New Roman"/>
                <w:color w:val="000000"/>
                <w:sz w:val="24"/>
                <w:highlight w:val="none"/>
                <w:u w:val="none"/>
              </w:rPr>
              <w:t>处声级值，dB(A)；</w:t>
            </w:r>
          </w:p>
          <w:p w14:paraId="78D15981">
            <w:pPr>
              <w:pStyle w:val="19"/>
              <w:spacing w:after="0" w:line="360" w:lineRule="auto"/>
              <w:ind w:left="0" w:leftChars="0" w:firstLine="1200" w:firstLineChars="500"/>
              <w:rPr>
                <w:rFonts w:ascii="Times New Roman" w:hAnsi="Times New Roman"/>
                <w:color w:val="000000"/>
                <w:sz w:val="24"/>
                <w:highlight w:val="none"/>
                <w:u w:val="none"/>
              </w:rPr>
            </w:pPr>
            <w:r>
              <w:rPr>
                <w:rFonts w:ascii="Times New Roman" w:hAnsi="Times New Roman"/>
                <w:color w:val="000000"/>
                <w:sz w:val="24"/>
                <w:highlight w:val="none"/>
                <w:u w:val="none"/>
              </w:rPr>
              <w:t>R：关心点距噪声源距离，m；</w:t>
            </w:r>
          </w:p>
          <w:p w14:paraId="7A2A2528">
            <w:pPr>
              <w:pStyle w:val="19"/>
              <w:spacing w:after="0" w:line="360" w:lineRule="auto"/>
              <w:ind w:left="0" w:leftChars="0" w:firstLine="1200" w:firstLineChars="500"/>
              <w:rPr>
                <w:rFonts w:ascii="Times New Roman" w:hAnsi="Times New Roman"/>
                <w:color w:val="000000"/>
                <w:sz w:val="24"/>
                <w:highlight w:val="none"/>
                <w:u w:val="none"/>
              </w:rPr>
            </w:pPr>
            <w:r>
              <w:rPr>
                <w:rFonts w:ascii="Times New Roman" w:hAnsi="Times New Roman"/>
                <w:color w:val="000000"/>
                <w:sz w:val="24"/>
                <w:highlight w:val="none"/>
                <w:u w:val="none"/>
              </w:rPr>
              <w:t>r</w:t>
            </w:r>
            <w:r>
              <w:rPr>
                <w:rFonts w:ascii="Times New Roman" w:hAnsi="Times New Roman"/>
                <w:color w:val="000000"/>
                <w:sz w:val="24"/>
                <w:highlight w:val="none"/>
                <w:u w:val="none"/>
                <w:vertAlign w:val="subscript"/>
              </w:rPr>
              <w:t>0</w:t>
            </w:r>
            <w:r>
              <w:rPr>
                <w:rFonts w:ascii="Times New Roman" w:hAnsi="Times New Roman"/>
                <w:color w:val="000000"/>
                <w:sz w:val="24"/>
                <w:highlight w:val="none"/>
                <w:u w:val="none"/>
              </w:rPr>
              <w:t>--距噪声源距离，r</w:t>
            </w:r>
            <w:r>
              <w:rPr>
                <w:rFonts w:ascii="Times New Roman" w:hAnsi="Times New Roman"/>
                <w:color w:val="000000"/>
                <w:sz w:val="24"/>
                <w:highlight w:val="none"/>
                <w:u w:val="none"/>
                <w:vertAlign w:val="subscript"/>
              </w:rPr>
              <w:t>0</w:t>
            </w:r>
            <w:r>
              <w:rPr>
                <w:rFonts w:ascii="Times New Roman" w:hAnsi="Times New Roman"/>
                <w:color w:val="000000"/>
                <w:sz w:val="24"/>
                <w:highlight w:val="none"/>
                <w:u w:val="none"/>
              </w:rPr>
              <w:t>取1m。</w:t>
            </w:r>
          </w:p>
          <w:p w14:paraId="0F4200F9">
            <w:pPr>
              <w:pStyle w:val="19"/>
              <w:spacing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③各预测点声压级按下列公式进行叠加：</w:t>
            </w:r>
          </w:p>
          <w:p w14:paraId="5774CD2B">
            <w:pPr>
              <w:pStyle w:val="19"/>
              <w:spacing w:after="0" w:line="360" w:lineRule="auto"/>
              <w:ind w:left="0" w:leftChars="0" w:firstLine="0" w:firstLineChars="0"/>
              <w:jc w:val="center"/>
              <w:rPr>
                <w:rFonts w:ascii="Times New Roman" w:hAnsi="Times New Roman"/>
                <w:color w:val="000000"/>
                <w:sz w:val="24"/>
                <w:highlight w:val="none"/>
                <w:u w:val="none"/>
              </w:rPr>
            </w:pPr>
            <w:r>
              <w:rPr>
                <w:rFonts w:ascii="Times New Roman" w:hAnsi="Times New Roman"/>
                <w:color w:val="000000"/>
                <w:sz w:val="24"/>
                <w:highlight w:val="none"/>
                <w:u w:val="none"/>
              </w:rPr>
              <w:t>L</w:t>
            </w:r>
            <w:r>
              <w:rPr>
                <w:rFonts w:ascii="Times New Roman" w:hAnsi="Times New Roman"/>
                <w:color w:val="000000"/>
                <w:sz w:val="24"/>
                <w:highlight w:val="none"/>
                <w:u w:val="none"/>
                <w:vertAlign w:val="subscript"/>
              </w:rPr>
              <w:t>总</w:t>
            </w:r>
            <w:r>
              <w:rPr>
                <w:rFonts w:ascii="Times New Roman" w:hAnsi="Times New Roman"/>
                <w:color w:val="000000"/>
                <w:sz w:val="24"/>
                <w:highlight w:val="none"/>
                <w:u w:val="none"/>
              </w:rPr>
              <w:t>= 10lg(∑100.1Li + 100.1Lb)</w:t>
            </w:r>
          </w:p>
          <w:p w14:paraId="3CC49A0E">
            <w:pPr>
              <w:pStyle w:val="19"/>
              <w:spacing w:after="0"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式中：L总——预测点叠加后的总声压级，dB(A)；</w:t>
            </w:r>
          </w:p>
          <w:p w14:paraId="16C50D18">
            <w:pPr>
              <w:pStyle w:val="19"/>
              <w:spacing w:after="0"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 xml:space="preserve">      L</w:t>
            </w:r>
            <w:r>
              <w:rPr>
                <w:rFonts w:ascii="Times New Roman" w:hAnsi="Times New Roman"/>
                <w:color w:val="000000"/>
                <w:sz w:val="24"/>
                <w:highlight w:val="none"/>
                <w:u w:val="none"/>
                <w:vertAlign w:val="subscript"/>
              </w:rPr>
              <w:t>i</w:t>
            </w:r>
            <w:r>
              <w:rPr>
                <w:rFonts w:ascii="Times New Roman" w:hAnsi="Times New Roman"/>
                <w:color w:val="000000"/>
                <w:sz w:val="24"/>
                <w:highlight w:val="none"/>
                <w:u w:val="none"/>
              </w:rPr>
              <w:t xml:space="preserve"> ——第i个声源到预测点处的声压级，dB(A)；</w:t>
            </w:r>
          </w:p>
          <w:p w14:paraId="399BAC4D">
            <w:pPr>
              <w:pStyle w:val="19"/>
              <w:spacing w:after="0"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 xml:space="preserve">      L</w:t>
            </w:r>
            <w:r>
              <w:rPr>
                <w:rFonts w:ascii="Times New Roman" w:hAnsi="Times New Roman"/>
                <w:color w:val="000000"/>
                <w:sz w:val="24"/>
                <w:highlight w:val="none"/>
                <w:u w:val="none"/>
                <w:vertAlign w:val="subscript"/>
              </w:rPr>
              <w:t>b</w:t>
            </w:r>
            <w:r>
              <w:rPr>
                <w:rFonts w:ascii="Times New Roman" w:hAnsi="Times New Roman"/>
                <w:color w:val="000000"/>
                <w:sz w:val="24"/>
                <w:highlight w:val="none"/>
                <w:u w:val="none"/>
              </w:rPr>
              <w:t>——环境噪声本底值，dB(A)；</w:t>
            </w:r>
          </w:p>
          <w:p w14:paraId="7856704F">
            <w:pPr>
              <w:pStyle w:val="19"/>
              <w:spacing w:after="0"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 xml:space="preserve">      n——声源个数。</w:t>
            </w:r>
          </w:p>
          <w:p w14:paraId="765F45F5">
            <w:pPr>
              <w:pStyle w:val="19"/>
              <w:spacing w:after="0"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3.3预测结果及分析</w:t>
            </w:r>
          </w:p>
          <w:p w14:paraId="6FEB3B5D">
            <w:pPr>
              <w:pStyle w:val="19"/>
              <w:spacing w:after="0" w:line="360" w:lineRule="auto"/>
              <w:ind w:left="0" w:leftChars="0" w:firstLine="480"/>
              <w:rPr>
                <w:rFonts w:ascii="Times New Roman" w:hAnsi="Times New Roman"/>
                <w:color w:val="000000"/>
                <w:sz w:val="24"/>
                <w:highlight w:val="none"/>
                <w:u w:val="none"/>
              </w:rPr>
            </w:pPr>
            <w:r>
              <w:rPr>
                <w:rFonts w:ascii="Times New Roman" w:hAnsi="Times New Roman"/>
                <w:color w:val="000000"/>
                <w:sz w:val="24"/>
                <w:highlight w:val="none"/>
                <w:u w:val="none"/>
              </w:rPr>
              <w:t>本项目生产噪声对四周厂界</w:t>
            </w:r>
            <w:r>
              <w:rPr>
                <w:rFonts w:hint="eastAsia" w:ascii="Times New Roman" w:hAnsi="Times New Roman"/>
                <w:color w:val="000000"/>
                <w:sz w:val="24"/>
                <w:highlight w:val="none"/>
                <w:u w:val="none"/>
              </w:rPr>
              <w:t>及周边环境敏感点</w:t>
            </w:r>
            <w:r>
              <w:rPr>
                <w:rFonts w:ascii="Times New Roman" w:hAnsi="Times New Roman"/>
                <w:color w:val="000000"/>
                <w:sz w:val="24"/>
                <w:highlight w:val="none"/>
                <w:u w:val="none"/>
              </w:rPr>
              <w:t>的噪声预测结果见下表。</w:t>
            </w:r>
          </w:p>
          <w:p w14:paraId="5D1C590C">
            <w:pPr>
              <w:pStyle w:val="18"/>
              <w:spacing w:after="0" w:line="360" w:lineRule="auto"/>
              <w:ind w:firstLine="0" w:firstLineChars="0"/>
              <w:jc w:val="center"/>
              <w:rPr>
                <w:b/>
                <w:bCs/>
                <w:color w:val="000000"/>
                <w:sz w:val="24"/>
                <w:szCs w:val="24"/>
                <w:highlight w:val="none"/>
                <w:u w:val="none"/>
              </w:rPr>
            </w:pPr>
            <w:r>
              <w:rPr>
                <w:b/>
                <w:bCs/>
                <w:color w:val="000000"/>
                <w:sz w:val="24"/>
                <w:szCs w:val="24"/>
                <w:highlight w:val="none"/>
                <w:u w:val="none"/>
              </w:rPr>
              <w:t>表</w:t>
            </w:r>
            <w:r>
              <w:rPr>
                <w:rFonts w:hint="eastAsia"/>
                <w:b/>
                <w:bCs/>
                <w:color w:val="000000"/>
                <w:sz w:val="24"/>
                <w:szCs w:val="24"/>
                <w:highlight w:val="none"/>
                <w:u w:val="none"/>
              </w:rPr>
              <w:t>4-1</w:t>
            </w:r>
            <w:r>
              <w:rPr>
                <w:rFonts w:hint="eastAsia"/>
                <w:b/>
                <w:bCs/>
                <w:color w:val="000000"/>
                <w:sz w:val="24"/>
                <w:szCs w:val="24"/>
                <w:highlight w:val="none"/>
                <w:u w:val="none"/>
                <w:lang w:val="en-US" w:eastAsia="zh-CN"/>
              </w:rPr>
              <w:t>9</w:t>
            </w:r>
            <w:r>
              <w:rPr>
                <w:rFonts w:hint="eastAsia"/>
                <w:b/>
                <w:bCs/>
                <w:color w:val="000000"/>
                <w:sz w:val="24"/>
                <w:szCs w:val="24"/>
                <w:highlight w:val="none"/>
                <w:u w:val="none"/>
              </w:rPr>
              <w:t xml:space="preserve">  </w:t>
            </w:r>
            <w:r>
              <w:rPr>
                <w:b/>
                <w:bCs/>
                <w:color w:val="000000"/>
                <w:sz w:val="24"/>
                <w:szCs w:val="24"/>
                <w:highlight w:val="none"/>
                <w:u w:val="none"/>
              </w:rPr>
              <w:t>各厂界噪声贡献值结果统计表</w:t>
            </w:r>
          </w:p>
          <w:tbl>
            <w:tblPr>
              <w:tblStyle w:val="2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
              <w:gridCol w:w="2032"/>
              <w:gridCol w:w="1441"/>
              <w:gridCol w:w="1569"/>
              <w:gridCol w:w="2163"/>
              <w:gridCol w:w="1967"/>
              <w:gridCol w:w="1967"/>
              <w:gridCol w:w="1397"/>
            </w:tblGrid>
            <w:tr w14:paraId="7BDB4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noWrap w:val="0"/>
                  <w:vAlign w:val="center"/>
                </w:tcPr>
                <w:p w14:paraId="6EB9F8CD">
                  <w:pPr>
                    <w:jc w:val="center"/>
                    <w:rPr>
                      <w:bCs/>
                      <w:color w:val="000000"/>
                      <w:szCs w:val="21"/>
                      <w:highlight w:val="none"/>
                      <w:u w:val="none"/>
                    </w:rPr>
                  </w:pPr>
                  <w:r>
                    <w:rPr>
                      <w:color w:val="000000"/>
                      <w:szCs w:val="21"/>
                      <w:highlight w:val="none"/>
                      <w:u w:val="none"/>
                    </w:rPr>
                    <w:t>评价点</w:t>
                  </w:r>
                </w:p>
              </w:tc>
              <w:tc>
                <w:tcPr>
                  <w:tcW w:w="746" w:type="pct"/>
                  <w:noWrap w:val="0"/>
                  <w:vAlign w:val="center"/>
                </w:tcPr>
                <w:p w14:paraId="7A8BB5FF">
                  <w:pPr>
                    <w:jc w:val="center"/>
                    <w:rPr>
                      <w:color w:val="000000"/>
                      <w:szCs w:val="21"/>
                      <w:highlight w:val="none"/>
                      <w:u w:val="none"/>
                    </w:rPr>
                  </w:pPr>
                  <w:r>
                    <w:rPr>
                      <w:color w:val="000000"/>
                      <w:szCs w:val="21"/>
                      <w:highlight w:val="none"/>
                      <w:u w:val="none"/>
                    </w:rPr>
                    <w:t>污染源名称</w:t>
                  </w:r>
                </w:p>
              </w:tc>
              <w:tc>
                <w:tcPr>
                  <w:tcW w:w="529" w:type="pct"/>
                  <w:noWrap w:val="0"/>
                  <w:vAlign w:val="center"/>
                </w:tcPr>
                <w:p w14:paraId="11E25BAA">
                  <w:pPr>
                    <w:jc w:val="center"/>
                    <w:rPr>
                      <w:color w:val="000000"/>
                      <w:spacing w:val="-20"/>
                      <w:szCs w:val="21"/>
                      <w:highlight w:val="none"/>
                      <w:u w:val="none"/>
                    </w:rPr>
                  </w:pPr>
                  <w:r>
                    <w:rPr>
                      <w:color w:val="000000"/>
                      <w:spacing w:val="-20"/>
                      <w:szCs w:val="21"/>
                      <w:highlight w:val="none"/>
                      <w:u w:val="none"/>
                    </w:rPr>
                    <w:t>源强dB（A）</w:t>
                  </w:r>
                </w:p>
              </w:tc>
              <w:tc>
                <w:tcPr>
                  <w:tcW w:w="576" w:type="pct"/>
                  <w:noWrap w:val="0"/>
                  <w:vAlign w:val="center"/>
                </w:tcPr>
                <w:p w14:paraId="21995822">
                  <w:pPr>
                    <w:jc w:val="center"/>
                    <w:rPr>
                      <w:color w:val="000000"/>
                      <w:spacing w:val="-20"/>
                      <w:szCs w:val="21"/>
                      <w:highlight w:val="none"/>
                      <w:u w:val="none"/>
                    </w:rPr>
                  </w:pPr>
                  <w:r>
                    <w:rPr>
                      <w:color w:val="000000"/>
                      <w:szCs w:val="21"/>
                      <w:highlight w:val="none"/>
                      <w:u w:val="none"/>
                    </w:rPr>
                    <w:t>衰减距离</w:t>
                  </w:r>
                  <w:r>
                    <w:rPr>
                      <w:color w:val="000000"/>
                      <w:spacing w:val="-20"/>
                      <w:szCs w:val="21"/>
                      <w:highlight w:val="none"/>
                      <w:u w:val="none"/>
                    </w:rPr>
                    <w:t>（m</w:t>
                  </w:r>
                  <w:r>
                    <w:rPr>
                      <w:color w:val="000000"/>
                      <w:szCs w:val="21"/>
                      <w:highlight w:val="none"/>
                      <w:u w:val="none"/>
                    </w:rPr>
                    <w:t>）</w:t>
                  </w:r>
                </w:p>
              </w:tc>
              <w:tc>
                <w:tcPr>
                  <w:tcW w:w="794" w:type="pct"/>
                  <w:noWrap w:val="0"/>
                  <w:vAlign w:val="center"/>
                </w:tcPr>
                <w:p w14:paraId="33B237E2">
                  <w:pPr>
                    <w:jc w:val="center"/>
                    <w:rPr>
                      <w:color w:val="000000"/>
                      <w:szCs w:val="21"/>
                      <w:highlight w:val="none"/>
                      <w:u w:val="none"/>
                    </w:rPr>
                  </w:pPr>
                  <w:r>
                    <w:rPr>
                      <w:color w:val="000000"/>
                      <w:szCs w:val="21"/>
                      <w:highlight w:val="none"/>
                      <w:u w:val="none"/>
                    </w:rPr>
                    <w:t>预测点位影响值</w:t>
                  </w:r>
                  <w:r>
                    <w:rPr>
                      <w:color w:val="000000"/>
                      <w:spacing w:val="-20"/>
                      <w:szCs w:val="21"/>
                      <w:highlight w:val="none"/>
                      <w:u w:val="none"/>
                    </w:rPr>
                    <w:t>dB（A）</w:t>
                  </w:r>
                </w:p>
              </w:tc>
              <w:tc>
                <w:tcPr>
                  <w:tcW w:w="722" w:type="pct"/>
                  <w:noWrap w:val="0"/>
                  <w:vAlign w:val="center"/>
                </w:tcPr>
                <w:p w14:paraId="2EBCB1AD">
                  <w:pPr>
                    <w:jc w:val="center"/>
                    <w:rPr>
                      <w:rFonts w:hint="eastAsia"/>
                      <w:color w:val="000000"/>
                      <w:szCs w:val="21"/>
                      <w:highlight w:val="none"/>
                      <w:u w:val="none"/>
                    </w:rPr>
                  </w:pPr>
                  <w:r>
                    <w:rPr>
                      <w:rFonts w:hint="eastAsia"/>
                      <w:color w:val="000000"/>
                      <w:szCs w:val="21"/>
                      <w:highlight w:val="none"/>
                      <w:u w:val="none"/>
                    </w:rPr>
                    <w:t>现状值</w:t>
                  </w:r>
                </w:p>
                <w:p w14:paraId="15508B05">
                  <w:pPr>
                    <w:jc w:val="center"/>
                    <w:rPr>
                      <w:color w:val="000000"/>
                      <w:szCs w:val="21"/>
                      <w:highlight w:val="none"/>
                      <w:u w:val="none"/>
                    </w:rPr>
                  </w:pPr>
                  <w:r>
                    <w:rPr>
                      <w:color w:val="000000"/>
                      <w:szCs w:val="21"/>
                      <w:highlight w:val="none"/>
                      <w:u w:val="none"/>
                    </w:rPr>
                    <w:t>dB（A）</w:t>
                  </w:r>
                </w:p>
              </w:tc>
              <w:tc>
                <w:tcPr>
                  <w:tcW w:w="722" w:type="pct"/>
                  <w:noWrap w:val="0"/>
                  <w:vAlign w:val="center"/>
                </w:tcPr>
                <w:p w14:paraId="5FD14278">
                  <w:pPr>
                    <w:jc w:val="center"/>
                    <w:rPr>
                      <w:color w:val="000000"/>
                      <w:szCs w:val="21"/>
                      <w:highlight w:val="none"/>
                      <w:u w:val="none"/>
                    </w:rPr>
                  </w:pPr>
                  <w:r>
                    <w:rPr>
                      <w:color w:val="000000"/>
                      <w:szCs w:val="21"/>
                      <w:highlight w:val="none"/>
                      <w:u w:val="none"/>
                    </w:rPr>
                    <w:t>贡献叠加值</w:t>
                  </w:r>
                </w:p>
                <w:p w14:paraId="58C39234">
                  <w:pPr>
                    <w:jc w:val="center"/>
                    <w:rPr>
                      <w:color w:val="000000"/>
                      <w:szCs w:val="21"/>
                      <w:highlight w:val="none"/>
                      <w:u w:val="none"/>
                    </w:rPr>
                  </w:pPr>
                  <w:r>
                    <w:rPr>
                      <w:color w:val="000000"/>
                      <w:szCs w:val="21"/>
                      <w:highlight w:val="none"/>
                      <w:u w:val="none"/>
                    </w:rPr>
                    <w:t>dB（A）</w:t>
                  </w:r>
                </w:p>
              </w:tc>
              <w:tc>
                <w:tcPr>
                  <w:tcW w:w="513" w:type="pct"/>
                  <w:noWrap w:val="0"/>
                  <w:vAlign w:val="center"/>
                </w:tcPr>
                <w:p w14:paraId="30B49C9D">
                  <w:pPr>
                    <w:jc w:val="center"/>
                    <w:rPr>
                      <w:color w:val="000000"/>
                      <w:szCs w:val="21"/>
                      <w:highlight w:val="none"/>
                      <w:u w:val="none"/>
                    </w:rPr>
                  </w:pPr>
                  <w:r>
                    <w:rPr>
                      <w:color w:val="000000"/>
                      <w:szCs w:val="21"/>
                      <w:highlight w:val="none"/>
                      <w:u w:val="none"/>
                    </w:rPr>
                    <w:t>标准值</w:t>
                  </w:r>
                </w:p>
              </w:tc>
            </w:tr>
            <w:tr w14:paraId="43A1E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noWrap w:val="0"/>
                  <w:vAlign w:val="center"/>
                </w:tcPr>
                <w:p w14:paraId="71B973B6">
                  <w:pPr>
                    <w:autoSpaceDE w:val="0"/>
                    <w:autoSpaceDN w:val="0"/>
                    <w:adjustRightInd w:val="0"/>
                    <w:jc w:val="center"/>
                    <w:rPr>
                      <w:bCs/>
                      <w:color w:val="000000"/>
                      <w:szCs w:val="21"/>
                      <w:highlight w:val="none"/>
                      <w:u w:val="none"/>
                    </w:rPr>
                  </w:pPr>
                  <w:r>
                    <w:rPr>
                      <w:color w:val="000000"/>
                      <w:szCs w:val="21"/>
                      <w:highlight w:val="none"/>
                      <w:u w:val="none"/>
                      <w:lang w:val="zh-CN"/>
                    </w:rPr>
                    <w:t>东厂界</w:t>
                  </w:r>
                </w:p>
              </w:tc>
              <w:tc>
                <w:tcPr>
                  <w:tcW w:w="746" w:type="pct"/>
                  <w:shd w:val="clear" w:color="auto" w:fill="auto"/>
                  <w:noWrap w:val="0"/>
                  <w:vAlign w:val="center"/>
                </w:tcPr>
                <w:p w14:paraId="1B9DCA05">
                  <w:pPr>
                    <w:pStyle w:val="19"/>
                    <w:spacing w:after="0"/>
                    <w:ind w:left="0" w:leftChars="0" w:firstLine="0" w:firstLineChars="0"/>
                    <w:jc w:val="center"/>
                    <w:rPr>
                      <w:rFonts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生产车间</w:t>
                  </w:r>
                </w:p>
              </w:tc>
              <w:tc>
                <w:tcPr>
                  <w:tcW w:w="529" w:type="pct"/>
                  <w:shd w:val="clear" w:color="auto" w:fill="auto"/>
                  <w:noWrap w:val="0"/>
                  <w:vAlign w:val="center"/>
                </w:tcPr>
                <w:p w14:paraId="3AF2C199">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37.4</w:t>
                  </w:r>
                </w:p>
              </w:tc>
              <w:tc>
                <w:tcPr>
                  <w:tcW w:w="576" w:type="pct"/>
                  <w:noWrap w:val="0"/>
                  <w:vAlign w:val="center"/>
                </w:tcPr>
                <w:p w14:paraId="2F66E583">
                  <w:pPr>
                    <w:widowControl/>
                    <w:jc w:val="center"/>
                    <w:textAlignment w:val="center"/>
                    <w:rPr>
                      <w:rFonts w:hint="default" w:eastAsia="宋体"/>
                      <w:color w:val="000000"/>
                      <w:szCs w:val="21"/>
                      <w:highlight w:val="none"/>
                      <w:u w:val="none"/>
                      <w:lang w:val="en-US" w:eastAsia="zh-CN"/>
                    </w:rPr>
                  </w:pPr>
                  <w:r>
                    <w:rPr>
                      <w:rFonts w:hint="eastAsia"/>
                      <w:color w:val="000000"/>
                      <w:szCs w:val="21"/>
                      <w:highlight w:val="none"/>
                      <w:u w:val="none"/>
                      <w:lang w:val="en-US" w:eastAsia="zh-CN"/>
                    </w:rPr>
                    <w:t>/</w:t>
                  </w:r>
                </w:p>
              </w:tc>
              <w:tc>
                <w:tcPr>
                  <w:tcW w:w="2163" w:type="dxa"/>
                  <w:noWrap w:val="0"/>
                  <w:vAlign w:val="center"/>
                </w:tcPr>
                <w:p w14:paraId="566AAAB7">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eastAsia" w:cs="Times New Roman"/>
                      <w:i w:val="0"/>
                      <w:iCs w:val="0"/>
                      <w:color w:val="000000"/>
                      <w:kern w:val="0"/>
                      <w:sz w:val="21"/>
                      <w:szCs w:val="21"/>
                      <w:highlight w:val="none"/>
                      <w:u w:val="none"/>
                      <w:lang w:val="en-US" w:eastAsia="zh-CN" w:bidi="ar"/>
                    </w:rPr>
                    <w:t>37.4</w:t>
                  </w:r>
                </w:p>
              </w:tc>
              <w:tc>
                <w:tcPr>
                  <w:tcW w:w="722" w:type="pct"/>
                  <w:noWrap w:val="0"/>
                  <w:vAlign w:val="center"/>
                </w:tcPr>
                <w:p w14:paraId="156202E3">
                  <w:pPr>
                    <w:widowControl/>
                    <w:jc w:val="center"/>
                    <w:textAlignment w:val="center"/>
                    <w:rPr>
                      <w:rFonts w:hint="eastAsia" w:eastAsia="宋体"/>
                      <w:color w:val="000000"/>
                      <w:kern w:val="0"/>
                      <w:szCs w:val="21"/>
                      <w:highlight w:val="none"/>
                      <w:u w:val="none"/>
                      <w:lang w:val="en-US" w:eastAsia="zh-CN" w:bidi="ar"/>
                    </w:rPr>
                  </w:pPr>
                  <w:r>
                    <w:rPr>
                      <w:rFonts w:hint="eastAsia"/>
                      <w:color w:val="000000"/>
                      <w:kern w:val="0"/>
                      <w:szCs w:val="21"/>
                      <w:highlight w:val="none"/>
                      <w:u w:val="none"/>
                      <w:lang w:val="en-US" w:eastAsia="zh-CN" w:bidi="ar"/>
                    </w:rPr>
                    <w:t>/</w:t>
                  </w:r>
                </w:p>
              </w:tc>
              <w:tc>
                <w:tcPr>
                  <w:tcW w:w="1967" w:type="dxa"/>
                  <w:noWrap w:val="0"/>
                  <w:vAlign w:val="center"/>
                </w:tcPr>
                <w:p w14:paraId="09B21946">
                  <w:pPr>
                    <w:keepNext w:val="0"/>
                    <w:keepLines w:val="0"/>
                    <w:widowControl/>
                    <w:suppressLineNumbers w:val="0"/>
                    <w:jc w:val="center"/>
                    <w:textAlignment w:val="center"/>
                    <w:rPr>
                      <w:rFonts w:hint="default" w:eastAsia="宋体"/>
                      <w:bCs/>
                      <w:color w:val="000000"/>
                      <w:szCs w:val="21"/>
                      <w:highlight w:val="none"/>
                      <w:u w:val="none"/>
                      <w:lang w:val="en-US" w:eastAsia="zh-CN"/>
                    </w:rPr>
                  </w:pPr>
                  <w:r>
                    <w:rPr>
                      <w:rFonts w:hint="eastAsia" w:cs="Times New Roman"/>
                      <w:i w:val="0"/>
                      <w:iCs w:val="0"/>
                      <w:color w:val="000000"/>
                      <w:kern w:val="0"/>
                      <w:sz w:val="21"/>
                      <w:szCs w:val="21"/>
                      <w:highlight w:val="none"/>
                      <w:u w:val="none"/>
                      <w:lang w:val="en-US" w:eastAsia="zh-CN" w:bidi="ar"/>
                    </w:rPr>
                    <w:t>37.4</w:t>
                  </w:r>
                </w:p>
              </w:tc>
              <w:tc>
                <w:tcPr>
                  <w:tcW w:w="513" w:type="pct"/>
                  <w:noWrap w:val="0"/>
                  <w:vAlign w:val="center"/>
                </w:tcPr>
                <w:p w14:paraId="2CA80EBA">
                  <w:pPr>
                    <w:jc w:val="center"/>
                    <w:rPr>
                      <w:rFonts w:hint="default" w:eastAsia="宋体"/>
                      <w:bCs/>
                      <w:color w:val="000000"/>
                      <w:szCs w:val="21"/>
                      <w:highlight w:val="none"/>
                      <w:u w:val="none"/>
                      <w:lang w:val="en-US" w:eastAsia="zh-CN"/>
                    </w:rPr>
                  </w:pPr>
                  <w:r>
                    <w:rPr>
                      <w:bCs/>
                      <w:color w:val="000000"/>
                      <w:szCs w:val="21"/>
                      <w:highlight w:val="none"/>
                      <w:u w:val="none"/>
                    </w:rPr>
                    <w:t>60</w:t>
                  </w:r>
                </w:p>
              </w:tc>
            </w:tr>
            <w:tr w14:paraId="18BB6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noWrap w:val="0"/>
                  <w:vAlign w:val="center"/>
                </w:tcPr>
                <w:p w14:paraId="35CE82F6">
                  <w:pPr>
                    <w:autoSpaceDE w:val="0"/>
                    <w:autoSpaceDN w:val="0"/>
                    <w:adjustRightInd w:val="0"/>
                    <w:jc w:val="center"/>
                    <w:rPr>
                      <w:bCs/>
                      <w:color w:val="000000"/>
                      <w:szCs w:val="21"/>
                      <w:highlight w:val="none"/>
                      <w:u w:val="none"/>
                    </w:rPr>
                  </w:pPr>
                  <w:r>
                    <w:rPr>
                      <w:rFonts w:hint="eastAsia"/>
                      <w:color w:val="000000"/>
                      <w:szCs w:val="21"/>
                      <w:highlight w:val="none"/>
                      <w:u w:val="none"/>
                    </w:rPr>
                    <w:t>南</w:t>
                  </w:r>
                  <w:r>
                    <w:rPr>
                      <w:color w:val="000000"/>
                      <w:szCs w:val="21"/>
                      <w:highlight w:val="none"/>
                      <w:u w:val="none"/>
                      <w:lang w:val="zh-CN"/>
                    </w:rPr>
                    <w:t>厂界</w:t>
                  </w:r>
                </w:p>
              </w:tc>
              <w:tc>
                <w:tcPr>
                  <w:tcW w:w="746" w:type="pct"/>
                  <w:shd w:val="clear" w:color="auto" w:fill="auto"/>
                  <w:noWrap w:val="0"/>
                  <w:vAlign w:val="center"/>
                </w:tcPr>
                <w:p w14:paraId="70FF300D">
                  <w:pPr>
                    <w:pStyle w:val="19"/>
                    <w:spacing w:after="0"/>
                    <w:ind w:left="0" w:leftChars="0" w:firstLine="0" w:firstLineChars="0"/>
                    <w:jc w:val="center"/>
                    <w:rPr>
                      <w:rFonts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生产车间</w:t>
                  </w:r>
                </w:p>
              </w:tc>
              <w:tc>
                <w:tcPr>
                  <w:tcW w:w="529" w:type="pct"/>
                  <w:shd w:val="clear" w:color="auto" w:fill="auto"/>
                  <w:noWrap w:val="0"/>
                  <w:vAlign w:val="center"/>
                </w:tcPr>
                <w:p w14:paraId="22EFD21B">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48.9</w:t>
                  </w:r>
                </w:p>
              </w:tc>
              <w:tc>
                <w:tcPr>
                  <w:tcW w:w="576" w:type="pct"/>
                  <w:noWrap w:val="0"/>
                  <w:vAlign w:val="center"/>
                </w:tcPr>
                <w:p w14:paraId="34C6E548">
                  <w:pPr>
                    <w:widowControl/>
                    <w:jc w:val="center"/>
                    <w:textAlignment w:val="center"/>
                    <w:rPr>
                      <w:rFonts w:hint="default" w:eastAsia="宋体"/>
                      <w:color w:val="000000"/>
                      <w:szCs w:val="21"/>
                      <w:highlight w:val="none"/>
                      <w:u w:val="none"/>
                      <w:lang w:val="en-US" w:eastAsia="zh-CN"/>
                    </w:rPr>
                  </w:pPr>
                  <w:r>
                    <w:rPr>
                      <w:rFonts w:hint="eastAsia"/>
                      <w:color w:val="000000"/>
                      <w:szCs w:val="21"/>
                      <w:highlight w:val="none"/>
                      <w:u w:val="none"/>
                      <w:lang w:val="en-US" w:eastAsia="zh-CN"/>
                    </w:rPr>
                    <w:t>/</w:t>
                  </w:r>
                </w:p>
              </w:tc>
              <w:tc>
                <w:tcPr>
                  <w:tcW w:w="2163" w:type="dxa"/>
                  <w:noWrap w:val="0"/>
                  <w:vAlign w:val="center"/>
                </w:tcPr>
                <w:p w14:paraId="0B0781CC">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eastAsia" w:cs="Times New Roman"/>
                      <w:i w:val="0"/>
                      <w:iCs w:val="0"/>
                      <w:color w:val="000000"/>
                      <w:kern w:val="0"/>
                      <w:sz w:val="21"/>
                      <w:szCs w:val="21"/>
                      <w:highlight w:val="none"/>
                      <w:u w:val="none"/>
                      <w:lang w:val="en-US" w:eastAsia="zh-CN" w:bidi="ar"/>
                    </w:rPr>
                    <w:t>48.9</w:t>
                  </w:r>
                </w:p>
              </w:tc>
              <w:tc>
                <w:tcPr>
                  <w:tcW w:w="722" w:type="pct"/>
                  <w:noWrap w:val="0"/>
                  <w:vAlign w:val="center"/>
                </w:tcPr>
                <w:p w14:paraId="39C9371F">
                  <w:pPr>
                    <w:widowControl/>
                    <w:jc w:val="center"/>
                    <w:textAlignment w:val="center"/>
                    <w:rPr>
                      <w:rFonts w:hint="eastAsia" w:eastAsia="宋体"/>
                      <w:color w:val="000000"/>
                      <w:kern w:val="0"/>
                      <w:szCs w:val="21"/>
                      <w:highlight w:val="none"/>
                      <w:u w:val="none"/>
                      <w:lang w:val="en-US" w:eastAsia="zh-CN" w:bidi="ar"/>
                    </w:rPr>
                  </w:pPr>
                  <w:r>
                    <w:rPr>
                      <w:rFonts w:hint="eastAsia"/>
                      <w:color w:val="000000"/>
                      <w:kern w:val="0"/>
                      <w:szCs w:val="21"/>
                      <w:highlight w:val="none"/>
                      <w:u w:val="none"/>
                      <w:lang w:val="en-US" w:eastAsia="zh-CN" w:bidi="ar"/>
                    </w:rPr>
                    <w:t>/</w:t>
                  </w:r>
                </w:p>
              </w:tc>
              <w:tc>
                <w:tcPr>
                  <w:tcW w:w="1967" w:type="dxa"/>
                  <w:noWrap w:val="0"/>
                  <w:vAlign w:val="center"/>
                </w:tcPr>
                <w:p w14:paraId="17E46271">
                  <w:pPr>
                    <w:keepNext w:val="0"/>
                    <w:keepLines w:val="0"/>
                    <w:widowControl/>
                    <w:suppressLineNumbers w:val="0"/>
                    <w:jc w:val="center"/>
                    <w:textAlignment w:val="center"/>
                    <w:rPr>
                      <w:rFonts w:hint="default" w:eastAsia="宋体"/>
                      <w:bCs/>
                      <w:color w:val="000000"/>
                      <w:szCs w:val="21"/>
                      <w:highlight w:val="none"/>
                      <w:u w:val="none"/>
                      <w:lang w:val="en-US" w:eastAsia="zh-CN"/>
                    </w:rPr>
                  </w:pPr>
                  <w:r>
                    <w:rPr>
                      <w:rFonts w:hint="eastAsia" w:cs="Times New Roman"/>
                      <w:i w:val="0"/>
                      <w:iCs w:val="0"/>
                      <w:color w:val="000000"/>
                      <w:kern w:val="0"/>
                      <w:sz w:val="21"/>
                      <w:szCs w:val="21"/>
                      <w:highlight w:val="none"/>
                      <w:u w:val="none"/>
                      <w:lang w:val="en-US" w:eastAsia="zh-CN" w:bidi="ar"/>
                    </w:rPr>
                    <w:t>48.9</w:t>
                  </w:r>
                </w:p>
              </w:tc>
              <w:tc>
                <w:tcPr>
                  <w:tcW w:w="513" w:type="pct"/>
                  <w:noWrap w:val="0"/>
                  <w:vAlign w:val="center"/>
                </w:tcPr>
                <w:p w14:paraId="4DF07A6C">
                  <w:pPr>
                    <w:jc w:val="center"/>
                    <w:rPr>
                      <w:rFonts w:hint="eastAsia"/>
                      <w:bCs/>
                      <w:color w:val="000000"/>
                      <w:szCs w:val="21"/>
                      <w:highlight w:val="none"/>
                      <w:u w:val="none"/>
                      <w:lang w:val="en-US" w:eastAsia="zh-CN"/>
                    </w:rPr>
                  </w:pPr>
                  <w:r>
                    <w:rPr>
                      <w:bCs/>
                      <w:color w:val="000000"/>
                      <w:szCs w:val="21"/>
                      <w:highlight w:val="none"/>
                      <w:u w:val="none"/>
                    </w:rPr>
                    <w:t>60</w:t>
                  </w:r>
                </w:p>
              </w:tc>
            </w:tr>
            <w:tr w14:paraId="3649C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noWrap w:val="0"/>
                  <w:vAlign w:val="center"/>
                </w:tcPr>
                <w:p w14:paraId="066B4F6B">
                  <w:pPr>
                    <w:autoSpaceDE w:val="0"/>
                    <w:autoSpaceDN w:val="0"/>
                    <w:adjustRightInd w:val="0"/>
                    <w:jc w:val="center"/>
                    <w:rPr>
                      <w:bCs/>
                      <w:color w:val="000000"/>
                      <w:szCs w:val="21"/>
                      <w:highlight w:val="none"/>
                      <w:u w:val="none"/>
                    </w:rPr>
                  </w:pPr>
                  <w:r>
                    <w:rPr>
                      <w:rFonts w:hint="eastAsia"/>
                      <w:color w:val="000000"/>
                      <w:szCs w:val="21"/>
                      <w:highlight w:val="none"/>
                      <w:u w:val="none"/>
                    </w:rPr>
                    <w:t>西</w:t>
                  </w:r>
                  <w:r>
                    <w:rPr>
                      <w:color w:val="000000"/>
                      <w:szCs w:val="21"/>
                      <w:highlight w:val="none"/>
                      <w:u w:val="none"/>
                      <w:lang w:val="zh-CN"/>
                    </w:rPr>
                    <w:t>厂界</w:t>
                  </w:r>
                </w:p>
              </w:tc>
              <w:tc>
                <w:tcPr>
                  <w:tcW w:w="746" w:type="pct"/>
                  <w:shd w:val="clear" w:color="auto" w:fill="auto"/>
                  <w:noWrap w:val="0"/>
                  <w:vAlign w:val="center"/>
                </w:tcPr>
                <w:p w14:paraId="64BB4CB0">
                  <w:pPr>
                    <w:pStyle w:val="19"/>
                    <w:spacing w:after="0"/>
                    <w:ind w:left="0" w:leftChars="0" w:firstLine="0" w:firstLineChars="0"/>
                    <w:jc w:val="center"/>
                    <w:rPr>
                      <w:rFonts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生产车间</w:t>
                  </w:r>
                </w:p>
              </w:tc>
              <w:tc>
                <w:tcPr>
                  <w:tcW w:w="529" w:type="pct"/>
                  <w:shd w:val="clear" w:color="auto" w:fill="auto"/>
                  <w:noWrap w:val="0"/>
                  <w:vAlign w:val="center"/>
                </w:tcPr>
                <w:p w14:paraId="0633E1C2">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36.4</w:t>
                  </w:r>
                </w:p>
              </w:tc>
              <w:tc>
                <w:tcPr>
                  <w:tcW w:w="576" w:type="pct"/>
                  <w:noWrap w:val="0"/>
                  <w:vAlign w:val="center"/>
                </w:tcPr>
                <w:p w14:paraId="79C959F6">
                  <w:pPr>
                    <w:widowControl/>
                    <w:jc w:val="center"/>
                    <w:textAlignment w:val="center"/>
                    <w:rPr>
                      <w:rFonts w:hint="default" w:eastAsia="宋体"/>
                      <w:color w:val="000000"/>
                      <w:szCs w:val="21"/>
                      <w:highlight w:val="none"/>
                      <w:u w:val="none"/>
                      <w:lang w:val="en-US" w:eastAsia="zh-CN"/>
                    </w:rPr>
                  </w:pPr>
                  <w:r>
                    <w:rPr>
                      <w:rFonts w:hint="eastAsia"/>
                      <w:color w:val="000000"/>
                      <w:szCs w:val="21"/>
                      <w:highlight w:val="none"/>
                      <w:u w:val="none"/>
                      <w:lang w:val="en-US" w:eastAsia="zh-CN"/>
                    </w:rPr>
                    <w:t>/</w:t>
                  </w:r>
                </w:p>
              </w:tc>
              <w:tc>
                <w:tcPr>
                  <w:tcW w:w="2163" w:type="dxa"/>
                  <w:noWrap w:val="0"/>
                  <w:vAlign w:val="center"/>
                </w:tcPr>
                <w:p w14:paraId="1B6C8787">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eastAsia" w:cs="Times New Roman"/>
                      <w:i w:val="0"/>
                      <w:iCs w:val="0"/>
                      <w:color w:val="000000"/>
                      <w:kern w:val="0"/>
                      <w:sz w:val="21"/>
                      <w:szCs w:val="21"/>
                      <w:highlight w:val="none"/>
                      <w:u w:val="none"/>
                      <w:lang w:val="en-US" w:eastAsia="zh-CN" w:bidi="ar"/>
                    </w:rPr>
                    <w:t>36.4</w:t>
                  </w:r>
                </w:p>
              </w:tc>
              <w:tc>
                <w:tcPr>
                  <w:tcW w:w="722" w:type="pct"/>
                  <w:noWrap w:val="0"/>
                  <w:vAlign w:val="center"/>
                </w:tcPr>
                <w:p w14:paraId="27C4EDD3">
                  <w:pPr>
                    <w:widowControl/>
                    <w:jc w:val="center"/>
                    <w:textAlignment w:val="center"/>
                    <w:rPr>
                      <w:rFonts w:hint="eastAsia" w:eastAsia="宋体"/>
                      <w:color w:val="000000"/>
                      <w:kern w:val="0"/>
                      <w:szCs w:val="21"/>
                      <w:highlight w:val="none"/>
                      <w:u w:val="none"/>
                      <w:lang w:val="en-US" w:eastAsia="zh-CN" w:bidi="ar"/>
                    </w:rPr>
                  </w:pPr>
                  <w:r>
                    <w:rPr>
                      <w:rFonts w:hint="eastAsia"/>
                      <w:color w:val="000000"/>
                      <w:kern w:val="0"/>
                      <w:szCs w:val="21"/>
                      <w:highlight w:val="none"/>
                      <w:u w:val="none"/>
                      <w:lang w:val="en-US" w:eastAsia="zh-CN" w:bidi="ar"/>
                    </w:rPr>
                    <w:t>/</w:t>
                  </w:r>
                </w:p>
              </w:tc>
              <w:tc>
                <w:tcPr>
                  <w:tcW w:w="1967" w:type="dxa"/>
                  <w:noWrap w:val="0"/>
                  <w:vAlign w:val="center"/>
                </w:tcPr>
                <w:p w14:paraId="74737C6E">
                  <w:pPr>
                    <w:keepNext w:val="0"/>
                    <w:keepLines w:val="0"/>
                    <w:widowControl/>
                    <w:suppressLineNumbers w:val="0"/>
                    <w:jc w:val="center"/>
                    <w:textAlignment w:val="center"/>
                    <w:rPr>
                      <w:rFonts w:hint="default" w:eastAsia="宋体"/>
                      <w:bCs/>
                      <w:color w:val="000000"/>
                      <w:szCs w:val="21"/>
                      <w:highlight w:val="none"/>
                      <w:u w:val="none"/>
                      <w:lang w:val="en-US" w:eastAsia="zh-CN"/>
                    </w:rPr>
                  </w:pPr>
                  <w:r>
                    <w:rPr>
                      <w:rFonts w:hint="eastAsia" w:cs="Times New Roman"/>
                      <w:i w:val="0"/>
                      <w:iCs w:val="0"/>
                      <w:color w:val="000000"/>
                      <w:kern w:val="0"/>
                      <w:sz w:val="21"/>
                      <w:szCs w:val="21"/>
                      <w:highlight w:val="none"/>
                      <w:u w:val="none"/>
                      <w:lang w:val="en-US" w:eastAsia="zh-CN" w:bidi="ar"/>
                    </w:rPr>
                    <w:t>36.4</w:t>
                  </w:r>
                </w:p>
              </w:tc>
              <w:tc>
                <w:tcPr>
                  <w:tcW w:w="513" w:type="pct"/>
                  <w:noWrap w:val="0"/>
                  <w:vAlign w:val="center"/>
                </w:tcPr>
                <w:p w14:paraId="51E088E0">
                  <w:pPr>
                    <w:jc w:val="center"/>
                    <w:rPr>
                      <w:rFonts w:hint="eastAsia"/>
                      <w:bCs/>
                      <w:color w:val="000000"/>
                      <w:szCs w:val="21"/>
                      <w:highlight w:val="none"/>
                      <w:u w:val="none"/>
                      <w:lang w:val="en-US" w:eastAsia="zh-CN"/>
                    </w:rPr>
                  </w:pPr>
                  <w:r>
                    <w:rPr>
                      <w:bCs/>
                      <w:color w:val="000000"/>
                      <w:szCs w:val="21"/>
                      <w:highlight w:val="none"/>
                      <w:u w:val="none"/>
                    </w:rPr>
                    <w:t>60</w:t>
                  </w:r>
                </w:p>
              </w:tc>
            </w:tr>
            <w:tr w14:paraId="5E089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2" w:type="pct"/>
                  <w:noWrap w:val="0"/>
                  <w:vAlign w:val="center"/>
                </w:tcPr>
                <w:p w14:paraId="419814F9">
                  <w:pPr>
                    <w:autoSpaceDE w:val="0"/>
                    <w:autoSpaceDN w:val="0"/>
                    <w:adjustRightInd w:val="0"/>
                    <w:jc w:val="center"/>
                    <w:rPr>
                      <w:bCs/>
                      <w:color w:val="000000"/>
                      <w:szCs w:val="21"/>
                      <w:highlight w:val="none"/>
                      <w:u w:val="none"/>
                    </w:rPr>
                  </w:pPr>
                  <w:r>
                    <w:rPr>
                      <w:rFonts w:hint="eastAsia"/>
                      <w:color w:val="000000"/>
                      <w:szCs w:val="21"/>
                      <w:highlight w:val="none"/>
                      <w:u w:val="none"/>
                    </w:rPr>
                    <w:t>北</w:t>
                  </w:r>
                  <w:r>
                    <w:rPr>
                      <w:color w:val="000000"/>
                      <w:szCs w:val="21"/>
                      <w:highlight w:val="none"/>
                      <w:u w:val="none"/>
                      <w:lang w:val="zh-CN"/>
                    </w:rPr>
                    <w:t>厂界</w:t>
                  </w:r>
                </w:p>
              </w:tc>
              <w:tc>
                <w:tcPr>
                  <w:tcW w:w="746" w:type="pct"/>
                  <w:shd w:val="clear" w:color="auto" w:fill="auto"/>
                  <w:noWrap w:val="0"/>
                  <w:vAlign w:val="center"/>
                </w:tcPr>
                <w:p w14:paraId="5B140271">
                  <w:pPr>
                    <w:pStyle w:val="19"/>
                    <w:spacing w:after="0"/>
                    <w:ind w:left="0" w:leftChars="0" w:firstLine="0" w:firstLineChars="0"/>
                    <w:jc w:val="center"/>
                    <w:rPr>
                      <w:rFonts w:ascii="Times New Roman" w:hAnsi="Times New Roman" w:eastAsia="宋体" w:cs="Times New Roman"/>
                      <w:color w:val="000000"/>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生产车间</w:t>
                  </w:r>
                </w:p>
              </w:tc>
              <w:tc>
                <w:tcPr>
                  <w:tcW w:w="529" w:type="pct"/>
                  <w:shd w:val="clear" w:color="auto" w:fill="auto"/>
                  <w:noWrap w:val="0"/>
                  <w:vAlign w:val="center"/>
                </w:tcPr>
                <w:p w14:paraId="640D091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50.7</w:t>
                  </w:r>
                </w:p>
              </w:tc>
              <w:tc>
                <w:tcPr>
                  <w:tcW w:w="576" w:type="pct"/>
                  <w:noWrap w:val="0"/>
                  <w:vAlign w:val="center"/>
                </w:tcPr>
                <w:p w14:paraId="38184594">
                  <w:pPr>
                    <w:widowControl/>
                    <w:jc w:val="center"/>
                    <w:textAlignment w:val="center"/>
                    <w:rPr>
                      <w:rFonts w:hint="default" w:eastAsia="宋体"/>
                      <w:color w:val="000000"/>
                      <w:szCs w:val="21"/>
                      <w:highlight w:val="none"/>
                      <w:u w:val="none"/>
                      <w:lang w:val="en-US" w:eastAsia="zh-CN"/>
                    </w:rPr>
                  </w:pPr>
                  <w:r>
                    <w:rPr>
                      <w:rFonts w:hint="eastAsia"/>
                      <w:color w:val="000000"/>
                      <w:szCs w:val="21"/>
                      <w:highlight w:val="none"/>
                      <w:u w:val="none"/>
                      <w:lang w:val="en-US" w:eastAsia="zh-CN"/>
                    </w:rPr>
                    <w:t>/</w:t>
                  </w:r>
                </w:p>
              </w:tc>
              <w:tc>
                <w:tcPr>
                  <w:tcW w:w="2163" w:type="dxa"/>
                  <w:noWrap w:val="0"/>
                  <w:vAlign w:val="center"/>
                </w:tcPr>
                <w:p w14:paraId="0D608251">
                  <w:pPr>
                    <w:keepNext w:val="0"/>
                    <w:keepLines w:val="0"/>
                    <w:widowControl/>
                    <w:suppressLineNumbers w:val="0"/>
                    <w:jc w:val="center"/>
                    <w:textAlignment w:val="center"/>
                    <w:rPr>
                      <w:rFonts w:hint="default" w:ascii="Times New Roman" w:hAnsi="Times New Roman" w:cs="Times New Roman"/>
                      <w:sz w:val="21"/>
                      <w:szCs w:val="21"/>
                      <w:highlight w:val="none"/>
                    </w:rPr>
                  </w:pPr>
                  <w:r>
                    <w:rPr>
                      <w:rFonts w:hint="eastAsia" w:cs="Times New Roman"/>
                      <w:i w:val="0"/>
                      <w:iCs w:val="0"/>
                      <w:color w:val="000000"/>
                      <w:kern w:val="0"/>
                      <w:sz w:val="21"/>
                      <w:szCs w:val="21"/>
                      <w:highlight w:val="none"/>
                      <w:u w:val="none"/>
                      <w:lang w:val="en-US" w:eastAsia="zh-CN" w:bidi="ar"/>
                    </w:rPr>
                    <w:t>50.7</w:t>
                  </w:r>
                </w:p>
              </w:tc>
              <w:tc>
                <w:tcPr>
                  <w:tcW w:w="722" w:type="pct"/>
                  <w:noWrap w:val="0"/>
                  <w:vAlign w:val="center"/>
                </w:tcPr>
                <w:p w14:paraId="7637EFF4">
                  <w:pPr>
                    <w:widowControl/>
                    <w:jc w:val="center"/>
                    <w:textAlignment w:val="center"/>
                    <w:rPr>
                      <w:rFonts w:hint="eastAsia" w:eastAsia="宋体"/>
                      <w:color w:val="000000"/>
                      <w:kern w:val="0"/>
                      <w:szCs w:val="21"/>
                      <w:highlight w:val="none"/>
                      <w:u w:val="none"/>
                      <w:lang w:val="en-US" w:eastAsia="zh-CN" w:bidi="ar"/>
                    </w:rPr>
                  </w:pPr>
                  <w:r>
                    <w:rPr>
                      <w:rFonts w:hint="eastAsia"/>
                      <w:color w:val="000000"/>
                      <w:kern w:val="0"/>
                      <w:szCs w:val="21"/>
                      <w:highlight w:val="none"/>
                      <w:u w:val="none"/>
                      <w:lang w:val="en-US" w:eastAsia="zh-CN" w:bidi="ar"/>
                    </w:rPr>
                    <w:t>/</w:t>
                  </w:r>
                </w:p>
              </w:tc>
              <w:tc>
                <w:tcPr>
                  <w:tcW w:w="1967" w:type="dxa"/>
                  <w:noWrap w:val="0"/>
                  <w:vAlign w:val="center"/>
                </w:tcPr>
                <w:p w14:paraId="70FE093D">
                  <w:pPr>
                    <w:keepNext w:val="0"/>
                    <w:keepLines w:val="0"/>
                    <w:widowControl/>
                    <w:suppressLineNumbers w:val="0"/>
                    <w:jc w:val="center"/>
                    <w:textAlignment w:val="center"/>
                    <w:rPr>
                      <w:rFonts w:hint="default" w:eastAsia="宋体"/>
                      <w:bCs/>
                      <w:color w:val="000000"/>
                      <w:szCs w:val="21"/>
                      <w:highlight w:val="none"/>
                      <w:u w:val="none"/>
                      <w:lang w:val="en-US" w:eastAsia="zh-CN"/>
                    </w:rPr>
                  </w:pPr>
                  <w:r>
                    <w:rPr>
                      <w:rFonts w:hint="eastAsia" w:cs="Times New Roman"/>
                      <w:i w:val="0"/>
                      <w:iCs w:val="0"/>
                      <w:color w:val="000000"/>
                      <w:kern w:val="0"/>
                      <w:sz w:val="21"/>
                      <w:szCs w:val="21"/>
                      <w:highlight w:val="none"/>
                      <w:u w:val="none"/>
                      <w:lang w:val="en-US" w:eastAsia="zh-CN" w:bidi="ar"/>
                    </w:rPr>
                    <w:t>50.7</w:t>
                  </w:r>
                </w:p>
              </w:tc>
              <w:tc>
                <w:tcPr>
                  <w:tcW w:w="513" w:type="pct"/>
                  <w:noWrap w:val="0"/>
                  <w:vAlign w:val="center"/>
                </w:tcPr>
                <w:p w14:paraId="0518C347">
                  <w:pPr>
                    <w:jc w:val="center"/>
                    <w:rPr>
                      <w:bCs/>
                      <w:color w:val="000000"/>
                      <w:szCs w:val="21"/>
                      <w:highlight w:val="none"/>
                      <w:u w:val="none"/>
                    </w:rPr>
                  </w:pPr>
                  <w:r>
                    <w:rPr>
                      <w:bCs/>
                      <w:color w:val="000000"/>
                      <w:szCs w:val="21"/>
                      <w:highlight w:val="none"/>
                      <w:u w:val="none"/>
                    </w:rPr>
                    <w:t>60</w:t>
                  </w:r>
                </w:p>
              </w:tc>
            </w:tr>
          </w:tbl>
          <w:p w14:paraId="0F83AC40">
            <w:pPr>
              <w:keepNext/>
              <w:keepLines/>
              <w:widowControl/>
              <w:adjustRightInd w:val="0"/>
              <w:snapToGrid w:val="0"/>
              <w:spacing w:line="360" w:lineRule="auto"/>
              <w:ind w:firstLine="480" w:firstLineChars="200"/>
              <w:outlineLvl w:val="2"/>
              <w:rPr>
                <w:color w:val="000000"/>
                <w:sz w:val="24"/>
                <w:szCs w:val="24"/>
                <w:highlight w:val="none"/>
                <w:u w:val="none"/>
              </w:rPr>
            </w:pPr>
            <w:r>
              <w:rPr>
                <w:color w:val="000000"/>
                <w:sz w:val="24"/>
                <w:szCs w:val="24"/>
                <w:highlight w:val="none"/>
              </w:rPr>
              <w:t>由上表预测结果可知，本项目营运期生产噪声对东、南、西、北厂界</w:t>
            </w:r>
            <w:r>
              <w:rPr>
                <w:rFonts w:hint="eastAsia"/>
                <w:color w:val="000000"/>
                <w:sz w:val="24"/>
                <w:szCs w:val="24"/>
                <w:highlight w:val="none"/>
              </w:rPr>
              <w:t>及周边环境敏感点</w:t>
            </w:r>
            <w:r>
              <w:rPr>
                <w:color w:val="000000"/>
                <w:sz w:val="24"/>
                <w:szCs w:val="24"/>
                <w:highlight w:val="none"/>
              </w:rPr>
              <w:t>的贡献值可以满足《工业企业厂界环境噪声排放标准》（GB12348-2008）中2类标准要求。因此项目产生的噪声对周围环境的影响在可接受范围内。</w:t>
            </w:r>
          </w:p>
          <w:p w14:paraId="1F4C518B">
            <w:pPr>
              <w:tabs>
                <w:tab w:val="left" w:pos="1081"/>
              </w:tabs>
              <w:adjustRightInd w:val="0"/>
              <w:snapToGrid w:val="0"/>
              <w:spacing w:line="360" w:lineRule="auto"/>
              <w:ind w:firstLine="480" w:firstLineChars="200"/>
              <w:rPr>
                <w:rFonts w:hint="eastAsia"/>
                <w:color w:val="000000"/>
                <w:kern w:val="0"/>
                <w:sz w:val="24"/>
                <w:szCs w:val="21"/>
                <w:highlight w:val="none"/>
                <w:u w:val="none"/>
              </w:rPr>
            </w:pPr>
            <w:r>
              <w:rPr>
                <w:rFonts w:hint="eastAsia"/>
                <w:color w:val="000000"/>
                <w:kern w:val="0"/>
                <w:sz w:val="24"/>
                <w:szCs w:val="21"/>
                <w:highlight w:val="none"/>
                <w:u w:val="none"/>
              </w:rPr>
              <w:t>3.4声环境监测计划</w:t>
            </w:r>
          </w:p>
          <w:p w14:paraId="3E90F178">
            <w:pPr>
              <w:tabs>
                <w:tab w:val="left" w:pos="1081"/>
              </w:tabs>
              <w:adjustRightInd w:val="0"/>
              <w:snapToGrid w:val="0"/>
              <w:spacing w:line="360" w:lineRule="auto"/>
              <w:ind w:firstLine="480" w:firstLineChars="200"/>
              <w:rPr>
                <w:color w:val="000000"/>
                <w:sz w:val="24"/>
                <w:szCs w:val="24"/>
                <w:highlight w:val="none"/>
                <w:u w:val="none"/>
              </w:rPr>
            </w:pPr>
            <w:r>
              <w:rPr>
                <w:rFonts w:hint="eastAsia"/>
                <w:color w:val="000000"/>
                <w:sz w:val="24"/>
                <w:szCs w:val="24"/>
                <w:highlight w:val="none"/>
                <w:u w:val="none"/>
              </w:rPr>
              <w:t>根据</w:t>
            </w:r>
            <w:r>
              <w:rPr>
                <w:rFonts w:hint="eastAsia"/>
                <w:color w:val="000000"/>
                <w:sz w:val="24"/>
                <w:szCs w:val="24"/>
                <w:highlight w:val="none"/>
                <w:u w:val="none"/>
                <w:lang w:eastAsia="zh-CN"/>
              </w:rPr>
              <w:t>《排污单位自行监测技术指南 食品制造》（HJ 1084-2020）、《排污许可证申请与核发技术规范 工业噪声》（HJ 1301-2023）</w:t>
            </w:r>
            <w:r>
              <w:rPr>
                <w:rFonts w:hint="eastAsia"/>
                <w:color w:val="000000"/>
                <w:sz w:val="24"/>
                <w:szCs w:val="24"/>
                <w:highlight w:val="none"/>
                <w:u w:val="none"/>
              </w:rPr>
              <w:t>自行监测计划，项目噪声自行监测计划如下：</w:t>
            </w:r>
          </w:p>
          <w:p w14:paraId="73EF3B6B">
            <w:pPr>
              <w:adjustRightInd w:val="0"/>
              <w:snapToGrid w:val="0"/>
              <w:spacing w:line="360" w:lineRule="auto"/>
              <w:ind w:firstLine="361" w:firstLineChars="150"/>
              <w:jc w:val="center"/>
              <w:rPr>
                <w:b/>
                <w:bCs/>
                <w:color w:val="000000"/>
                <w:sz w:val="24"/>
                <w:highlight w:val="none"/>
                <w:u w:val="none"/>
              </w:rPr>
            </w:pPr>
            <w:r>
              <w:rPr>
                <w:b/>
                <w:bCs/>
                <w:color w:val="000000"/>
                <w:sz w:val="24"/>
                <w:highlight w:val="none"/>
                <w:u w:val="none"/>
              </w:rPr>
              <w:t>表4-</w:t>
            </w:r>
            <w:r>
              <w:rPr>
                <w:rFonts w:hint="eastAsia"/>
                <w:b/>
                <w:bCs/>
                <w:color w:val="000000"/>
                <w:sz w:val="24"/>
                <w:highlight w:val="none"/>
                <w:u w:val="none"/>
                <w:lang w:val="en-US" w:eastAsia="zh-CN"/>
              </w:rPr>
              <w:t>20</w:t>
            </w:r>
            <w:r>
              <w:rPr>
                <w:b/>
                <w:bCs/>
                <w:color w:val="000000"/>
                <w:sz w:val="24"/>
                <w:highlight w:val="none"/>
                <w:u w:val="none"/>
              </w:rPr>
              <w:t xml:space="preserve"> </w:t>
            </w:r>
            <w:r>
              <w:rPr>
                <w:rFonts w:hint="eastAsia"/>
                <w:b/>
                <w:bCs/>
                <w:color w:val="000000"/>
                <w:sz w:val="24"/>
                <w:highlight w:val="none"/>
                <w:u w:val="none"/>
              </w:rPr>
              <w:t xml:space="preserve"> </w:t>
            </w:r>
            <w:r>
              <w:rPr>
                <w:b/>
                <w:bCs/>
                <w:color w:val="000000"/>
                <w:sz w:val="24"/>
                <w:highlight w:val="none"/>
                <w:u w:val="none"/>
              </w:rPr>
              <w:t>声环境监测计划一览表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3"/>
              <w:gridCol w:w="2986"/>
              <w:gridCol w:w="1838"/>
              <w:gridCol w:w="1372"/>
              <w:gridCol w:w="1672"/>
              <w:gridCol w:w="4566"/>
            </w:tblGrid>
            <w:tr w14:paraId="20C9A0F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noWrap w:val="0"/>
                  <w:vAlign w:val="center"/>
                </w:tcPr>
                <w:p w14:paraId="0D54A503">
                  <w:pPr>
                    <w:jc w:val="center"/>
                    <w:rPr>
                      <w:color w:val="000000"/>
                      <w:szCs w:val="21"/>
                      <w:highlight w:val="none"/>
                      <w:u w:val="none"/>
                    </w:rPr>
                  </w:pPr>
                  <w:r>
                    <w:rPr>
                      <w:color w:val="000000"/>
                      <w:szCs w:val="21"/>
                      <w:highlight w:val="none"/>
                      <w:u w:val="none"/>
                    </w:rPr>
                    <w:t>序号</w:t>
                  </w:r>
                </w:p>
              </w:tc>
              <w:tc>
                <w:tcPr>
                  <w:tcW w:w="1097" w:type="pct"/>
                  <w:noWrap w:val="0"/>
                  <w:vAlign w:val="center"/>
                </w:tcPr>
                <w:p w14:paraId="590E6947">
                  <w:pPr>
                    <w:jc w:val="center"/>
                    <w:rPr>
                      <w:color w:val="000000"/>
                      <w:szCs w:val="21"/>
                      <w:highlight w:val="none"/>
                      <w:u w:val="none"/>
                    </w:rPr>
                  </w:pPr>
                  <w:r>
                    <w:rPr>
                      <w:color w:val="000000"/>
                      <w:szCs w:val="21"/>
                      <w:highlight w:val="none"/>
                      <w:u w:val="none"/>
                    </w:rPr>
                    <w:t>监测点位</w:t>
                  </w:r>
                </w:p>
              </w:tc>
              <w:tc>
                <w:tcPr>
                  <w:tcW w:w="675" w:type="pct"/>
                  <w:noWrap w:val="0"/>
                  <w:vAlign w:val="center"/>
                </w:tcPr>
                <w:p w14:paraId="689007FD">
                  <w:pPr>
                    <w:jc w:val="center"/>
                    <w:rPr>
                      <w:color w:val="000000"/>
                      <w:szCs w:val="21"/>
                      <w:highlight w:val="none"/>
                      <w:u w:val="none"/>
                    </w:rPr>
                  </w:pPr>
                  <w:r>
                    <w:rPr>
                      <w:color w:val="000000"/>
                      <w:szCs w:val="21"/>
                      <w:highlight w:val="none"/>
                      <w:u w:val="none"/>
                    </w:rPr>
                    <w:t>监测项目</w:t>
                  </w:r>
                </w:p>
              </w:tc>
              <w:tc>
                <w:tcPr>
                  <w:tcW w:w="504" w:type="pct"/>
                  <w:noWrap w:val="0"/>
                  <w:vAlign w:val="center"/>
                </w:tcPr>
                <w:p w14:paraId="1702EC7A">
                  <w:pPr>
                    <w:jc w:val="center"/>
                    <w:rPr>
                      <w:color w:val="000000"/>
                      <w:szCs w:val="21"/>
                      <w:highlight w:val="none"/>
                      <w:u w:val="none"/>
                    </w:rPr>
                  </w:pPr>
                  <w:r>
                    <w:rPr>
                      <w:color w:val="000000"/>
                      <w:szCs w:val="21"/>
                      <w:highlight w:val="none"/>
                      <w:u w:val="none"/>
                    </w:rPr>
                    <w:t>频率</w:t>
                  </w:r>
                </w:p>
              </w:tc>
              <w:tc>
                <w:tcPr>
                  <w:tcW w:w="614" w:type="pct"/>
                  <w:tcBorders>
                    <w:bottom w:val="single" w:color="auto" w:sz="4" w:space="0"/>
                  </w:tcBorders>
                  <w:noWrap w:val="0"/>
                  <w:vAlign w:val="center"/>
                </w:tcPr>
                <w:p w14:paraId="151B2588">
                  <w:pPr>
                    <w:jc w:val="center"/>
                    <w:rPr>
                      <w:color w:val="000000"/>
                      <w:szCs w:val="21"/>
                      <w:highlight w:val="none"/>
                      <w:u w:val="none"/>
                    </w:rPr>
                  </w:pPr>
                  <w:r>
                    <w:rPr>
                      <w:color w:val="000000"/>
                      <w:szCs w:val="21"/>
                      <w:highlight w:val="none"/>
                      <w:u w:val="none"/>
                    </w:rPr>
                    <w:t>实施单位</w:t>
                  </w:r>
                </w:p>
              </w:tc>
              <w:tc>
                <w:tcPr>
                  <w:tcW w:w="1677" w:type="pct"/>
                  <w:tcBorders>
                    <w:bottom w:val="single" w:color="auto" w:sz="4" w:space="0"/>
                  </w:tcBorders>
                  <w:noWrap w:val="0"/>
                  <w:vAlign w:val="center"/>
                </w:tcPr>
                <w:p w14:paraId="461F7320">
                  <w:pPr>
                    <w:jc w:val="center"/>
                    <w:rPr>
                      <w:color w:val="000000"/>
                      <w:szCs w:val="21"/>
                      <w:highlight w:val="none"/>
                      <w:u w:val="none"/>
                    </w:rPr>
                  </w:pPr>
                  <w:r>
                    <w:rPr>
                      <w:color w:val="000000"/>
                      <w:szCs w:val="21"/>
                      <w:highlight w:val="none"/>
                      <w:u w:val="none"/>
                    </w:rPr>
                    <w:t>执行标准</w:t>
                  </w:r>
                </w:p>
              </w:tc>
            </w:tr>
            <w:tr w14:paraId="576FB0C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noWrap w:val="0"/>
                  <w:vAlign w:val="center"/>
                </w:tcPr>
                <w:p w14:paraId="08388F04">
                  <w:pPr>
                    <w:jc w:val="center"/>
                    <w:rPr>
                      <w:bCs/>
                      <w:color w:val="000000"/>
                      <w:szCs w:val="21"/>
                      <w:highlight w:val="none"/>
                      <w:u w:val="none"/>
                    </w:rPr>
                  </w:pPr>
                  <w:r>
                    <w:rPr>
                      <w:bCs/>
                      <w:color w:val="000000"/>
                      <w:szCs w:val="21"/>
                      <w:highlight w:val="none"/>
                      <w:u w:val="none"/>
                    </w:rPr>
                    <w:t>1</w:t>
                  </w:r>
                </w:p>
              </w:tc>
              <w:tc>
                <w:tcPr>
                  <w:tcW w:w="1097" w:type="pct"/>
                  <w:noWrap w:val="0"/>
                  <w:vAlign w:val="center"/>
                </w:tcPr>
                <w:p w14:paraId="36F10700">
                  <w:pPr>
                    <w:jc w:val="center"/>
                    <w:rPr>
                      <w:rStyle w:val="24"/>
                      <w:color w:val="000000"/>
                      <w:highlight w:val="none"/>
                      <w:u w:val="none"/>
                    </w:rPr>
                  </w:pPr>
                  <w:r>
                    <w:rPr>
                      <w:rStyle w:val="24"/>
                      <w:rFonts w:hint="eastAsia"/>
                      <w:color w:val="000000"/>
                      <w:highlight w:val="none"/>
                      <w:u w:val="none"/>
                    </w:rPr>
                    <w:t>东、南、西、北四</w:t>
                  </w:r>
                  <w:r>
                    <w:rPr>
                      <w:rStyle w:val="24"/>
                      <w:color w:val="000000"/>
                      <w:highlight w:val="none"/>
                      <w:u w:val="none"/>
                    </w:rPr>
                    <w:t>厂界各设一个监测点</w:t>
                  </w:r>
                </w:p>
              </w:tc>
              <w:tc>
                <w:tcPr>
                  <w:tcW w:w="675" w:type="pct"/>
                  <w:noWrap w:val="0"/>
                  <w:vAlign w:val="center"/>
                </w:tcPr>
                <w:p w14:paraId="67E3F479">
                  <w:pPr>
                    <w:adjustRightInd w:val="0"/>
                    <w:jc w:val="center"/>
                    <w:rPr>
                      <w:bCs/>
                      <w:color w:val="000000"/>
                      <w:szCs w:val="21"/>
                      <w:highlight w:val="none"/>
                      <w:u w:val="none"/>
                    </w:rPr>
                  </w:pPr>
                  <w:r>
                    <w:rPr>
                      <w:bCs/>
                      <w:color w:val="000000"/>
                      <w:szCs w:val="21"/>
                      <w:highlight w:val="none"/>
                      <w:u w:val="none"/>
                    </w:rPr>
                    <w:t>噪声</w:t>
                  </w:r>
                </w:p>
              </w:tc>
              <w:tc>
                <w:tcPr>
                  <w:tcW w:w="504" w:type="pct"/>
                  <w:noWrap w:val="0"/>
                  <w:vAlign w:val="center"/>
                </w:tcPr>
                <w:p w14:paraId="7D396EB6">
                  <w:pPr>
                    <w:jc w:val="center"/>
                    <w:rPr>
                      <w:bCs/>
                      <w:color w:val="000000"/>
                      <w:szCs w:val="21"/>
                      <w:highlight w:val="none"/>
                      <w:u w:val="none"/>
                    </w:rPr>
                  </w:pPr>
                  <w:r>
                    <w:rPr>
                      <w:bCs/>
                      <w:color w:val="000000"/>
                      <w:szCs w:val="21"/>
                      <w:highlight w:val="none"/>
                      <w:u w:val="none"/>
                    </w:rPr>
                    <w:t>1次/季度</w:t>
                  </w:r>
                </w:p>
              </w:tc>
              <w:tc>
                <w:tcPr>
                  <w:tcW w:w="614" w:type="pct"/>
                  <w:noWrap w:val="0"/>
                  <w:vAlign w:val="center"/>
                </w:tcPr>
                <w:p w14:paraId="051AFC93">
                  <w:pPr>
                    <w:jc w:val="center"/>
                    <w:rPr>
                      <w:bCs/>
                      <w:color w:val="000000"/>
                      <w:szCs w:val="21"/>
                      <w:highlight w:val="none"/>
                      <w:u w:val="none"/>
                    </w:rPr>
                  </w:pPr>
                  <w:r>
                    <w:rPr>
                      <w:bCs/>
                      <w:color w:val="000000"/>
                      <w:szCs w:val="21"/>
                      <w:highlight w:val="none"/>
                      <w:u w:val="none"/>
                    </w:rPr>
                    <w:t>有资质的监测单位</w:t>
                  </w:r>
                </w:p>
              </w:tc>
              <w:tc>
                <w:tcPr>
                  <w:tcW w:w="1677" w:type="pct"/>
                  <w:noWrap w:val="0"/>
                  <w:vAlign w:val="center"/>
                </w:tcPr>
                <w:p w14:paraId="5196D02A">
                  <w:pPr>
                    <w:jc w:val="center"/>
                    <w:rPr>
                      <w:bCs/>
                      <w:color w:val="000000"/>
                      <w:szCs w:val="21"/>
                      <w:highlight w:val="none"/>
                      <w:u w:val="none"/>
                    </w:rPr>
                  </w:pPr>
                  <w:r>
                    <w:rPr>
                      <w:color w:val="000000"/>
                      <w:szCs w:val="21"/>
                      <w:highlight w:val="none"/>
                      <w:u w:val="none"/>
                    </w:rPr>
                    <w:t>《工业企业厂界环境噪声排放标准》（GB12348-2008）2类标准</w:t>
                  </w:r>
                </w:p>
              </w:tc>
            </w:tr>
          </w:tbl>
          <w:p w14:paraId="1A259907">
            <w:pPr>
              <w:bidi w:val="0"/>
              <w:rPr>
                <w:highlight w:val="yellow"/>
                <w:vertAlign w:val="baseline"/>
              </w:rPr>
            </w:pPr>
          </w:p>
        </w:tc>
      </w:tr>
    </w:tbl>
    <w:p w14:paraId="00127C52">
      <w:pPr>
        <w:numPr>
          <w:ilvl w:val="0"/>
          <w:numId w:val="0"/>
        </w:numPr>
        <w:sectPr>
          <w:pgSz w:w="16838" w:h="11906" w:orient="landscape"/>
          <w:pgMar w:top="1083" w:right="1440" w:bottom="1083" w:left="1440" w:header="851" w:footer="992" w:gutter="0"/>
          <w:pgNumType w:fmt="decimal"/>
          <w:cols w:space="0" w:num="1"/>
          <w:rtlGutter w:val="0"/>
          <w:docGrid w:type="lines" w:linePitch="312" w:charSpace="0"/>
        </w:sectPr>
      </w:pP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498"/>
      </w:tblGrid>
      <w:tr w14:paraId="2D161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9" w:type="pct"/>
            <w:vAlign w:val="center"/>
          </w:tcPr>
          <w:p w14:paraId="4154778B">
            <w:pPr>
              <w:jc w:val="both"/>
              <w:rPr>
                <w:vertAlign w:val="baseline"/>
              </w:rPr>
            </w:pPr>
          </w:p>
        </w:tc>
        <w:tc>
          <w:tcPr>
            <w:tcW w:w="4770" w:type="pct"/>
            <w:vAlign w:val="top"/>
          </w:tcPr>
          <w:p w14:paraId="53C2A050">
            <w:pPr>
              <w:adjustRightInd w:val="0"/>
              <w:snapToGrid w:val="0"/>
              <w:spacing w:line="360" w:lineRule="auto"/>
              <w:ind w:firstLine="482" w:firstLineChars="200"/>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4、固体废物</w:t>
            </w:r>
          </w:p>
          <w:p w14:paraId="75302BA3">
            <w:pPr>
              <w:widowControl/>
              <w:adjustRightInd w:val="0"/>
              <w:snapToGrid w:val="0"/>
              <w:spacing w:line="360" w:lineRule="auto"/>
              <w:ind w:firstLine="480" w:firstLineChars="200"/>
              <w:rPr>
                <w:color w:val="000000" w:themeColor="text1"/>
                <w:sz w:val="24"/>
                <w14:textFill>
                  <w14:solidFill>
                    <w14:schemeClr w14:val="tx1"/>
                  </w14:solidFill>
                </w14:textFill>
              </w:rPr>
            </w:pPr>
            <w:commentRangeStart w:id="94"/>
            <w:r>
              <w:rPr>
                <w:color w:val="000000" w:themeColor="text1"/>
                <w:sz w:val="24"/>
                <w14:textFill>
                  <w14:solidFill>
                    <w14:schemeClr w14:val="tx1"/>
                  </w14:solidFill>
                </w14:textFill>
              </w:rPr>
              <w:t>4.1固废产排情况</w:t>
            </w:r>
            <w:commentRangeEnd w:id="94"/>
            <w:r>
              <w:commentReference w:id="94"/>
            </w:r>
          </w:p>
          <w:p w14:paraId="44B8DEA1">
            <w:pPr>
              <w:widowControl/>
              <w:adjustRightInd w:val="0"/>
              <w:snapToGrid w:val="0"/>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本项目营运期固体废物主要为职工生活垃圾、化粪池污泥、</w:t>
            </w:r>
            <w:r>
              <w:rPr>
                <w:rFonts w:hint="default"/>
                <w:sz w:val="24"/>
                <w:szCs w:val="24"/>
                <w:highlight w:val="none"/>
                <w:lang w:val="en-US" w:eastAsia="zh-CN"/>
              </w:rPr>
              <w:t>肉末残渣</w:t>
            </w:r>
            <w:r>
              <w:rPr>
                <w:rFonts w:hint="eastAsia"/>
                <w:sz w:val="24"/>
                <w:szCs w:val="24"/>
                <w:highlight w:val="none"/>
                <w:lang w:val="en-US" w:eastAsia="zh-CN"/>
              </w:rPr>
              <w:t>、</w:t>
            </w:r>
            <w:r>
              <w:rPr>
                <w:rFonts w:hint="eastAsia"/>
                <w:color w:val="000000" w:themeColor="text1"/>
                <w:sz w:val="24"/>
                <w:highlight w:val="none"/>
                <w:lang w:val="en-US" w:eastAsia="zh-CN"/>
                <w14:textFill>
                  <w14:solidFill>
                    <w14:schemeClr w14:val="tx1"/>
                  </w14:solidFill>
                </w14:textFill>
              </w:rPr>
              <w:t>蔬菜残渣</w:t>
            </w:r>
            <w:r>
              <w:rPr>
                <w:rFonts w:hint="eastAsia"/>
                <w:color w:val="000000" w:themeColor="text1"/>
                <w:sz w:val="24"/>
                <w:highlight w:val="none"/>
                <w14:textFill>
                  <w14:solidFill>
                    <w14:schemeClr w14:val="tx1"/>
                  </w14:solidFill>
                </w14:textFill>
              </w:rPr>
              <w:t>、</w:t>
            </w:r>
            <w:r>
              <w:rPr>
                <w:rFonts w:hint="default" w:ascii="Times New Roman" w:hAnsi="Times New Roman" w:eastAsia="宋体" w:cs="Times New Roman"/>
                <w:sz w:val="24"/>
                <w:szCs w:val="24"/>
                <w:highlight w:val="none"/>
              </w:rPr>
              <w:t>废油脂</w:t>
            </w:r>
            <w:r>
              <w:rPr>
                <w:rFonts w:hint="eastAsia"/>
                <w:color w:val="000000" w:themeColor="text1"/>
                <w:sz w:val="24"/>
                <w:highlight w:val="none"/>
                <w:lang w:val="en-US" w:eastAsia="zh-CN"/>
                <w14:textFill>
                  <w14:solidFill>
                    <w14:schemeClr w14:val="tx1"/>
                  </w14:solidFill>
                </w14:textFill>
              </w:rPr>
              <w:t>、食品残渣、</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废石英砂、废滤芯、废活性炭、废反渗透膜</w:t>
            </w:r>
            <w:r>
              <w:rPr>
                <w:rFonts w:hint="eastAsia"/>
                <w:sz w:val="24"/>
                <w:szCs w:val="24"/>
                <w:highlight w:val="none"/>
                <w:lang w:val="en-US" w:eastAsia="zh-CN"/>
              </w:rPr>
              <w:t>、废包装材料以及</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污水处理污泥</w:t>
            </w:r>
            <w:r>
              <w:rPr>
                <w:color w:val="000000" w:themeColor="text1"/>
                <w:sz w:val="24"/>
                <w:highlight w:val="none"/>
                <w14:textFill>
                  <w14:solidFill>
                    <w14:schemeClr w14:val="tx1"/>
                  </w14:solidFill>
                </w14:textFill>
              </w:rPr>
              <w:t>。</w:t>
            </w:r>
          </w:p>
          <w:p w14:paraId="1FF40E96">
            <w:pPr>
              <w:adjustRightInd w:val="0"/>
              <w:snapToGrid w:val="0"/>
              <w:spacing w:line="360" w:lineRule="auto"/>
              <w:ind w:firstLine="480" w:firstLineChars="200"/>
              <w:rPr>
                <w:color w:val="FF0000"/>
                <w:sz w:val="24"/>
                <w:u w:val="single"/>
              </w:rPr>
            </w:pP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职工生活垃圾</w:t>
            </w:r>
          </w:p>
          <w:p w14:paraId="7622B9D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项目劳动定员</w:t>
            </w:r>
            <w:r>
              <w:rPr>
                <w:rFonts w:hint="eastAsia"/>
                <w:color w:val="000000" w:themeColor="text1"/>
                <w:sz w:val="24"/>
                <w:lang w:val="en-US" w:eastAsia="zh-CN"/>
                <w14:textFill>
                  <w14:solidFill>
                    <w14:schemeClr w14:val="tx1"/>
                  </w14:solidFill>
                </w14:textFill>
              </w:rPr>
              <w:t>150</w:t>
            </w:r>
            <w:r>
              <w:rPr>
                <w:color w:val="000000" w:themeColor="text1"/>
                <w:sz w:val="24"/>
                <w14:textFill>
                  <w14:solidFill>
                    <w14:schemeClr w14:val="tx1"/>
                  </w14:solidFill>
                </w14:textFill>
              </w:rPr>
              <w:t>人，均不在厂区食宿，生活垃圾产生系数按0.5kg/人·d计算，年运行时间为</w:t>
            </w:r>
            <w:r>
              <w:rPr>
                <w:rFonts w:hint="eastAsia"/>
                <w:color w:val="000000" w:themeColor="text1"/>
                <w:sz w:val="24"/>
                <w:lang w:val="en-US" w:eastAsia="zh-CN"/>
                <w14:textFill>
                  <w14:solidFill>
                    <w14:schemeClr w14:val="tx1"/>
                  </w14:solidFill>
                </w14:textFill>
              </w:rPr>
              <w:t>200</w:t>
            </w:r>
            <w:r>
              <w:rPr>
                <w:color w:val="000000" w:themeColor="text1"/>
                <w:sz w:val="24"/>
                <w14:textFill>
                  <w14:solidFill>
                    <w14:schemeClr w14:val="tx1"/>
                  </w14:solidFill>
                </w14:textFill>
              </w:rPr>
              <w:t>d，则生活垃圾产生量为</w:t>
            </w:r>
            <w:r>
              <w:rPr>
                <w:rFonts w:hint="eastAsia"/>
                <w:color w:val="000000" w:themeColor="text1"/>
                <w:sz w:val="24"/>
                <w:lang w:val="en-US" w:eastAsia="zh-CN"/>
                <w14:textFill>
                  <w14:solidFill>
                    <w14:schemeClr w14:val="tx1"/>
                  </w14:solidFill>
                </w14:textFill>
              </w:rPr>
              <w:t>15.0</w:t>
            </w:r>
            <w:r>
              <w:rPr>
                <w:color w:val="000000" w:themeColor="text1"/>
                <w:sz w:val="24"/>
                <w14:textFill>
                  <w14:solidFill>
                    <w14:schemeClr w14:val="tx1"/>
                  </w14:solidFill>
                </w14:textFill>
              </w:rPr>
              <w:t>t/a，分类收集后交由环卫部门运至附近垃圾中转站处置。根据《固体废物分类与代码目录（2024版）》可知，职工生活垃圾的一般固体废物代码为</w:t>
            </w:r>
            <w:r>
              <w:rPr>
                <w:rFonts w:hint="eastAsia"/>
                <w:color w:val="000000" w:themeColor="text1"/>
                <w:sz w:val="24"/>
                <w14:textFill>
                  <w14:solidFill>
                    <w14:schemeClr w14:val="tx1"/>
                  </w14:solidFill>
                </w14:textFill>
              </w:rPr>
              <w:t>900-099-S64</w:t>
            </w:r>
            <w:r>
              <w:rPr>
                <w:color w:val="000000" w:themeColor="text1"/>
                <w:sz w:val="24"/>
                <w14:textFill>
                  <w14:solidFill>
                    <w14:schemeClr w14:val="tx1"/>
                  </w14:solidFill>
                </w14:textFill>
              </w:rPr>
              <w:t>。</w:t>
            </w:r>
          </w:p>
          <w:p w14:paraId="38A2A4F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（2）化粪池污泥</w:t>
            </w:r>
          </w:p>
          <w:p w14:paraId="316CA70F">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根据《建筑给水排水设计规范》（2009修订版）中表4.8.6，化粪池污泥产生量为0.3L/人·d，化粪池污泥比重约为1.2L/kg，则本项目化粪池污泥产生量约为</w:t>
            </w:r>
            <w:r>
              <w:rPr>
                <w:rFonts w:hint="eastAsia"/>
                <w:color w:val="000000" w:themeColor="text1"/>
                <w:sz w:val="24"/>
                <w:lang w:val="en-US" w:eastAsia="zh-CN"/>
                <w14:textFill>
                  <w14:solidFill>
                    <w14:schemeClr w14:val="tx1"/>
                  </w14:solidFill>
                </w14:textFill>
              </w:rPr>
              <w:t>7.</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t/a，定期清掏交由环卫部门处理。根据《固体废物分类与代码目录（2024版）》可知，化粪池污泥的一般固体废物代码为</w:t>
            </w:r>
            <w:r>
              <w:rPr>
                <w:rFonts w:hint="eastAsia"/>
                <w:color w:val="000000" w:themeColor="text1"/>
                <w:sz w:val="24"/>
                <w14:textFill>
                  <w14:solidFill>
                    <w14:schemeClr w14:val="tx1"/>
                  </w14:solidFill>
                </w14:textFill>
              </w:rPr>
              <w:t>900-099-S07</w:t>
            </w:r>
            <w:r>
              <w:rPr>
                <w:color w:val="000000" w:themeColor="text1"/>
                <w:sz w:val="24"/>
                <w14:textFill>
                  <w14:solidFill>
                    <w14:schemeClr w14:val="tx1"/>
                  </w14:solidFill>
                </w14:textFill>
              </w:rPr>
              <w:t>。</w:t>
            </w:r>
          </w:p>
          <w:p w14:paraId="6C4780A4">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3</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一般固废</w:t>
            </w:r>
          </w:p>
          <w:p w14:paraId="494A0069">
            <w:pPr>
              <w:widowControl/>
              <w:adjustRightInd w:val="0"/>
              <w:snapToGrid w:val="0"/>
              <w:spacing w:line="360" w:lineRule="auto"/>
              <w:ind w:firstLine="480" w:firstLineChars="200"/>
              <w:rPr>
                <w:rFonts w:hint="eastAsia" w:eastAsia="宋体"/>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①</w:t>
            </w:r>
            <w:r>
              <w:rPr>
                <w:rFonts w:hint="default"/>
                <w:sz w:val="24"/>
                <w:szCs w:val="24"/>
                <w:lang w:val="en-US" w:eastAsia="zh-CN"/>
              </w:rPr>
              <w:t>肉末残渣</w:t>
            </w:r>
          </w:p>
          <w:p w14:paraId="57FFD82E">
            <w:pPr>
              <w:widowControl/>
              <w:adjustRightInd w:val="0"/>
              <w:snapToGrid w:val="0"/>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本项目肉类使用量为2120t/a。肉类在清洗过程中产生的残渣约为原料量的0.1%，则</w:t>
            </w:r>
            <w:commentRangeStart w:id="95"/>
            <w:r>
              <w:rPr>
                <w:rFonts w:hint="eastAsia"/>
                <w:color w:val="000000" w:themeColor="text1"/>
                <w:sz w:val="24"/>
                <w:lang w:val="en-US" w:eastAsia="zh-CN"/>
                <w14:textFill>
                  <w14:solidFill>
                    <w14:schemeClr w14:val="tx1"/>
                  </w14:solidFill>
                </w14:textFill>
              </w:rPr>
              <w:t>蔬菜残渣</w:t>
            </w:r>
            <w:commentRangeEnd w:id="95"/>
            <w:r>
              <w:commentReference w:id="95"/>
            </w:r>
            <w:r>
              <w:rPr>
                <w:rFonts w:hint="eastAsia"/>
                <w:color w:val="000000" w:themeColor="text1"/>
                <w:sz w:val="24"/>
                <w:lang w:val="en-US" w:eastAsia="zh-CN"/>
                <w14:textFill>
                  <w14:solidFill>
                    <w14:schemeClr w14:val="tx1"/>
                  </w14:solidFill>
                </w14:textFill>
              </w:rPr>
              <w:t>产生量为2.12t/a，集中收集后定期外售综合利用。根据《固体废物分类与代码目录（2024版）》可知，</w:t>
            </w:r>
            <w:r>
              <w:rPr>
                <w:rFonts w:hint="default"/>
                <w:sz w:val="24"/>
                <w:szCs w:val="24"/>
                <w:lang w:val="en-US" w:eastAsia="zh-CN"/>
              </w:rPr>
              <w:t>肉末残渣</w:t>
            </w:r>
            <w:r>
              <w:rPr>
                <w:rFonts w:hint="eastAsia"/>
                <w:color w:val="000000" w:themeColor="text1"/>
                <w:sz w:val="24"/>
                <w:lang w:val="en-US" w:eastAsia="zh-CN"/>
                <w14:textFill>
                  <w14:solidFill>
                    <w14:schemeClr w14:val="tx1"/>
                  </w14:solidFill>
                </w14:textFill>
              </w:rPr>
              <w:t>的一般固体废物代码为900-099-S13。</w:t>
            </w:r>
          </w:p>
          <w:p w14:paraId="177C9FC1">
            <w:pPr>
              <w:widowControl/>
              <w:adjustRightInd w:val="0"/>
              <w:snapToGrid w:val="0"/>
              <w:spacing w:line="360" w:lineRule="auto"/>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②</w:t>
            </w:r>
            <w:commentRangeStart w:id="96"/>
            <w:r>
              <w:rPr>
                <w:rFonts w:hint="eastAsia"/>
                <w:color w:val="000000" w:themeColor="text1"/>
                <w:sz w:val="24"/>
                <w:lang w:val="en-US" w:eastAsia="zh-CN"/>
                <w14:textFill>
                  <w14:solidFill>
                    <w14:schemeClr w14:val="tx1"/>
                  </w14:solidFill>
                </w14:textFill>
              </w:rPr>
              <w:t>蔬菜残渣</w:t>
            </w:r>
            <w:commentRangeEnd w:id="96"/>
            <w:r>
              <w:commentReference w:id="96"/>
            </w:r>
          </w:p>
          <w:p w14:paraId="2A5BEE38">
            <w:pPr>
              <w:widowControl/>
              <w:adjustRightInd w:val="0"/>
              <w:snapToGrid w:val="0"/>
              <w:spacing w:line="360" w:lineRule="auto"/>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本项目蔬菜使用量为640t/a。蔬菜在分拣和清洗过程中产生的边角料约为原料量的1%，则蔬菜残渣产生量为6.4t/a，集中收</w:t>
            </w:r>
            <w:commentRangeStart w:id="97"/>
            <w:r>
              <w:rPr>
                <w:rFonts w:hint="eastAsia"/>
                <w:color w:val="000000" w:themeColor="text1"/>
                <w:sz w:val="24"/>
                <w:lang w:val="en-US" w:eastAsia="zh-CN"/>
                <w14:textFill>
                  <w14:solidFill>
                    <w14:schemeClr w14:val="tx1"/>
                  </w14:solidFill>
                </w14:textFill>
              </w:rPr>
              <w:t>集后定期外售综合利用。</w:t>
            </w:r>
            <w:commentRangeEnd w:id="97"/>
            <w:r>
              <w:commentReference w:id="97"/>
            </w:r>
            <w:r>
              <w:rPr>
                <w:rFonts w:hint="eastAsia"/>
                <w:color w:val="000000" w:themeColor="text1"/>
                <w:sz w:val="24"/>
                <w:lang w:val="en-US" w:eastAsia="zh-CN"/>
                <w14:textFill>
                  <w14:solidFill>
                    <w14:schemeClr w14:val="tx1"/>
                  </w14:solidFill>
                </w14:textFill>
              </w:rPr>
              <w:t>根据《固体废物分类与代码目录（2024版）》可知，蔬菜残渣的一般固体废物代码为900-099-S13。</w:t>
            </w:r>
          </w:p>
          <w:p w14:paraId="7912525D">
            <w:pPr>
              <w:widowControl/>
              <w:adjustRightInd w:val="0"/>
              <w:snapToGrid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cs="Times New Roman"/>
                <w:color w:val="000000" w:themeColor="text1"/>
                <w:sz w:val="24"/>
                <w14:textFill>
                  <w14:solidFill>
                    <w14:schemeClr w14:val="tx1"/>
                  </w14:solidFill>
                </w14:textFill>
              </w:rPr>
              <w:t>③</w:t>
            </w:r>
            <w:r>
              <w:rPr>
                <w:rFonts w:hint="default" w:ascii="Times New Roman" w:hAnsi="Times New Roman" w:eastAsia="宋体" w:cs="Times New Roman"/>
                <w:sz w:val="24"/>
                <w:szCs w:val="24"/>
              </w:rPr>
              <w:t>废油脂</w:t>
            </w:r>
          </w:p>
          <w:p w14:paraId="03A80B71">
            <w:pPr>
              <w:widowControl/>
              <w:adjustRightInd w:val="0"/>
              <w:snapToGrid w:val="0"/>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eastAsia="宋体" w:cs="Times New Roman"/>
                <w:sz w:val="24"/>
                <w:szCs w:val="24"/>
              </w:rPr>
              <w:t>项目隔油池、</w:t>
            </w:r>
            <w:r>
              <w:rPr>
                <w:rFonts w:hint="eastAsia" w:ascii="Times New Roman" w:hAnsi="Times New Roman" w:eastAsia="宋体" w:cs="Times New Roman"/>
                <w:sz w:val="24"/>
                <w:szCs w:val="24"/>
                <w:lang w:val="en-US" w:eastAsia="zh-CN"/>
              </w:rPr>
              <w:t>静电</w:t>
            </w:r>
            <w:r>
              <w:rPr>
                <w:rFonts w:hint="default" w:ascii="Times New Roman" w:hAnsi="Times New Roman" w:eastAsia="宋体" w:cs="Times New Roman"/>
                <w:sz w:val="24"/>
                <w:szCs w:val="24"/>
              </w:rPr>
              <w:t>油烟净化器均定期清理收集的废油脂。根据废气源强及油烟净化器对油烟净化效率分析，项目油烟净化器收集的</w:t>
            </w:r>
            <w:commentRangeStart w:id="98"/>
            <w:r>
              <w:rPr>
                <w:rFonts w:hint="default" w:ascii="Times New Roman" w:hAnsi="Times New Roman" w:eastAsia="宋体" w:cs="Times New Roman"/>
                <w:sz w:val="24"/>
                <w:szCs w:val="24"/>
              </w:rPr>
              <w:t>废油脂约</w:t>
            </w:r>
            <w:r>
              <w:rPr>
                <w:rFonts w:hint="eastAsia" w:ascii="Times New Roman" w:hAnsi="Times New Roman" w:eastAsia="宋体" w:cs="Times New Roman"/>
                <w:sz w:val="24"/>
                <w:szCs w:val="24"/>
                <w:lang w:val="en-US" w:eastAsia="zh-CN"/>
              </w:rPr>
              <w:t>0.132</w:t>
            </w:r>
            <w:r>
              <w:rPr>
                <w:rFonts w:hint="default" w:ascii="Times New Roman" w:hAnsi="Times New Roman" w:eastAsia="宋体" w:cs="Times New Roman"/>
                <w:sz w:val="24"/>
                <w:szCs w:val="24"/>
              </w:rPr>
              <w:t>t/a；</w:t>
            </w:r>
            <w:commentRangeEnd w:id="98"/>
            <w:r>
              <w:commentReference w:id="98"/>
            </w:r>
            <w:r>
              <w:rPr>
                <w:rFonts w:hint="default" w:ascii="Times New Roman" w:hAnsi="Times New Roman" w:eastAsia="宋体" w:cs="Times New Roman"/>
                <w:sz w:val="24"/>
                <w:szCs w:val="24"/>
              </w:rPr>
              <w:t>根据废水源强及动植物油去除效率分析，项目隔油池收集的废油脂约</w:t>
            </w:r>
            <w:r>
              <w:rPr>
                <w:rFonts w:hint="eastAsia" w:ascii="Times New Roman" w:hAnsi="Times New Roman" w:eastAsia="宋体" w:cs="Times New Roman"/>
                <w:sz w:val="24"/>
                <w:szCs w:val="24"/>
                <w:lang w:val="en-US" w:eastAsia="zh-CN"/>
              </w:rPr>
              <w:t>0.163</w:t>
            </w:r>
            <w:r>
              <w:rPr>
                <w:rFonts w:hint="default" w:ascii="Times New Roman" w:hAnsi="Times New Roman" w:eastAsia="宋体" w:cs="Times New Roman"/>
                <w:sz w:val="24"/>
                <w:szCs w:val="24"/>
              </w:rPr>
              <w:t>t/a，合计产生废油脂约</w:t>
            </w:r>
            <w:r>
              <w:rPr>
                <w:rFonts w:hint="eastAsia" w:ascii="Times New Roman" w:hAnsi="Times New Roman" w:eastAsia="宋体" w:cs="Times New Roman"/>
                <w:sz w:val="24"/>
                <w:szCs w:val="24"/>
                <w:lang w:val="en-US" w:eastAsia="zh-CN"/>
              </w:rPr>
              <w:t>0.295</w:t>
            </w:r>
            <w:r>
              <w:rPr>
                <w:rFonts w:hint="default" w:ascii="Times New Roman" w:hAnsi="Times New Roman" w:eastAsia="宋体" w:cs="Times New Roman"/>
                <w:sz w:val="24"/>
                <w:szCs w:val="24"/>
              </w:rPr>
              <w:t>t/a，使用专用垃圾桶收集，加盖密闭交由餐厨垃圾回收单位处置。</w:t>
            </w:r>
            <w:r>
              <w:rPr>
                <w:rFonts w:hint="eastAsia"/>
                <w:color w:val="000000" w:themeColor="text1"/>
                <w:sz w:val="24"/>
                <w14:textFill>
                  <w14:solidFill>
                    <w14:schemeClr w14:val="tx1"/>
                  </w14:solidFill>
                </w14:textFill>
              </w:rPr>
              <w:t>根据《固体废物分类与代码目录（2024版）》可知，</w:t>
            </w:r>
            <w:r>
              <w:rPr>
                <w:rFonts w:hint="eastAsia"/>
                <w:color w:val="000000" w:themeColor="text1"/>
                <w:sz w:val="24"/>
                <w:lang w:val="en-US" w:eastAsia="zh-CN"/>
                <w14:textFill>
                  <w14:solidFill>
                    <w14:schemeClr w14:val="tx1"/>
                  </w14:solidFill>
                </w14:textFill>
              </w:rPr>
              <w:t>废油脂</w:t>
            </w:r>
            <w:r>
              <w:rPr>
                <w:rFonts w:hint="eastAsia"/>
                <w:color w:val="000000" w:themeColor="text1"/>
                <w:sz w:val="24"/>
                <w14:textFill>
                  <w14:solidFill>
                    <w14:schemeClr w14:val="tx1"/>
                  </w14:solidFill>
                </w14:textFill>
              </w:rPr>
              <w:t>的一般固体废物代码为</w:t>
            </w:r>
            <w:r>
              <w:rPr>
                <w:rFonts w:hint="default" w:ascii="Times New Roman" w:hAnsi="Times New Roman" w:eastAsia="宋体" w:cs="Times New Roman"/>
                <w:color w:val="000000" w:themeColor="text1"/>
                <w:sz w:val="24"/>
                <w:lang w:val="en-US" w:eastAsia="zh-CN"/>
                <w14:textFill>
                  <w14:solidFill>
                    <w14:schemeClr w14:val="tx1"/>
                  </w14:solidFill>
                </w14:textFill>
              </w:rPr>
              <w:t>140-001-S07</w:t>
            </w:r>
            <w:r>
              <w:rPr>
                <w:rFonts w:hint="eastAsia"/>
                <w:color w:val="000000" w:themeColor="text1"/>
                <w:sz w:val="24"/>
                <w:lang w:eastAsia="zh-CN"/>
                <w14:textFill>
                  <w14:solidFill>
                    <w14:schemeClr w14:val="tx1"/>
                  </w14:solidFill>
                </w14:textFill>
              </w:rPr>
              <w:t>。</w:t>
            </w:r>
          </w:p>
          <w:p w14:paraId="12845EAF">
            <w:pPr>
              <w:widowControl/>
              <w:adjustRightInd w:val="0"/>
              <w:snapToGrid w:val="0"/>
              <w:spacing w:line="360" w:lineRule="auto"/>
              <w:ind w:firstLine="480" w:firstLineChars="200"/>
              <w:rPr>
                <w:rFonts w:hint="default" w:eastAsia="宋体"/>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④</w:t>
            </w:r>
            <w:r>
              <w:rPr>
                <w:rFonts w:hint="eastAsia"/>
                <w:color w:val="000000" w:themeColor="text1"/>
                <w:sz w:val="24"/>
                <w:lang w:val="en-US" w:eastAsia="zh-CN"/>
                <w14:textFill>
                  <w14:solidFill>
                    <w14:schemeClr w14:val="tx1"/>
                  </w14:solidFill>
                </w14:textFill>
              </w:rPr>
              <w:t>食品残渣</w:t>
            </w:r>
          </w:p>
          <w:p w14:paraId="07E4595E">
            <w:pPr>
              <w:widowControl/>
              <w:adjustRightInd w:val="0"/>
              <w:snapToGrid w:val="0"/>
              <w:spacing w:line="360" w:lineRule="auto"/>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本项目餐具和设备在清洗过程中会产生食品残渣，项目食品残渣产生量为20.0t/a，集中收集后定期外售综合利用。根据《固体废物分类与代码目录（2024版）》可知，蔬菜残渣的一般固体废物代码为900-099-S13。</w:t>
            </w:r>
          </w:p>
          <w:p w14:paraId="53EB3B5C">
            <w:pPr>
              <w:widowControl/>
              <w:adjustRightInd w:val="0"/>
              <w:snapToGrid w:val="0"/>
              <w:spacing w:line="360" w:lineRule="auto"/>
              <w:ind w:firstLine="480" w:firstLineChars="200"/>
              <w:rPr>
                <w:rFonts w:hint="eastAsia"/>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⑤</w:t>
            </w:r>
            <w:r>
              <w:rPr>
                <w:rFonts w:hint="eastAsia"/>
                <w:color w:val="000000" w:themeColor="text1"/>
                <w:sz w:val="24"/>
                <w14:textFill>
                  <w14:solidFill>
                    <w14:schemeClr w14:val="tx1"/>
                  </w14:solidFill>
                </w14:textFill>
              </w:rPr>
              <w:t>废包装材料</w:t>
            </w:r>
          </w:p>
          <w:p w14:paraId="0287D63D">
            <w:pPr>
              <w:widowControl/>
              <w:adjustRightInd w:val="0"/>
              <w:snapToGrid w:val="0"/>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本项目原料拆包及产品包装会产生废包装材料，产生量约为5.0t/a，属于一般工业固废，集中收集后定期外售综合利用。</w:t>
            </w:r>
            <w:r>
              <w:rPr>
                <w:rFonts w:hint="eastAsia"/>
                <w:color w:val="000000" w:themeColor="text1"/>
                <w:sz w:val="24"/>
                <w14:textFill>
                  <w14:solidFill>
                    <w14:schemeClr w14:val="tx1"/>
                  </w14:solidFill>
                </w14:textFill>
              </w:rPr>
              <w:t>根据《固体废物分类与代码目录（2024版）》可知，废包装材料的一般固体废物代码为</w:t>
            </w:r>
            <w:r>
              <w:rPr>
                <w:rFonts w:hint="eastAsia"/>
                <w:color w:val="000000" w:themeColor="text1"/>
                <w:sz w:val="24"/>
                <w:lang w:val="en-US" w:eastAsia="zh-CN"/>
                <w14:textFill>
                  <w14:solidFill>
                    <w14:schemeClr w14:val="tx1"/>
                  </w14:solidFill>
                </w14:textFill>
              </w:rPr>
              <w:t>900-003-S17</w:t>
            </w:r>
            <w:r>
              <w:rPr>
                <w:rFonts w:hint="eastAsia"/>
                <w:color w:val="000000" w:themeColor="text1"/>
                <w:sz w:val="24"/>
                <w:lang w:eastAsia="zh-CN"/>
                <w14:textFill>
                  <w14:solidFill>
                    <w14:schemeClr w14:val="tx1"/>
                  </w14:solidFill>
                </w14:textFill>
              </w:rPr>
              <w:t>。</w:t>
            </w:r>
          </w:p>
          <w:p w14:paraId="01737D3E">
            <w:pPr>
              <w:widowControl/>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⑥废石英砂、废滤芯、废活性炭、废反渗透膜</w:t>
            </w:r>
          </w:p>
          <w:p w14:paraId="050FFE9D">
            <w:pPr>
              <w:widowControl/>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纯水制备系统石英砂、滤芯、活性炭、反渗透膜由厂家定期进行更换，每半年更换一次，更换出的废石英砂、废滤芯、废活性炭、废反渗透膜不在厂区内暂存，直接由厂家回收，废石英砂产生量约为0.5t/a、废滤芯产生量约为0.5t/a、废活性炭产生量约为0.5t/a、废反渗透膜产生量约为0.2t/a。根据《固体废物分类与代码目录（2024版）》可知，废石英砂、废滤芯及废反渗透膜的一般固体废物代码为900-009-S59；废活性炭的一般固体废物代码为900-008-S59。</w:t>
            </w:r>
          </w:p>
          <w:p w14:paraId="08DEE3D4">
            <w:pPr>
              <w:widowControl/>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⑦</w:t>
            </w:r>
            <w:r>
              <w:rPr>
                <w:rFonts w:hint="default" w:ascii="Times New Roman" w:hAnsi="Times New Roman" w:eastAsia="宋体" w:cs="Times New Roman"/>
                <w:color w:val="000000" w:themeColor="text1"/>
                <w:sz w:val="24"/>
                <w:lang w:val="en-US" w:eastAsia="zh-CN"/>
                <w14:textFill>
                  <w14:solidFill>
                    <w14:schemeClr w14:val="tx1"/>
                  </w14:solidFill>
                </w14:textFill>
              </w:rPr>
              <w:t>污水处理污泥</w:t>
            </w:r>
          </w:p>
          <w:p w14:paraId="2743A657">
            <w:pPr>
              <w:widowControl/>
              <w:adjustRightInd w:val="0"/>
              <w:snapToGrid w:val="0"/>
              <w:spacing w:line="360" w:lineRule="auto"/>
              <w:ind w:firstLine="480" w:firstLineChars="200"/>
              <w:rPr>
                <w:rFonts w:hint="eastAsia"/>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本项目生产废水采用</w:t>
            </w:r>
            <w:r>
              <w:rPr>
                <w:rFonts w:hint="eastAsia" w:ascii="Times New Roman" w:hAnsi="Times New Roman" w:eastAsia="宋体" w:cs="Times New Roman"/>
                <w:color w:val="000000" w:themeColor="text1"/>
                <w:sz w:val="24"/>
                <w:lang w:val="en-US" w:eastAsia="zh-CN"/>
                <w14:textFill>
                  <w14:solidFill>
                    <w14:schemeClr w14:val="tx1"/>
                  </w14:solidFill>
                </w14:textFill>
              </w:rPr>
              <w:t>“格栅+隔油池+A/O池</w:t>
            </w:r>
            <w:r>
              <w:rPr>
                <w:rFonts w:hint="eastAsia" w:cs="Times New Roman"/>
                <w:color w:val="000000" w:themeColor="text1"/>
                <w:sz w:val="24"/>
                <w:lang w:val="en-US" w:eastAsia="zh-CN"/>
                <w14:textFill>
                  <w14:solidFill>
                    <w14:schemeClr w14:val="tx1"/>
                  </w14:solidFill>
                </w14:textFill>
              </w:rPr>
              <w:t>+沉淀</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工艺处理，有污泥产生，本项目污水处理站污泥产生量约为</w:t>
            </w:r>
            <w:r>
              <w:rPr>
                <w:rFonts w:hint="eastAsia" w:cs="Times New Roman"/>
                <w:color w:val="000000" w:themeColor="text1"/>
                <w:sz w:val="24"/>
                <w:lang w:val="en-US" w:eastAsia="zh-CN"/>
                <w14:textFill>
                  <w14:solidFill>
                    <w14:schemeClr w14:val="tx1"/>
                  </w14:solidFill>
                </w14:textFill>
              </w:rPr>
              <w:t>2.206</w:t>
            </w:r>
            <w:r>
              <w:rPr>
                <w:rFonts w:hint="default" w:ascii="Times New Roman" w:hAnsi="Times New Roman" w:eastAsia="宋体" w:cs="Times New Roman"/>
                <w:color w:val="000000" w:themeColor="text1"/>
                <w:sz w:val="24"/>
                <w:lang w:val="en-US" w:eastAsia="zh-CN"/>
                <w14:textFill>
                  <w14:solidFill>
                    <w14:schemeClr w14:val="tx1"/>
                  </w14:solidFill>
                </w14:textFill>
              </w:rPr>
              <w:t>t/a（</w:t>
            </w:r>
            <w:commentRangeStart w:id="99"/>
            <w:r>
              <w:rPr>
                <w:rFonts w:hint="default" w:ascii="Times New Roman" w:hAnsi="Times New Roman" w:eastAsia="宋体" w:cs="Times New Roman"/>
                <w:color w:val="000000" w:themeColor="text1"/>
                <w:sz w:val="24"/>
                <w:lang w:val="en-US" w:eastAsia="zh-CN"/>
                <w14:textFill>
                  <w14:solidFill>
                    <w14:schemeClr w14:val="tx1"/>
                  </w14:solidFill>
                </w14:textFill>
              </w:rPr>
              <w:t>按不含水记），污泥含水率约60%</w:t>
            </w:r>
            <w:commentRangeEnd w:id="99"/>
            <w:r>
              <w:commentReference w:id="99"/>
            </w:r>
            <w:r>
              <w:rPr>
                <w:rFonts w:hint="default" w:ascii="Times New Roman" w:hAnsi="Times New Roman" w:eastAsia="宋体" w:cs="Times New Roman"/>
                <w:color w:val="000000" w:themeColor="text1"/>
                <w:sz w:val="24"/>
                <w:lang w:val="en-US" w:eastAsia="zh-CN"/>
                <w14:textFill>
                  <w14:solidFill>
                    <w14:schemeClr w14:val="tx1"/>
                  </w14:solidFill>
                </w14:textFill>
              </w:rPr>
              <w:t>，则污泥总产生量约</w:t>
            </w:r>
            <w:r>
              <w:rPr>
                <w:rFonts w:hint="eastAsia" w:cs="Times New Roman"/>
                <w:color w:val="000000" w:themeColor="text1"/>
                <w:sz w:val="24"/>
                <w:lang w:val="en-US" w:eastAsia="zh-CN"/>
                <w14:textFill>
                  <w14:solidFill>
                    <w14:schemeClr w14:val="tx1"/>
                  </w14:solidFill>
                </w14:textFill>
              </w:rPr>
              <w:t>5.515</w:t>
            </w:r>
            <w:r>
              <w:rPr>
                <w:rFonts w:hint="default" w:ascii="Times New Roman" w:hAnsi="Times New Roman" w:eastAsia="宋体" w:cs="Times New Roman"/>
                <w:color w:val="000000" w:themeColor="text1"/>
                <w:sz w:val="24"/>
                <w:lang w:val="en-US" w:eastAsia="zh-CN"/>
                <w14:textFill>
                  <w14:solidFill>
                    <w14:schemeClr w14:val="tx1"/>
                  </w14:solidFill>
                </w14:textFill>
              </w:rPr>
              <w:t>t/a，定期收集后收集后交由环卫部门处理。根据《固体废物分类与代码目录（2024版）》可知，污水处理站污泥的一般固体废物代码为140-001-S07。</w:t>
            </w:r>
          </w:p>
          <w:p w14:paraId="70CCDF5E">
            <w:pPr>
              <w:tabs>
                <w:tab w:val="left" w:pos="1081"/>
              </w:tabs>
              <w:adjustRightInd w:val="0"/>
              <w:snapToGrid w:val="0"/>
              <w:spacing w:line="360" w:lineRule="auto"/>
              <w:jc w:val="center"/>
              <w:rPr>
                <w:rFonts w:hint="default" w:ascii="Times New Roman" w:hAnsi="Times New Roman" w:eastAsia="宋体" w:cs="Times New Roman"/>
                <w:b/>
                <w:bCs/>
                <w:color w:val="000000" w:themeColor="text1"/>
                <w:sz w:val="24"/>
                <w:szCs w:val="24"/>
                <w:u w:val="none"/>
                <w14:textFill>
                  <w14:solidFill>
                    <w14:schemeClr w14:val="tx1"/>
                  </w14:solidFill>
                </w14:textFill>
              </w:rPr>
            </w:pPr>
            <w:r>
              <w:rPr>
                <w:rFonts w:hint="default" w:ascii="Times New Roman" w:hAnsi="Times New Roman" w:eastAsia="宋体" w:cs="Times New Roman"/>
                <w:b/>
                <w:bCs/>
                <w:color w:val="000000" w:themeColor="text1"/>
                <w:sz w:val="24"/>
                <w:szCs w:val="24"/>
                <w:u w:val="none"/>
                <w14:textFill>
                  <w14:solidFill>
                    <w14:schemeClr w14:val="tx1"/>
                  </w14:solidFill>
                </w14:textFill>
              </w:rPr>
              <w:t>表4-</w:t>
            </w:r>
            <w:r>
              <w:rPr>
                <w:rFonts w:hint="eastAsia" w:ascii="Times New Roman" w:hAnsi="Times New Roman" w:eastAsia="宋体" w:cs="Times New Roman"/>
                <w:b/>
                <w:bCs/>
                <w:color w:val="000000" w:themeColor="text1"/>
                <w:sz w:val="24"/>
                <w:szCs w:val="24"/>
                <w:u w:val="none"/>
                <w:lang w:val="en-US" w:eastAsia="zh-CN"/>
                <w14:textFill>
                  <w14:solidFill>
                    <w14:schemeClr w14:val="tx1"/>
                  </w14:solidFill>
                </w14:textFill>
              </w:rPr>
              <w:t>21</w:t>
            </w:r>
            <w:r>
              <w:rPr>
                <w:rFonts w:hint="default" w:ascii="Times New Roman" w:hAnsi="Times New Roman" w:eastAsia="宋体" w:cs="Times New Roman"/>
                <w:b/>
                <w:bCs/>
                <w:color w:val="000000" w:themeColor="text1"/>
                <w:sz w:val="24"/>
                <w:szCs w:val="24"/>
                <w:u w:val="none"/>
                <w14:textFill>
                  <w14:solidFill>
                    <w14:schemeClr w14:val="tx1"/>
                  </w14:solidFill>
                </w14:textFill>
              </w:rPr>
              <w:t xml:space="preserve">  本项目固体废物产生量及处理措施一览表</w:t>
            </w:r>
          </w:p>
          <w:tbl>
            <w:tblPr>
              <w:tblStyle w:val="20"/>
              <w:tblW w:w="4989"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90"/>
              <w:gridCol w:w="807"/>
              <w:gridCol w:w="779"/>
              <w:gridCol w:w="705"/>
              <w:gridCol w:w="660"/>
              <w:gridCol w:w="825"/>
              <w:gridCol w:w="1110"/>
              <w:gridCol w:w="900"/>
              <w:gridCol w:w="1438"/>
              <w:gridCol w:w="1334"/>
            </w:tblGrid>
            <w:tr w14:paraId="4874289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1193E39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固废名称</w:t>
                  </w:r>
                </w:p>
              </w:tc>
              <w:tc>
                <w:tcPr>
                  <w:tcW w:w="436" w:type="pct"/>
                  <w:noWrap w:val="0"/>
                  <w:vAlign w:val="center"/>
                </w:tcPr>
                <w:p w14:paraId="5B0048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产生点位</w:t>
                  </w:r>
                </w:p>
              </w:tc>
              <w:tc>
                <w:tcPr>
                  <w:tcW w:w="421" w:type="pct"/>
                  <w:noWrap w:val="0"/>
                  <w:vAlign w:val="center"/>
                </w:tcPr>
                <w:p w14:paraId="134C12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主要成分</w:t>
                  </w:r>
                </w:p>
              </w:tc>
              <w:tc>
                <w:tcPr>
                  <w:tcW w:w="381" w:type="pct"/>
                  <w:noWrap w:val="0"/>
                  <w:vAlign w:val="center"/>
                </w:tcPr>
                <w:p w14:paraId="361D01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物理性质</w:t>
                  </w:r>
                </w:p>
              </w:tc>
              <w:tc>
                <w:tcPr>
                  <w:tcW w:w="356" w:type="pct"/>
                  <w:noWrap w:val="0"/>
                  <w:vAlign w:val="center"/>
                </w:tcPr>
                <w:p w14:paraId="558A08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固废种类</w:t>
                  </w:r>
                </w:p>
              </w:tc>
              <w:tc>
                <w:tcPr>
                  <w:tcW w:w="446" w:type="pct"/>
                  <w:noWrap w:val="0"/>
                  <w:vAlign w:val="center"/>
                </w:tcPr>
                <w:p w14:paraId="18F2C02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产生量（t/a）</w:t>
                  </w:r>
                </w:p>
              </w:tc>
              <w:tc>
                <w:tcPr>
                  <w:tcW w:w="600" w:type="pct"/>
                  <w:noWrap w:val="0"/>
                  <w:vAlign w:val="center"/>
                </w:tcPr>
                <w:p w14:paraId="76171A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利用处置方式和去向</w:t>
                  </w:r>
                </w:p>
              </w:tc>
              <w:tc>
                <w:tcPr>
                  <w:tcW w:w="486" w:type="pct"/>
                  <w:noWrap w:val="0"/>
                  <w:vAlign w:val="center"/>
                </w:tcPr>
                <w:p w14:paraId="0E3324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利用或处置量（t/a）</w:t>
                  </w:r>
                </w:p>
              </w:tc>
              <w:tc>
                <w:tcPr>
                  <w:tcW w:w="777" w:type="pct"/>
                  <w:noWrap w:val="0"/>
                  <w:vAlign w:val="center"/>
                </w:tcPr>
                <w:p w14:paraId="21B962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环境管理要求</w:t>
                  </w:r>
                </w:p>
              </w:tc>
              <w:tc>
                <w:tcPr>
                  <w:tcW w:w="721" w:type="pct"/>
                  <w:noWrap w:val="0"/>
                  <w:vAlign w:val="center"/>
                </w:tcPr>
                <w:p w14:paraId="1BB3C2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代码</w:t>
                  </w:r>
                </w:p>
              </w:tc>
            </w:tr>
            <w:tr w14:paraId="018425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2E6713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职工生活垃圾</w:t>
                  </w:r>
                </w:p>
              </w:tc>
              <w:tc>
                <w:tcPr>
                  <w:tcW w:w="436" w:type="pct"/>
                  <w:noWrap w:val="0"/>
                  <w:vAlign w:val="center"/>
                </w:tcPr>
                <w:p w14:paraId="3651EA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w:t>
                  </w:r>
                </w:p>
              </w:tc>
              <w:tc>
                <w:tcPr>
                  <w:tcW w:w="421" w:type="pct"/>
                  <w:noWrap w:val="0"/>
                  <w:vAlign w:val="center"/>
                </w:tcPr>
                <w:p w14:paraId="55BCDD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生活垃圾</w:t>
                  </w:r>
                </w:p>
              </w:tc>
              <w:tc>
                <w:tcPr>
                  <w:tcW w:w="381" w:type="pct"/>
                  <w:noWrap w:val="0"/>
                  <w:vAlign w:val="center"/>
                </w:tcPr>
                <w:p w14:paraId="012BC3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固态</w:t>
                  </w:r>
                </w:p>
              </w:tc>
              <w:tc>
                <w:tcPr>
                  <w:tcW w:w="356" w:type="pct"/>
                  <w:noWrap w:val="0"/>
                  <w:vAlign w:val="center"/>
                </w:tcPr>
                <w:p w14:paraId="7C4ACF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138212E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15.0</w:t>
                  </w:r>
                </w:p>
              </w:tc>
              <w:tc>
                <w:tcPr>
                  <w:tcW w:w="600" w:type="pct"/>
                  <w:noWrap w:val="0"/>
                  <w:vAlign w:val="center"/>
                </w:tcPr>
                <w:p w14:paraId="74AAA07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分类收集后交由环卫部门运至垃圾中转站处理</w:t>
                  </w:r>
                </w:p>
              </w:tc>
              <w:tc>
                <w:tcPr>
                  <w:tcW w:w="486" w:type="pct"/>
                  <w:noWrap w:val="0"/>
                  <w:vAlign w:val="center"/>
                </w:tcPr>
                <w:p w14:paraId="126F9D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15.0</w:t>
                  </w:r>
                </w:p>
              </w:tc>
              <w:tc>
                <w:tcPr>
                  <w:tcW w:w="777" w:type="pct"/>
                  <w:vMerge w:val="restart"/>
                  <w:noWrap w:val="0"/>
                  <w:vAlign w:val="center"/>
                </w:tcPr>
                <w:p w14:paraId="464685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执行《一般工业固体废物贮存和填埋污染控制标准》（GB18599-2020）</w:t>
                  </w:r>
                </w:p>
              </w:tc>
              <w:tc>
                <w:tcPr>
                  <w:tcW w:w="721" w:type="pct"/>
                  <w:shd w:val="clear" w:color="auto" w:fill="auto"/>
                  <w:noWrap w:val="0"/>
                  <w:vAlign w:val="center"/>
                </w:tcPr>
                <w:p w14:paraId="60FBE388">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bCs/>
                      <w:color w:val="000000" w:themeColor="text1"/>
                      <w:kern w:val="0"/>
                      <w:sz w:val="21"/>
                      <w:szCs w:val="21"/>
                      <w14:textFill>
                        <w14:solidFill>
                          <w14:schemeClr w14:val="tx1"/>
                        </w14:solidFill>
                      </w14:textFill>
                    </w:rPr>
                    <w:t>900-099-S64</w:t>
                  </w:r>
                </w:p>
              </w:tc>
            </w:tr>
            <w:tr w14:paraId="22B332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474D84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化粪池污泥</w:t>
                  </w:r>
                </w:p>
              </w:tc>
              <w:tc>
                <w:tcPr>
                  <w:tcW w:w="436" w:type="pct"/>
                  <w:noWrap w:val="0"/>
                  <w:vAlign w:val="center"/>
                </w:tcPr>
                <w:p w14:paraId="74AE34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w:t>
                  </w:r>
                </w:p>
              </w:tc>
              <w:tc>
                <w:tcPr>
                  <w:tcW w:w="421" w:type="pct"/>
                  <w:noWrap w:val="0"/>
                  <w:vAlign w:val="center"/>
                </w:tcPr>
                <w:p w14:paraId="47AED4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污泥</w:t>
                  </w:r>
                </w:p>
              </w:tc>
              <w:tc>
                <w:tcPr>
                  <w:tcW w:w="381" w:type="pct"/>
                  <w:noWrap w:val="0"/>
                  <w:vAlign w:val="center"/>
                </w:tcPr>
                <w:p w14:paraId="22A899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半固态</w:t>
                  </w:r>
                </w:p>
              </w:tc>
              <w:tc>
                <w:tcPr>
                  <w:tcW w:w="356" w:type="pct"/>
                  <w:noWrap w:val="0"/>
                  <w:vAlign w:val="center"/>
                </w:tcPr>
                <w:p w14:paraId="14F4D2C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0D666EC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7.5</w:t>
                  </w:r>
                </w:p>
              </w:tc>
              <w:tc>
                <w:tcPr>
                  <w:tcW w:w="600" w:type="pct"/>
                  <w:noWrap w:val="0"/>
                  <w:vAlign w:val="center"/>
                </w:tcPr>
                <w:p w14:paraId="04C359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定期清掏后交由环卫部门处理</w:t>
                  </w:r>
                </w:p>
              </w:tc>
              <w:tc>
                <w:tcPr>
                  <w:tcW w:w="486" w:type="pct"/>
                  <w:noWrap w:val="0"/>
                  <w:vAlign w:val="center"/>
                </w:tcPr>
                <w:p w14:paraId="2EE7820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7.5</w:t>
                  </w:r>
                </w:p>
              </w:tc>
              <w:tc>
                <w:tcPr>
                  <w:tcW w:w="777" w:type="pct"/>
                  <w:vMerge w:val="continue"/>
                  <w:noWrap w:val="0"/>
                  <w:vAlign w:val="center"/>
                </w:tcPr>
                <w:p w14:paraId="598D39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08DE1104">
                  <w:pPr>
                    <w:jc w:val="center"/>
                    <w:rPr>
                      <w:rFonts w:hint="eastAsia"/>
                      <w:bCs/>
                      <w:color w:val="000000" w:themeColor="text1"/>
                      <w:kern w:val="0"/>
                      <w:sz w:val="21"/>
                      <w:szCs w:val="21"/>
                      <w14:textFill>
                        <w14:solidFill>
                          <w14:schemeClr w14:val="tx1"/>
                        </w14:solidFill>
                      </w14:textFill>
                    </w:rPr>
                  </w:pPr>
                  <w:r>
                    <w:rPr>
                      <w:rFonts w:hint="eastAsia"/>
                      <w:bCs/>
                      <w:color w:val="000000" w:themeColor="text1"/>
                      <w:kern w:val="0"/>
                      <w:sz w:val="21"/>
                      <w:szCs w:val="21"/>
                      <w14:textFill>
                        <w14:solidFill>
                          <w14:schemeClr w14:val="tx1"/>
                        </w14:solidFill>
                      </w14:textFill>
                    </w:rPr>
                    <w:t>900-099-S07</w:t>
                  </w:r>
                </w:p>
              </w:tc>
            </w:tr>
            <w:tr w14:paraId="4AD21F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69A7426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肉末残渣</w:t>
                  </w:r>
                </w:p>
              </w:tc>
              <w:tc>
                <w:tcPr>
                  <w:tcW w:w="436" w:type="pct"/>
                  <w:noWrap w:val="0"/>
                  <w:vAlign w:val="center"/>
                </w:tcPr>
                <w:p w14:paraId="1BE67F3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肉类清洗</w:t>
                  </w:r>
                </w:p>
              </w:tc>
              <w:tc>
                <w:tcPr>
                  <w:tcW w:w="421" w:type="pct"/>
                  <w:noWrap w:val="0"/>
                  <w:vAlign w:val="center"/>
                </w:tcPr>
                <w:p w14:paraId="2A6F13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肉末残渣</w:t>
                  </w:r>
                </w:p>
              </w:tc>
              <w:tc>
                <w:tcPr>
                  <w:tcW w:w="381" w:type="pct"/>
                  <w:noWrap w:val="0"/>
                  <w:vAlign w:val="center"/>
                </w:tcPr>
                <w:p w14:paraId="3AE522A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固态</w:t>
                  </w:r>
                </w:p>
              </w:tc>
              <w:tc>
                <w:tcPr>
                  <w:tcW w:w="356" w:type="pct"/>
                  <w:noWrap w:val="0"/>
                  <w:vAlign w:val="center"/>
                </w:tcPr>
                <w:p w14:paraId="3E3154D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74EEFCA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2.12</w:t>
                  </w:r>
                </w:p>
              </w:tc>
              <w:tc>
                <w:tcPr>
                  <w:tcW w:w="600" w:type="pct"/>
                  <w:shd w:val="clear" w:color="auto" w:fill="auto"/>
                  <w:noWrap w:val="0"/>
                  <w:vAlign w:val="center"/>
                </w:tcPr>
                <w:p w14:paraId="505786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486" w:type="pct"/>
                  <w:noWrap w:val="0"/>
                  <w:vAlign w:val="center"/>
                </w:tcPr>
                <w:p w14:paraId="22FF545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2.12</w:t>
                  </w:r>
                </w:p>
              </w:tc>
              <w:tc>
                <w:tcPr>
                  <w:tcW w:w="777" w:type="pct"/>
                  <w:vMerge w:val="continue"/>
                  <w:noWrap w:val="0"/>
                  <w:vAlign w:val="center"/>
                </w:tcPr>
                <w:p w14:paraId="1E9E8B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6CB095B1">
                  <w:pPr>
                    <w:jc w:val="center"/>
                    <w:rPr>
                      <w:rFonts w:hint="eastAsia"/>
                      <w:bCs/>
                      <w:color w:val="000000" w:themeColor="text1"/>
                      <w:kern w:val="0"/>
                      <w:sz w:val="21"/>
                      <w:szCs w:val="21"/>
                      <w:lang w:val="en-US" w:eastAsia="zh-CN"/>
                      <w14:textFill>
                        <w14:solidFill>
                          <w14:schemeClr w14:val="tx1"/>
                        </w14:solidFill>
                      </w14:textFill>
                    </w:rPr>
                  </w:pPr>
                  <w:r>
                    <w:rPr>
                      <w:rFonts w:hint="eastAsia"/>
                      <w:bCs/>
                      <w:color w:val="000000" w:themeColor="text1"/>
                      <w:kern w:val="0"/>
                      <w:sz w:val="21"/>
                      <w:szCs w:val="21"/>
                      <w:lang w:val="en-US" w:eastAsia="zh-CN"/>
                      <w14:textFill>
                        <w14:solidFill>
                          <w14:schemeClr w14:val="tx1"/>
                        </w14:solidFill>
                      </w14:textFill>
                    </w:rPr>
                    <w:t>900-099-S13</w:t>
                  </w:r>
                </w:p>
              </w:tc>
            </w:tr>
            <w:tr w14:paraId="2B83E9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161845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c>
                <w:tcPr>
                  <w:tcW w:w="436" w:type="pct"/>
                  <w:noWrap w:val="0"/>
                  <w:vAlign w:val="center"/>
                </w:tcPr>
                <w:p w14:paraId="2C619F5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蔬菜清洗</w:t>
                  </w:r>
                </w:p>
              </w:tc>
              <w:tc>
                <w:tcPr>
                  <w:tcW w:w="421" w:type="pct"/>
                  <w:noWrap w:val="0"/>
                  <w:vAlign w:val="center"/>
                </w:tcPr>
                <w:p w14:paraId="3845F69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c>
                <w:tcPr>
                  <w:tcW w:w="381" w:type="pct"/>
                  <w:noWrap w:val="0"/>
                  <w:vAlign w:val="center"/>
                </w:tcPr>
                <w:p w14:paraId="4CFCAC9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固态</w:t>
                  </w:r>
                </w:p>
              </w:tc>
              <w:tc>
                <w:tcPr>
                  <w:tcW w:w="356" w:type="pct"/>
                  <w:noWrap w:val="0"/>
                  <w:vAlign w:val="center"/>
                </w:tcPr>
                <w:p w14:paraId="77FD1CB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63A0BC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6.4</w:t>
                  </w:r>
                </w:p>
              </w:tc>
              <w:tc>
                <w:tcPr>
                  <w:tcW w:w="600" w:type="pct"/>
                  <w:noWrap w:val="0"/>
                  <w:vAlign w:val="center"/>
                </w:tcPr>
                <w:p w14:paraId="361E90A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486" w:type="pct"/>
                  <w:noWrap w:val="0"/>
                  <w:vAlign w:val="center"/>
                </w:tcPr>
                <w:p w14:paraId="0263C18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6.4</w:t>
                  </w:r>
                </w:p>
              </w:tc>
              <w:tc>
                <w:tcPr>
                  <w:tcW w:w="777" w:type="pct"/>
                  <w:vMerge w:val="continue"/>
                  <w:noWrap w:val="0"/>
                  <w:vAlign w:val="center"/>
                </w:tcPr>
                <w:p w14:paraId="41FD24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21C0C25F">
                  <w:pPr>
                    <w:jc w:val="center"/>
                    <w:rPr>
                      <w:rFonts w:hint="eastAsia"/>
                      <w:bCs/>
                      <w:color w:val="000000" w:themeColor="text1"/>
                      <w:kern w:val="0"/>
                      <w:sz w:val="21"/>
                      <w:szCs w:val="21"/>
                      <w14:textFill>
                        <w14:solidFill>
                          <w14:schemeClr w14:val="tx1"/>
                        </w14:solidFill>
                      </w14:textFill>
                    </w:rPr>
                  </w:pPr>
                  <w:r>
                    <w:rPr>
                      <w:rFonts w:hint="eastAsia"/>
                      <w:bCs/>
                      <w:color w:val="000000" w:themeColor="text1"/>
                      <w:kern w:val="0"/>
                      <w:sz w:val="21"/>
                      <w:szCs w:val="21"/>
                      <w:lang w:val="en-US" w:eastAsia="zh-CN"/>
                      <w14:textFill>
                        <w14:solidFill>
                          <w14:schemeClr w14:val="tx1"/>
                        </w14:solidFill>
                      </w14:textFill>
                    </w:rPr>
                    <w:t>900-099-S13</w:t>
                  </w:r>
                </w:p>
              </w:tc>
            </w:tr>
            <w:tr w14:paraId="6B38CC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1BF8AC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废油脂</w:t>
                  </w:r>
                </w:p>
              </w:tc>
              <w:tc>
                <w:tcPr>
                  <w:tcW w:w="436" w:type="pct"/>
                  <w:noWrap w:val="0"/>
                  <w:vAlign w:val="center"/>
                </w:tcPr>
                <w:p w14:paraId="7D8BD318">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隔油池、</w:t>
                  </w: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静电</w:t>
                  </w:r>
                  <w:r>
                    <w:rPr>
                      <w:rFonts w:hint="default" w:ascii="Times New Roman" w:hAnsi="Times New Roman" w:eastAsia="宋体" w:cs="Times New Roman"/>
                      <w:bCs/>
                      <w:color w:val="000000" w:themeColor="text1"/>
                      <w:kern w:val="0"/>
                      <w:sz w:val="21"/>
                      <w:szCs w:val="21"/>
                      <w:u w:val="none"/>
                      <w14:textFill>
                        <w14:solidFill>
                          <w14:schemeClr w14:val="tx1"/>
                        </w14:solidFill>
                      </w14:textFill>
                    </w:rPr>
                    <w:t>油烟净化器</w:t>
                  </w:r>
                </w:p>
              </w:tc>
              <w:tc>
                <w:tcPr>
                  <w:tcW w:w="421" w:type="pct"/>
                  <w:noWrap w:val="0"/>
                  <w:vAlign w:val="center"/>
                </w:tcPr>
                <w:p w14:paraId="62D06B5F">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废油脂</w:t>
                  </w:r>
                </w:p>
              </w:tc>
              <w:tc>
                <w:tcPr>
                  <w:tcW w:w="381" w:type="pct"/>
                  <w:noWrap w:val="0"/>
                  <w:vAlign w:val="center"/>
                </w:tcPr>
                <w:p w14:paraId="5964E5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半固态</w:t>
                  </w:r>
                </w:p>
              </w:tc>
              <w:tc>
                <w:tcPr>
                  <w:tcW w:w="356" w:type="pct"/>
                  <w:noWrap w:val="0"/>
                  <w:vAlign w:val="center"/>
                </w:tcPr>
                <w:p w14:paraId="2C3EFD2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244D012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0.295</w:t>
                  </w:r>
                </w:p>
              </w:tc>
              <w:tc>
                <w:tcPr>
                  <w:tcW w:w="600" w:type="pct"/>
                  <w:noWrap w:val="0"/>
                  <w:vAlign w:val="center"/>
                </w:tcPr>
                <w:p w14:paraId="4519590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使用专用垃圾桶收集，加盖密闭交由餐厨垃圾回收单位处置</w:t>
                  </w:r>
                </w:p>
              </w:tc>
              <w:tc>
                <w:tcPr>
                  <w:tcW w:w="486" w:type="pct"/>
                  <w:noWrap w:val="0"/>
                  <w:vAlign w:val="center"/>
                </w:tcPr>
                <w:p w14:paraId="758FEED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0.295</w:t>
                  </w:r>
                </w:p>
              </w:tc>
              <w:tc>
                <w:tcPr>
                  <w:tcW w:w="777" w:type="pct"/>
                  <w:vMerge w:val="continue"/>
                  <w:noWrap w:val="0"/>
                  <w:vAlign w:val="center"/>
                </w:tcPr>
                <w:p w14:paraId="3F9874D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53A904DE">
                  <w:pPr>
                    <w:jc w:val="center"/>
                    <w:rPr>
                      <w:rFonts w:hint="eastAsia"/>
                      <w:bCs/>
                      <w:color w:val="000000" w:themeColor="text1"/>
                      <w:kern w:val="0"/>
                      <w:sz w:val="21"/>
                      <w:szCs w:val="21"/>
                      <w14:textFill>
                        <w14:solidFill>
                          <w14:schemeClr w14:val="tx1"/>
                        </w14:solidFill>
                      </w14:textFill>
                    </w:rPr>
                  </w:pPr>
                  <w:r>
                    <w:rPr>
                      <w:rFonts w:hint="eastAsia"/>
                      <w:bCs/>
                      <w:color w:val="000000" w:themeColor="text1"/>
                      <w:kern w:val="0"/>
                      <w:sz w:val="21"/>
                      <w:szCs w:val="21"/>
                      <w:lang w:val="en-US" w:eastAsia="zh-CN"/>
                      <w14:textFill>
                        <w14:solidFill>
                          <w14:schemeClr w14:val="tx1"/>
                        </w14:solidFill>
                      </w14:textFill>
                    </w:rPr>
                    <w:t>140-001-S07</w:t>
                  </w:r>
                </w:p>
              </w:tc>
            </w:tr>
            <w:tr w14:paraId="08ACA64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78A1731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食品残渣</w:t>
                  </w:r>
                </w:p>
              </w:tc>
              <w:tc>
                <w:tcPr>
                  <w:tcW w:w="436" w:type="pct"/>
                  <w:noWrap w:val="0"/>
                  <w:vAlign w:val="center"/>
                </w:tcPr>
                <w:p w14:paraId="0F9D9026">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cs="Times New Roman"/>
                      <w:bCs/>
                      <w:color w:val="000000" w:themeColor="text1"/>
                      <w:kern w:val="0"/>
                      <w:sz w:val="21"/>
                      <w:szCs w:val="21"/>
                      <w:u w:val="none"/>
                      <w:lang w:val="en-US" w:eastAsia="zh-CN"/>
                      <w14:textFill>
                        <w14:solidFill>
                          <w14:schemeClr w14:val="tx1"/>
                        </w14:solidFill>
                      </w14:textFill>
                    </w:rPr>
                    <w:t>餐具及设备清洗</w:t>
                  </w:r>
                </w:p>
              </w:tc>
              <w:tc>
                <w:tcPr>
                  <w:tcW w:w="421" w:type="pct"/>
                  <w:noWrap w:val="0"/>
                  <w:vAlign w:val="center"/>
                </w:tcPr>
                <w:p w14:paraId="5A14FA8D">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食品残渣</w:t>
                  </w:r>
                </w:p>
              </w:tc>
              <w:tc>
                <w:tcPr>
                  <w:tcW w:w="381" w:type="pct"/>
                  <w:noWrap w:val="0"/>
                  <w:vAlign w:val="center"/>
                </w:tcPr>
                <w:p w14:paraId="5BD01C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固态</w:t>
                  </w:r>
                </w:p>
              </w:tc>
              <w:tc>
                <w:tcPr>
                  <w:tcW w:w="356" w:type="pct"/>
                  <w:noWrap w:val="0"/>
                  <w:vAlign w:val="center"/>
                </w:tcPr>
                <w:p w14:paraId="0C540CA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3635BEF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20.0</w:t>
                  </w:r>
                </w:p>
              </w:tc>
              <w:tc>
                <w:tcPr>
                  <w:tcW w:w="600" w:type="pct"/>
                  <w:noWrap w:val="0"/>
                  <w:vAlign w:val="center"/>
                </w:tcPr>
                <w:p w14:paraId="227A66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486" w:type="pct"/>
                  <w:noWrap w:val="0"/>
                  <w:vAlign w:val="center"/>
                </w:tcPr>
                <w:p w14:paraId="314DE83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20.0</w:t>
                  </w:r>
                </w:p>
              </w:tc>
              <w:tc>
                <w:tcPr>
                  <w:tcW w:w="777" w:type="pct"/>
                  <w:vMerge w:val="restart"/>
                  <w:noWrap w:val="0"/>
                  <w:vAlign w:val="center"/>
                </w:tcPr>
                <w:p w14:paraId="24FB36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0BBA3B5C">
                  <w:pPr>
                    <w:jc w:val="center"/>
                    <w:rPr>
                      <w:rFonts w:hint="eastAsia"/>
                      <w:bCs/>
                      <w:color w:val="000000" w:themeColor="text1"/>
                      <w:kern w:val="0"/>
                      <w:sz w:val="21"/>
                      <w:szCs w:val="21"/>
                      <w:lang w:val="en-US" w:eastAsia="zh-CN"/>
                      <w14:textFill>
                        <w14:solidFill>
                          <w14:schemeClr w14:val="tx1"/>
                        </w14:solidFill>
                      </w14:textFill>
                    </w:rPr>
                  </w:pPr>
                  <w:r>
                    <w:rPr>
                      <w:rFonts w:hint="eastAsia"/>
                      <w:bCs/>
                      <w:color w:val="000000" w:themeColor="text1"/>
                      <w:kern w:val="0"/>
                      <w:sz w:val="21"/>
                      <w:szCs w:val="21"/>
                      <w:lang w:val="en-US" w:eastAsia="zh-CN"/>
                      <w14:textFill>
                        <w14:solidFill>
                          <w14:schemeClr w14:val="tx1"/>
                        </w14:solidFill>
                      </w14:textFill>
                    </w:rPr>
                    <w:t>900-099-S13</w:t>
                  </w:r>
                </w:p>
              </w:tc>
            </w:tr>
            <w:tr w14:paraId="5FD73D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1767DD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436" w:type="pct"/>
                  <w:noWrap w:val="0"/>
                  <w:vAlign w:val="center"/>
                </w:tcPr>
                <w:p w14:paraId="2F624F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原料拆包及产品包装</w:t>
                  </w:r>
                </w:p>
              </w:tc>
              <w:tc>
                <w:tcPr>
                  <w:tcW w:w="421" w:type="pct"/>
                  <w:noWrap w:val="0"/>
                  <w:vAlign w:val="center"/>
                </w:tcPr>
                <w:p w14:paraId="2248A3A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381" w:type="pct"/>
                  <w:noWrap w:val="0"/>
                  <w:vAlign w:val="center"/>
                </w:tcPr>
                <w:p w14:paraId="012FF4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356" w:type="pct"/>
                  <w:noWrap w:val="0"/>
                  <w:vAlign w:val="center"/>
                </w:tcPr>
                <w:p w14:paraId="792618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446" w:type="pct"/>
                  <w:noWrap w:val="0"/>
                  <w:vAlign w:val="center"/>
                </w:tcPr>
                <w:p w14:paraId="519F04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5.0</w:t>
                  </w:r>
                </w:p>
              </w:tc>
              <w:tc>
                <w:tcPr>
                  <w:tcW w:w="600" w:type="pct"/>
                  <w:noWrap w:val="0"/>
                  <w:vAlign w:val="center"/>
                </w:tcPr>
                <w:p w14:paraId="474FA7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486" w:type="pct"/>
                  <w:noWrap w:val="0"/>
                  <w:vAlign w:val="center"/>
                </w:tcPr>
                <w:p w14:paraId="6BE0F3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5.0</w:t>
                  </w:r>
                </w:p>
              </w:tc>
              <w:tc>
                <w:tcPr>
                  <w:tcW w:w="777" w:type="pct"/>
                  <w:vMerge w:val="continue"/>
                  <w:noWrap w:val="0"/>
                  <w:vAlign w:val="center"/>
                </w:tcPr>
                <w:p w14:paraId="3C4AD9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7C9E5058">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900-003-S17</w:t>
                  </w:r>
                </w:p>
              </w:tc>
            </w:tr>
            <w:tr w14:paraId="0F31DE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2B5844BF">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color w:val="000000" w:themeColor="text1"/>
                      <w:szCs w:val="21"/>
                      <w14:textFill>
                        <w14:solidFill>
                          <w14:schemeClr w14:val="tx1"/>
                        </w14:solidFill>
                      </w14:textFill>
                    </w:rPr>
                    <w:t>废石英砂</w:t>
                  </w:r>
                </w:p>
              </w:tc>
              <w:tc>
                <w:tcPr>
                  <w:tcW w:w="436" w:type="pct"/>
                  <w:noWrap w:val="0"/>
                  <w:vAlign w:val="center"/>
                </w:tcPr>
                <w:p w14:paraId="42DE1B7D">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421" w:type="pct"/>
                  <w:noWrap w:val="0"/>
                  <w:vAlign w:val="center"/>
                </w:tcPr>
                <w:p w14:paraId="1F21D3BE">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color w:val="000000" w:themeColor="text1"/>
                      <w:szCs w:val="21"/>
                      <w14:textFill>
                        <w14:solidFill>
                          <w14:schemeClr w14:val="tx1"/>
                        </w14:solidFill>
                      </w14:textFill>
                    </w:rPr>
                    <w:t>废石英砂</w:t>
                  </w:r>
                </w:p>
              </w:tc>
              <w:tc>
                <w:tcPr>
                  <w:tcW w:w="381" w:type="pct"/>
                  <w:noWrap w:val="0"/>
                  <w:vAlign w:val="center"/>
                </w:tcPr>
                <w:p w14:paraId="4A6A9516">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固态</w:t>
                  </w:r>
                </w:p>
              </w:tc>
              <w:tc>
                <w:tcPr>
                  <w:tcW w:w="356" w:type="pct"/>
                  <w:noWrap w:val="0"/>
                  <w:vAlign w:val="center"/>
                </w:tcPr>
                <w:p w14:paraId="4786CBEA">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446" w:type="pct"/>
                  <w:noWrap w:val="0"/>
                  <w:vAlign w:val="center"/>
                </w:tcPr>
                <w:p w14:paraId="5D8461AE">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0.5</w:t>
                  </w:r>
                </w:p>
              </w:tc>
              <w:tc>
                <w:tcPr>
                  <w:tcW w:w="600" w:type="pct"/>
                  <w:noWrap w:val="0"/>
                  <w:vAlign w:val="center"/>
                </w:tcPr>
                <w:p w14:paraId="4B4C8F5C">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486" w:type="pct"/>
                  <w:noWrap w:val="0"/>
                  <w:vAlign w:val="center"/>
                </w:tcPr>
                <w:p w14:paraId="267CC95A">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0.5</w:t>
                  </w:r>
                </w:p>
              </w:tc>
              <w:tc>
                <w:tcPr>
                  <w:tcW w:w="777" w:type="pct"/>
                  <w:vMerge w:val="continue"/>
                  <w:noWrap w:val="0"/>
                  <w:vAlign w:val="center"/>
                </w:tcPr>
                <w:p w14:paraId="6B5125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1F4BCD51">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bCs/>
                      <w:color w:val="000000" w:themeColor="text1"/>
                      <w:kern w:val="0"/>
                      <w:szCs w:val="21"/>
                      <w14:textFill>
                        <w14:solidFill>
                          <w14:schemeClr w14:val="tx1"/>
                        </w14:solidFill>
                      </w14:textFill>
                    </w:rPr>
                    <w:t>900-009-S59</w:t>
                  </w:r>
                </w:p>
              </w:tc>
            </w:tr>
            <w:tr w14:paraId="58F09C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1802D308">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color w:val="000000" w:themeColor="text1"/>
                      <w:szCs w:val="21"/>
                      <w14:textFill>
                        <w14:solidFill>
                          <w14:schemeClr w14:val="tx1"/>
                        </w14:solidFill>
                      </w14:textFill>
                    </w:rPr>
                    <w:t>废滤芯</w:t>
                  </w:r>
                </w:p>
              </w:tc>
              <w:tc>
                <w:tcPr>
                  <w:tcW w:w="436" w:type="pct"/>
                  <w:noWrap w:val="0"/>
                  <w:vAlign w:val="center"/>
                </w:tcPr>
                <w:p w14:paraId="248F26D9">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421" w:type="pct"/>
                  <w:noWrap w:val="0"/>
                  <w:vAlign w:val="center"/>
                </w:tcPr>
                <w:p w14:paraId="7541DF75">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color w:val="000000" w:themeColor="text1"/>
                      <w:szCs w:val="21"/>
                      <w14:textFill>
                        <w14:solidFill>
                          <w14:schemeClr w14:val="tx1"/>
                        </w14:solidFill>
                      </w14:textFill>
                    </w:rPr>
                    <w:t>废滤芯</w:t>
                  </w:r>
                </w:p>
              </w:tc>
              <w:tc>
                <w:tcPr>
                  <w:tcW w:w="381" w:type="pct"/>
                  <w:noWrap w:val="0"/>
                  <w:vAlign w:val="center"/>
                </w:tcPr>
                <w:p w14:paraId="3EE608D4">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固态</w:t>
                  </w:r>
                </w:p>
              </w:tc>
              <w:tc>
                <w:tcPr>
                  <w:tcW w:w="356" w:type="pct"/>
                  <w:noWrap w:val="0"/>
                  <w:vAlign w:val="center"/>
                </w:tcPr>
                <w:p w14:paraId="11BBC4FE">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446" w:type="pct"/>
                  <w:noWrap w:val="0"/>
                  <w:vAlign w:val="center"/>
                </w:tcPr>
                <w:p w14:paraId="20D7BF7B">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0.5</w:t>
                  </w:r>
                </w:p>
              </w:tc>
              <w:tc>
                <w:tcPr>
                  <w:tcW w:w="600" w:type="pct"/>
                  <w:noWrap w:val="0"/>
                  <w:vAlign w:val="center"/>
                </w:tcPr>
                <w:p w14:paraId="5F96DB71">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486" w:type="pct"/>
                  <w:noWrap w:val="0"/>
                  <w:vAlign w:val="center"/>
                </w:tcPr>
                <w:p w14:paraId="1742C594">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0.5</w:t>
                  </w:r>
                </w:p>
              </w:tc>
              <w:tc>
                <w:tcPr>
                  <w:tcW w:w="777" w:type="pct"/>
                  <w:vMerge w:val="continue"/>
                  <w:noWrap w:val="0"/>
                  <w:vAlign w:val="center"/>
                </w:tcPr>
                <w:p w14:paraId="5D1FDD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452B54E4">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bCs/>
                      <w:color w:val="000000" w:themeColor="text1"/>
                      <w:kern w:val="0"/>
                      <w:szCs w:val="21"/>
                      <w14:textFill>
                        <w14:solidFill>
                          <w14:schemeClr w14:val="tx1"/>
                        </w14:solidFill>
                      </w14:textFill>
                    </w:rPr>
                    <w:t>900-009-S59</w:t>
                  </w:r>
                </w:p>
              </w:tc>
            </w:tr>
            <w:tr w14:paraId="2081C1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33DBC3CA">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color w:val="000000" w:themeColor="text1"/>
                      <w:szCs w:val="21"/>
                      <w14:textFill>
                        <w14:solidFill>
                          <w14:schemeClr w14:val="tx1"/>
                        </w14:solidFill>
                      </w14:textFill>
                    </w:rPr>
                    <w:t>废活性炭</w:t>
                  </w:r>
                </w:p>
              </w:tc>
              <w:tc>
                <w:tcPr>
                  <w:tcW w:w="436" w:type="pct"/>
                  <w:noWrap w:val="0"/>
                  <w:vAlign w:val="center"/>
                </w:tcPr>
                <w:p w14:paraId="447D4A64">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421" w:type="pct"/>
                  <w:noWrap w:val="0"/>
                  <w:vAlign w:val="center"/>
                </w:tcPr>
                <w:p w14:paraId="1F8D6264">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color w:val="000000" w:themeColor="text1"/>
                      <w:szCs w:val="21"/>
                      <w14:textFill>
                        <w14:solidFill>
                          <w14:schemeClr w14:val="tx1"/>
                        </w14:solidFill>
                      </w14:textFill>
                    </w:rPr>
                    <w:t>废活性炭</w:t>
                  </w:r>
                </w:p>
              </w:tc>
              <w:tc>
                <w:tcPr>
                  <w:tcW w:w="381" w:type="pct"/>
                  <w:noWrap w:val="0"/>
                  <w:vAlign w:val="center"/>
                </w:tcPr>
                <w:p w14:paraId="35D05E83">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固态</w:t>
                  </w:r>
                </w:p>
              </w:tc>
              <w:tc>
                <w:tcPr>
                  <w:tcW w:w="356" w:type="pct"/>
                  <w:noWrap w:val="0"/>
                  <w:vAlign w:val="center"/>
                </w:tcPr>
                <w:p w14:paraId="573A0A28">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446" w:type="pct"/>
                  <w:noWrap w:val="0"/>
                  <w:vAlign w:val="center"/>
                </w:tcPr>
                <w:p w14:paraId="7917D2A6">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0.5</w:t>
                  </w:r>
                </w:p>
              </w:tc>
              <w:tc>
                <w:tcPr>
                  <w:tcW w:w="600" w:type="pct"/>
                  <w:noWrap w:val="0"/>
                  <w:vAlign w:val="center"/>
                </w:tcPr>
                <w:p w14:paraId="72A7AA6B">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486" w:type="pct"/>
                  <w:noWrap w:val="0"/>
                  <w:vAlign w:val="center"/>
                </w:tcPr>
                <w:p w14:paraId="11680BE2">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0.5</w:t>
                  </w:r>
                </w:p>
              </w:tc>
              <w:tc>
                <w:tcPr>
                  <w:tcW w:w="777" w:type="pct"/>
                  <w:vMerge w:val="continue"/>
                  <w:noWrap w:val="0"/>
                  <w:vAlign w:val="center"/>
                </w:tcPr>
                <w:p w14:paraId="0200DC3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38E284F7">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bCs/>
                      <w:color w:val="000000" w:themeColor="text1"/>
                      <w:kern w:val="0"/>
                      <w:szCs w:val="21"/>
                      <w14:textFill>
                        <w14:solidFill>
                          <w14:schemeClr w14:val="tx1"/>
                        </w14:solidFill>
                      </w14:textFill>
                    </w:rPr>
                    <w:t>900-008-S59</w:t>
                  </w:r>
                </w:p>
              </w:tc>
            </w:tr>
            <w:tr w14:paraId="28F0F8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7B29B3A2">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废反渗透膜</w:t>
                  </w:r>
                </w:p>
              </w:tc>
              <w:tc>
                <w:tcPr>
                  <w:tcW w:w="436" w:type="pct"/>
                  <w:noWrap w:val="0"/>
                  <w:vAlign w:val="center"/>
                </w:tcPr>
                <w:p w14:paraId="2E4DA488">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421" w:type="pct"/>
                  <w:noWrap w:val="0"/>
                  <w:vAlign w:val="center"/>
                </w:tcPr>
                <w:p w14:paraId="00F5711A">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废反渗透膜</w:t>
                  </w:r>
                </w:p>
              </w:tc>
              <w:tc>
                <w:tcPr>
                  <w:tcW w:w="381" w:type="pct"/>
                  <w:noWrap w:val="0"/>
                  <w:vAlign w:val="center"/>
                </w:tcPr>
                <w:p w14:paraId="78EA5541">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固态</w:t>
                  </w:r>
                </w:p>
              </w:tc>
              <w:tc>
                <w:tcPr>
                  <w:tcW w:w="356" w:type="pct"/>
                  <w:noWrap w:val="0"/>
                  <w:vAlign w:val="center"/>
                </w:tcPr>
                <w:p w14:paraId="21DABF99">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446" w:type="pct"/>
                  <w:noWrap w:val="0"/>
                  <w:vAlign w:val="center"/>
                </w:tcPr>
                <w:p w14:paraId="0E8DD243">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0.</w:t>
                  </w:r>
                  <w:r>
                    <w:rPr>
                      <w:rFonts w:hint="eastAsia"/>
                      <w:bCs/>
                      <w:color w:val="000000" w:themeColor="text1"/>
                      <w:kern w:val="0"/>
                      <w:szCs w:val="21"/>
                      <w14:textFill>
                        <w14:solidFill>
                          <w14:schemeClr w14:val="tx1"/>
                        </w14:solidFill>
                      </w14:textFill>
                    </w:rPr>
                    <w:t>2</w:t>
                  </w:r>
                </w:p>
              </w:tc>
              <w:tc>
                <w:tcPr>
                  <w:tcW w:w="600" w:type="pct"/>
                  <w:noWrap w:val="0"/>
                  <w:vAlign w:val="center"/>
                </w:tcPr>
                <w:p w14:paraId="74008835">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486" w:type="pct"/>
                  <w:noWrap w:val="0"/>
                  <w:vAlign w:val="center"/>
                </w:tcPr>
                <w:p w14:paraId="3C788A48">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0.</w:t>
                  </w:r>
                  <w:r>
                    <w:rPr>
                      <w:rFonts w:hint="eastAsia"/>
                      <w:bCs/>
                      <w:color w:val="000000" w:themeColor="text1"/>
                      <w:kern w:val="0"/>
                      <w:szCs w:val="21"/>
                      <w14:textFill>
                        <w14:solidFill>
                          <w14:schemeClr w14:val="tx1"/>
                        </w14:solidFill>
                      </w14:textFill>
                    </w:rPr>
                    <w:t>2</w:t>
                  </w:r>
                </w:p>
              </w:tc>
              <w:tc>
                <w:tcPr>
                  <w:tcW w:w="777" w:type="pct"/>
                  <w:vMerge w:val="continue"/>
                  <w:noWrap w:val="0"/>
                  <w:vAlign w:val="center"/>
                </w:tcPr>
                <w:p w14:paraId="7C7A6E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2A730533">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eastAsia"/>
                      <w:bCs/>
                      <w:color w:val="000000" w:themeColor="text1"/>
                      <w:kern w:val="0"/>
                      <w:szCs w:val="21"/>
                      <w14:textFill>
                        <w14:solidFill>
                          <w14:schemeClr w14:val="tx1"/>
                        </w14:solidFill>
                      </w14:textFill>
                    </w:rPr>
                    <w:t>900-009-S59</w:t>
                  </w:r>
                </w:p>
              </w:tc>
            </w:tr>
            <w:tr w14:paraId="0A9A319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73" w:type="pct"/>
                  <w:noWrap w:val="0"/>
                  <w:vAlign w:val="center"/>
                </w:tcPr>
                <w:p w14:paraId="585FF4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c>
                <w:tcPr>
                  <w:tcW w:w="436" w:type="pct"/>
                  <w:noWrap w:val="0"/>
                  <w:vAlign w:val="center"/>
                </w:tcPr>
                <w:p w14:paraId="214EF6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421" w:type="pct"/>
                  <w:noWrap w:val="0"/>
                  <w:vAlign w:val="center"/>
                </w:tcPr>
                <w:p w14:paraId="5B6340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c>
                <w:tcPr>
                  <w:tcW w:w="381" w:type="pct"/>
                  <w:noWrap w:val="0"/>
                  <w:vAlign w:val="center"/>
                </w:tcPr>
                <w:p w14:paraId="0126A7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半固态</w:t>
                  </w:r>
                </w:p>
              </w:tc>
              <w:tc>
                <w:tcPr>
                  <w:tcW w:w="356" w:type="pct"/>
                  <w:noWrap w:val="0"/>
                  <w:vAlign w:val="center"/>
                </w:tcPr>
                <w:p w14:paraId="5A7B41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一般工业固废</w:t>
                  </w:r>
                </w:p>
              </w:tc>
              <w:tc>
                <w:tcPr>
                  <w:tcW w:w="446" w:type="pct"/>
                  <w:noWrap w:val="0"/>
                  <w:vAlign w:val="center"/>
                </w:tcPr>
                <w:p w14:paraId="7F7F3D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5.515</w:t>
                  </w:r>
                </w:p>
              </w:tc>
              <w:tc>
                <w:tcPr>
                  <w:tcW w:w="600" w:type="pct"/>
                  <w:noWrap w:val="0"/>
                  <w:vAlign w:val="center"/>
                </w:tcPr>
                <w:p w14:paraId="346107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c>
                <w:tcPr>
                  <w:tcW w:w="486" w:type="pct"/>
                  <w:noWrap w:val="0"/>
                  <w:vAlign w:val="center"/>
                </w:tcPr>
                <w:p w14:paraId="3BC294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5.515</w:t>
                  </w:r>
                </w:p>
              </w:tc>
              <w:tc>
                <w:tcPr>
                  <w:tcW w:w="777" w:type="pct"/>
                  <w:vMerge w:val="continue"/>
                  <w:noWrap w:val="0"/>
                  <w:vAlign w:val="center"/>
                </w:tcPr>
                <w:p w14:paraId="2FBCC0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p>
              </w:tc>
              <w:tc>
                <w:tcPr>
                  <w:tcW w:w="721" w:type="pct"/>
                  <w:shd w:val="clear" w:color="auto" w:fill="auto"/>
                  <w:noWrap w:val="0"/>
                  <w:vAlign w:val="center"/>
                </w:tcPr>
                <w:p w14:paraId="0A4284D1">
                  <w:pPr>
                    <w:jc w:val="cente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lang w:val="en-US" w:eastAsia="zh-CN" w:bidi="ar-SA"/>
                      <w14:textFill>
                        <w14:solidFill>
                          <w14:schemeClr w14:val="tx1"/>
                        </w14:solidFill>
                      </w14:textFill>
                    </w:rPr>
                    <w:t>140-001-S07</w:t>
                  </w:r>
                </w:p>
              </w:tc>
            </w:tr>
          </w:tbl>
          <w:p w14:paraId="78F94DCC">
            <w:pPr>
              <w:widowControl/>
              <w:adjustRightInd w:val="0"/>
              <w:snapToGrid w:val="0"/>
              <w:spacing w:line="360" w:lineRule="auto"/>
              <w:ind w:firstLine="480" w:firstLineChars="200"/>
              <w:rPr>
                <w:sz w:val="24"/>
              </w:rPr>
            </w:pPr>
            <w:r>
              <w:rPr>
                <w:rFonts w:hint="eastAsia"/>
                <w:sz w:val="24"/>
                <w:lang w:eastAsia="zh-CN"/>
              </w:rPr>
              <w:t>（</w:t>
            </w:r>
            <w:r>
              <w:rPr>
                <w:rFonts w:hint="eastAsia"/>
                <w:sz w:val="24"/>
                <w:lang w:val="en-US" w:eastAsia="zh-CN"/>
              </w:rPr>
              <w:t>4</w:t>
            </w:r>
            <w:r>
              <w:rPr>
                <w:rFonts w:hint="eastAsia"/>
                <w:sz w:val="24"/>
                <w:lang w:eastAsia="zh-CN"/>
              </w:rPr>
              <w:t>）</w:t>
            </w:r>
            <w:r>
              <w:rPr>
                <w:sz w:val="24"/>
              </w:rPr>
              <w:t>危险废物</w:t>
            </w:r>
          </w:p>
          <w:p w14:paraId="4EFD1EAE">
            <w:pPr>
              <w:tabs>
                <w:tab w:val="left" w:pos="1081"/>
              </w:tabs>
              <w:adjustRightInd w:val="0"/>
              <w:snapToGrid w:val="0"/>
              <w:spacing w:line="360" w:lineRule="auto"/>
              <w:ind w:firstLine="480" w:firstLineChars="200"/>
              <w:rPr>
                <w:sz w:val="24"/>
              </w:rPr>
            </w:pPr>
            <w:r>
              <w:rPr>
                <w:rFonts w:hint="eastAsia"/>
                <w:sz w:val="24"/>
              </w:rPr>
              <w:t>①</w:t>
            </w:r>
            <w:r>
              <w:rPr>
                <w:sz w:val="24"/>
              </w:rPr>
              <w:t>废润滑油及废润滑油桶</w:t>
            </w:r>
          </w:p>
          <w:p w14:paraId="716CAF56">
            <w:pPr>
              <w:tabs>
                <w:tab w:val="left" w:pos="1081"/>
              </w:tabs>
              <w:adjustRightInd w:val="0"/>
              <w:snapToGrid w:val="0"/>
              <w:spacing w:line="360" w:lineRule="auto"/>
              <w:ind w:firstLine="480" w:firstLineChars="200"/>
              <w:rPr>
                <w:color w:val="000000"/>
                <w:sz w:val="24"/>
              </w:rPr>
            </w:pPr>
            <w:r>
              <w:rPr>
                <w:sz w:val="24"/>
              </w:rPr>
              <w:t>项目营运期设备运转以润滑油作为润滑剂，设备维护过程会产生废润滑油，废润滑油产生量约0.</w:t>
            </w:r>
            <w:r>
              <w:rPr>
                <w:rFonts w:hint="eastAsia"/>
                <w:sz w:val="24"/>
              </w:rPr>
              <w:t>5</w:t>
            </w:r>
            <w:r>
              <w:rPr>
                <w:sz w:val="24"/>
              </w:rPr>
              <w:t>t/a；润滑油使用过程会产生废润滑油桶，润滑油年用量为</w:t>
            </w:r>
            <w:r>
              <w:rPr>
                <w:rFonts w:hint="eastAsia"/>
                <w:sz w:val="24"/>
              </w:rPr>
              <w:t>5</w:t>
            </w:r>
            <w:r>
              <w:rPr>
                <w:sz w:val="24"/>
              </w:rPr>
              <w:t>t/a，包装规格50kg/桶，则废润滑油桶产生量为</w:t>
            </w:r>
            <w:r>
              <w:rPr>
                <w:rFonts w:hint="eastAsia"/>
                <w:sz w:val="24"/>
              </w:rPr>
              <w:t>10</w:t>
            </w:r>
            <w:r>
              <w:rPr>
                <w:sz w:val="24"/>
              </w:rPr>
              <w:t>0个/a，每个按1kg计，约0.</w:t>
            </w:r>
            <w:r>
              <w:rPr>
                <w:rFonts w:hint="eastAsia"/>
                <w:sz w:val="24"/>
              </w:rPr>
              <w:t>1</w:t>
            </w:r>
            <w:r>
              <w:rPr>
                <w:sz w:val="24"/>
              </w:rPr>
              <w:t>t/a。</w:t>
            </w:r>
            <w:r>
              <w:rPr>
                <w:color w:val="000000"/>
                <w:sz w:val="24"/>
              </w:rPr>
              <w:t>经对比《国家危险废物名录》（202</w:t>
            </w:r>
            <w:r>
              <w:rPr>
                <w:rFonts w:hint="eastAsia"/>
                <w:color w:val="000000"/>
                <w:sz w:val="24"/>
              </w:rPr>
              <w:t>5</w:t>
            </w:r>
            <w:r>
              <w:rPr>
                <w:color w:val="000000"/>
                <w:sz w:val="24"/>
              </w:rPr>
              <w:t>年本），经对比《国家危险废物名录》（202</w:t>
            </w:r>
            <w:r>
              <w:rPr>
                <w:rFonts w:hint="eastAsia"/>
                <w:color w:val="000000"/>
                <w:sz w:val="24"/>
              </w:rPr>
              <w:t>5</w:t>
            </w:r>
            <w:r>
              <w:rPr>
                <w:color w:val="000000"/>
                <w:sz w:val="24"/>
              </w:rPr>
              <w:t>年本），废润滑油属于危险废物</w:t>
            </w:r>
            <w:r>
              <w:rPr>
                <w:rFonts w:hint="eastAsia"/>
                <w:color w:val="000000"/>
                <w:sz w:val="24"/>
              </w:rPr>
              <w:t>“</w:t>
            </w:r>
            <w:r>
              <w:rPr>
                <w:color w:val="000000"/>
                <w:sz w:val="24"/>
              </w:rPr>
              <w:t>HW08废矿物油与含矿物油废物</w:t>
            </w:r>
            <w:r>
              <w:rPr>
                <w:rFonts w:hint="eastAsia"/>
                <w:color w:val="000000"/>
                <w:sz w:val="24"/>
              </w:rPr>
              <w:t>”</w:t>
            </w:r>
            <w:r>
              <w:rPr>
                <w:color w:val="000000"/>
                <w:sz w:val="24"/>
              </w:rPr>
              <w:t>中</w:t>
            </w:r>
            <w:r>
              <w:rPr>
                <w:rFonts w:hint="eastAsia"/>
                <w:color w:val="000000"/>
                <w:sz w:val="24"/>
              </w:rPr>
              <w:t>“</w:t>
            </w:r>
            <w:r>
              <w:rPr>
                <w:color w:val="000000"/>
                <w:sz w:val="24"/>
              </w:rPr>
              <w:t>900-217-08使用工业齿轮油进行机械设备润滑过程中产生的废润滑油</w:t>
            </w:r>
            <w:r>
              <w:rPr>
                <w:rFonts w:hint="eastAsia"/>
                <w:color w:val="000000"/>
                <w:sz w:val="24"/>
              </w:rPr>
              <w:t>”</w:t>
            </w:r>
            <w:r>
              <w:rPr>
                <w:color w:val="000000"/>
                <w:sz w:val="24"/>
              </w:rPr>
              <w:t>；废润滑油桶属于危险废物</w:t>
            </w:r>
            <w:r>
              <w:rPr>
                <w:rFonts w:hint="eastAsia"/>
                <w:color w:val="000000"/>
                <w:sz w:val="24"/>
              </w:rPr>
              <w:t>“</w:t>
            </w:r>
            <w:r>
              <w:rPr>
                <w:color w:val="000000"/>
                <w:sz w:val="24"/>
              </w:rPr>
              <w:t>HW08废矿物油与含矿物油废物</w:t>
            </w:r>
            <w:r>
              <w:rPr>
                <w:rFonts w:hint="eastAsia"/>
                <w:color w:val="000000"/>
                <w:sz w:val="24"/>
              </w:rPr>
              <w:t>”</w:t>
            </w:r>
            <w:r>
              <w:rPr>
                <w:color w:val="000000"/>
                <w:sz w:val="24"/>
              </w:rPr>
              <w:t>中</w:t>
            </w:r>
            <w:r>
              <w:rPr>
                <w:rFonts w:hint="eastAsia"/>
                <w:color w:val="000000"/>
                <w:sz w:val="24"/>
              </w:rPr>
              <w:t>“</w:t>
            </w:r>
            <w:r>
              <w:rPr>
                <w:color w:val="000000"/>
                <w:sz w:val="24"/>
              </w:rPr>
              <w:t>900-249-08其他生产、销售、使用过程中产生的废矿物油及沾染矿物油的废弃包装物</w:t>
            </w:r>
            <w:r>
              <w:rPr>
                <w:rFonts w:hint="eastAsia"/>
                <w:color w:val="000000"/>
                <w:sz w:val="24"/>
              </w:rPr>
              <w:t>”</w:t>
            </w:r>
            <w:r>
              <w:rPr>
                <w:color w:val="000000"/>
                <w:sz w:val="24"/>
              </w:rPr>
              <w:t>，分类集中收集于危废暂存间（面积</w:t>
            </w:r>
            <w:r>
              <w:rPr>
                <w:rFonts w:hint="eastAsia"/>
                <w:color w:val="000000"/>
                <w:sz w:val="24"/>
              </w:rPr>
              <w:t>1</w:t>
            </w:r>
            <w:r>
              <w:rPr>
                <w:color w:val="000000"/>
                <w:sz w:val="24"/>
              </w:rPr>
              <w:t>0m</w:t>
            </w:r>
            <w:r>
              <w:rPr>
                <w:color w:val="000000"/>
                <w:sz w:val="24"/>
                <w:vertAlign w:val="superscript"/>
              </w:rPr>
              <w:t>2</w:t>
            </w:r>
            <w:r>
              <w:rPr>
                <w:color w:val="000000"/>
                <w:sz w:val="24"/>
              </w:rPr>
              <w:t>，采取</w:t>
            </w:r>
            <w:r>
              <w:rPr>
                <w:rFonts w:hint="eastAsia"/>
                <w:color w:val="000000"/>
                <w:sz w:val="24"/>
              </w:rPr>
              <w:t>“</w:t>
            </w:r>
            <w:r>
              <w:rPr>
                <w:color w:val="000000"/>
                <w:sz w:val="24"/>
              </w:rPr>
              <w:t>六防</w:t>
            </w:r>
            <w:r>
              <w:rPr>
                <w:rFonts w:hint="eastAsia"/>
                <w:color w:val="000000"/>
                <w:sz w:val="24"/>
              </w:rPr>
              <w:t>”</w:t>
            </w:r>
            <w:r>
              <w:rPr>
                <w:color w:val="000000"/>
                <w:sz w:val="24"/>
              </w:rPr>
              <w:t>措施），定期交由有危废处理资质单位进行处置。</w:t>
            </w:r>
          </w:p>
          <w:p w14:paraId="17200716">
            <w:pPr>
              <w:widowControl/>
              <w:adjustRightInd w:val="0"/>
              <w:snapToGrid w:val="0"/>
              <w:spacing w:line="360" w:lineRule="auto"/>
              <w:jc w:val="center"/>
              <w:rPr>
                <w:b/>
                <w:bCs/>
                <w:sz w:val="24"/>
              </w:rPr>
            </w:pPr>
            <w:r>
              <w:rPr>
                <w:b/>
                <w:bCs/>
                <w:sz w:val="24"/>
              </w:rPr>
              <w:t>表4-</w:t>
            </w:r>
            <w:r>
              <w:rPr>
                <w:rFonts w:hint="eastAsia"/>
                <w:b/>
                <w:bCs/>
                <w:sz w:val="24"/>
              </w:rPr>
              <w:t>2</w:t>
            </w:r>
            <w:r>
              <w:rPr>
                <w:rFonts w:hint="eastAsia"/>
                <w:b/>
                <w:bCs/>
                <w:sz w:val="24"/>
                <w:lang w:val="en-US" w:eastAsia="zh-CN"/>
              </w:rPr>
              <w:t>2</w:t>
            </w:r>
            <w:r>
              <w:rPr>
                <w:rFonts w:hint="eastAsia"/>
                <w:b/>
                <w:bCs/>
                <w:sz w:val="24"/>
              </w:rPr>
              <w:t xml:space="preserve">  </w:t>
            </w:r>
            <w:r>
              <w:rPr>
                <w:b/>
                <w:bCs/>
                <w:sz w:val="24"/>
              </w:rPr>
              <w:t>项目危险废物产生及处置情况一览表</w:t>
            </w:r>
          </w:p>
          <w:tbl>
            <w:tblPr>
              <w:tblStyle w:val="20"/>
              <w:tblW w:w="49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532"/>
              <w:gridCol w:w="1134"/>
              <w:gridCol w:w="882"/>
              <w:gridCol w:w="1281"/>
              <w:gridCol w:w="795"/>
              <w:gridCol w:w="615"/>
              <w:gridCol w:w="526"/>
              <w:gridCol w:w="513"/>
              <w:gridCol w:w="513"/>
              <w:gridCol w:w="782"/>
              <w:gridCol w:w="588"/>
              <w:gridCol w:w="1097"/>
            </w:tblGrid>
            <w:tr w14:paraId="511FFD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7" w:type="pct"/>
                  <w:vAlign w:val="center"/>
                </w:tcPr>
                <w:p w14:paraId="6F452B7B">
                  <w:pPr>
                    <w:pStyle w:val="44"/>
                    <w:snapToGrid w:val="0"/>
                    <w:rPr>
                      <w:rFonts w:ascii="Times New Roman" w:hAnsi="Times New Roman"/>
                      <w:bCs/>
                      <w:sz w:val="21"/>
                      <w:szCs w:val="21"/>
                    </w:rPr>
                  </w:pPr>
                  <w:r>
                    <w:rPr>
                      <w:rFonts w:ascii="Times New Roman" w:hAnsi="Times New Roman"/>
                      <w:bCs/>
                      <w:sz w:val="21"/>
                      <w:szCs w:val="21"/>
                    </w:rPr>
                    <w:t>序号</w:t>
                  </w:r>
                </w:p>
              </w:tc>
              <w:tc>
                <w:tcPr>
                  <w:tcW w:w="612" w:type="pct"/>
                  <w:vAlign w:val="center"/>
                </w:tcPr>
                <w:p w14:paraId="465534F0">
                  <w:pPr>
                    <w:pStyle w:val="44"/>
                    <w:snapToGrid w:val="0"/>
                    <w:rPr>
                      <w:rFonts w:ascii="Times New Roman" w:hAnsi="Times New Roman"/>
                      <w:bCs/>
                      <w:sz w:val="21"/>
                      <w:szCs w:val="21"/>
                    </w:rPr>
                  </w:pPr>
                  <w:r>
                    <w:rPr>
                      <w:rFonts w:ascii="Times New Roman" w:hAnsi="Times New Roman"/>
                      <w:bCs/>
                      <w:sz w:val="21"/>
                      <w:szCs w:val="21"/>
                    </w:rPr>
                    <w:t>危险废物名称</w:t>
                  </w:r>
                </w:p>
              </w:tc>
              <w:tc>
                <w:tcPr>
                  <w:tcW w:w="476" w:type="pct"/>
                  <w:vAlign w:val="center"/>
                </w:tcPr>
                <w:p w14:paraId="32509791">
                  <w:pPr>
                    <w:pStyle w:val="44"/>
                    <w:snapToGrid w:val="0"/>
                    <w:rPr>
                      <w:rFonts w:ascii="Times New Roman" w:hAnsi="Times New Roman"/>
                      <w:bCs/>
                      <w:sz w:val="21"/>
                      <w:szCs w:val="21"/>
                    </w:rPr>
                  </w:pPr>
                  <w:r>
                    <w:rPr>
                      <w:rFonts w:ascii="Times New Roman" w:hAnsi="Times New Roman"/>
                      <w:bCs/>
                      <w:sz w:val="21"/>
                      <w:szCs w:val="21"/>
                    </w:rPr>
                    <w:t>危险废物类别</w:t>
                  </w:r>
                </w:p>
              </w:tc>
              <w:tc>
                <w:tcPr>
                  <w:tcW w:w="691" w:type="pct"/>
                  <w:vAlign w:val="center"/>
                </w:tcPr>
                <w:p w14:paraId="729ED8F3">
                  <w:pPr>
                    <w:pStyle w:val="44"/>
                    <w:snapToGrid w:val="0"/>
                    <w:rPr>
                      <w:rFonts w:ascii="Times New Roman" w:hAnsi="Times New Roman"/>
                      <w:bCs/>
                      <w:sz w:val="21"/>
                      <w:szCs w:val="21"/>
                    </w:rPr>
                  </w:pPr>
                  <w:r>
                    <w:rPr>
                      <w:rFonts w:ascii="Times New Roman" w:hAnsi="Times New Roman"/>
                      <w:bCs/>
                      <w:sz w:val="21"/>
                      <w:szCs w:val="21"/>
                    </w:rPr>
                    <w:t>危险废物</w:t>
                  </w:r>
                </w:p>
                <w:p w14:paraId="512E42EE">
                  <w:pPr>
                    <w:pStyle w:val="44"/>
                    <w:snapToGrid w:val="0"/>
                    <w:rPr>
                      <w:rFonts w:ascii="Times New Roman" w:hAnsi="Times New Roman"/>
                      <w:bCs/>
                      <w:sz w:val="21"/>
                      <w:szCs w:val="21"/>
                    </w:rPr>
                  </w:pPr>
                  <w:r>
                    <w:rPr>
                      <w:rFonts w:ascii="Times New Roman" w:hAnsi="Times New Roman"/>
                      <w:bCs/>
                      <w:sz w:val="21"/>
                      <w:szCs w:val="21"/>
                    </w:rPr>
                    <w:t>代码</w:t>
                  </w:r>
                </w:p>
              </w:tc>
              <w:tc>
                <w:tcPr>
                  <w:tcW w:w="429" w:type="pct"/>
                  <w:vAlign w:val="center"/>
                </w:tcPr>
                <w:p w14:paraId="70A918E0">
                  <w:pPr>
                    <w:pStyle w:val="44"/>
                    <w:snapToGrid w:val="0"/>
                    <w:rPr>
                      <w:rFonts w:ascii="Times New Roman" w:hAnsi="Times New Roman"/>
                      <w:bCs/>
                      <w:sz w:val="21"/>
                      <w:szCs w:val="21"/>
                    </w:rPr>
                  </w:pPr>
                  <w:r>
                    <w:rPr>
                      <w:rFonts w:ascii="Times New Roman" w:hAnsi="Times New Roman"/>
                      <w:bCs/>
                      <w:sz w:val="21"/>
                      <w:szCs w:val="21"/>
                    </w:rPr>
                    <w:t>产生量（t/a）</w:t>
                  </w:r>
                </w:p>
              </w:tc>
              <w:tc>
                <w:tcPr>
                  <w:tcW w:w="332" w:type="pct"/>
                  <w:vAlign w:val="center"/>
                </w:tcPr>
                <w:p w14:paraId="7BBD160F">
                  <w:pPr>
                    <w:pStyle w:val="44"/>
                    <w:snapToGrid w:val="0"/>
                    <w:rPr>
                      <w:rFonts w:ascii="Times New Roman" w:hAnsi="Times New Roman"/>
                      <w:bCs/>
                      <w:sz w:val="21"/>
                      <w:szCs w:val="21"/>
                    </w:rPr>
                  </w:pPr>
                  <w:r>
                    <w:rPr>
                      <w:rFonts w:ascii="Times New Roman" w:hAnsi="Times New Roman"/>
                      <w:bCs/>
                      <w:sz w:val="21"/>
                      <w:szCs w:val="21"/>
                    </w:rPr>
                    <w:t>产生环节</w:t>
                  </w:r>
                </w:p>
              </w:tc>
              <w:tc>
                <w:tcPr>
                  <w:tcW w:w="284" w:type="pct"/>
                  <w:vAlign w:val="center"/>
                </w:tcPr>
                <w:p w14:paraId="549E53CA">
                  <w:pPr>
                    <w:pStyle w:val="44"/>
                    <w:snapToGrid w:val="0"/>
                    <w:rPr>
                      <w:rFonts w:ascii="Times New Roman" w:hAnsi="Times New Roman"/>
                      <w:bCs/>
                      <w:sz w:val="21"/>
                      <w:szCs w:val="21"/>
                    </w:rPr>
                  </w:pPr>
                  <w:r>
                    <w:rPr>
                      <w:rFonts w:ascii="Times New Roman" w:hAnsi="Times New Roman"/>
                      <w:bCs/>
                      <w:sz w:val="21"/>
                      <w:szCs w:val="21"/>
                    </w:rPr>
                    <w:t>形态</w:t>
                  </w:r>
                </w:p>
              </w:tc>
              <w:tc>
                <w:tcPr>
                  <w:tcW w:w="277" w:type="pct"/>
                  <w:vAlign w:val="center"/>
                </w:tcPr>
                <w:p w14:paraId="3B642AD9">
                  <w:pPr>
                    <w:pStyle w:val="44"/>
                    <w:snapToGrid w:val="0"/>
                    <w:rPr>
                      <w:rFonts w:ascii="Times New Roman" w:hAnsi="Times New Roman"/>
                      <w:bCs/>
                      <w:sz w:val="21"/>
                      <w:szCs w:val="21"/>
                    </w:rPr>
                  </w:pPr>
                  <w:r>
                    <w:rPr>
                      <w:rFonts w:ascii="Times New Roman" w:hAnsi="Times New Roman"/>
                      <w:bCs/>
                      <w:sz w:val="21"/>
                      <w:szCs w:val="21"/>
                    </w:rPr>
                    <w:t>主要成分</w:t>
                  </w:r>
                </w:p>
              </w:tc>
              <w:tc>
                <w:tcPr>
                  <w:tcW w:w="277" w:type="pct"/>
                  <w:vAlign w:val="center"/>
                </w:tcPr>
                <w:p w14:paraId="73CDA77B">
                  <w:pPr>
                    <w:pStyle w:val="44"/>
                    <w:snapToGrid w:val="0"/>
                    <w:rPr>
                      <w:rFonts w:ascii="Times New Roman" w:hAnsi="Times New Roman"/>
                      <w:bCs/>
                      <w:sz w:val="21"/>
                      <w:szCs w:val="21"/>
                    </w:rPr>
                  </w:pPr>
                  <w:r>
                    <w:rPr>
                      <w:rFonts w:ascii="Times New Roman" w:hAnsi="Times New Roman"/>
                      <w:bCs/>
                      <w:sz w:val="21"/>
                      <w:szCs w:val="21"/>
                    </w:rPr>
                    <w:t>有害成分</w:t>
                  </w:r>
                </w:p>
              </w:tc>
              <w:tc>
                <w:tcPr>
                  <w:tcW w:w="422" w:type="pct"/>
                  <w:vAlign w:val="center"/>
                </w:tcPr>
                <w:p w14:paraId="3BDCCA55">
                  <w:pPr>
                    <w:pStyle w:val="44"/>
                    <w:snapToGrid w:val="0"/>
                    <w:rPr>
                      <w:rFonts w:ascii="Times New Roman" w:hAnsi="Times New Roman"/>
                      <w:bCs/>
                      <w:sz w:val="21"/>
                      <w:szCs w:val="21"/>
                    </w:rPr>
                  </w:pPr>
                  <w:r>
                    <w:rPr>
                      <w:rFonts w:ascii="Times New Roman" w:hAnsi="Times New Roman"/>
                      <w:bCs/>
                      <w:sz w:val="21"/>
                      <w:szCs w:val="21"/>
                    </w:rPr>
                    <w:t>产废</w:t>
                  </w:r>
                </w:p>
                <w:p w14:paraId="4C204D8D">
                  <w:pPr>
                    <w:pStyle w:val="44"/>
                    <w:snapToGrid w:val="0"/>
                    <w:rPr>
                      <w:rFonts w:ascii="Times New Roman" w:hAnsi="Times New Roman"/>
                      <w:bCs/>
                      <w:sz w:val="21"/>
                      <w:szCs w:val="21"/>
                    </w:rPr>
                  </w:pPr>
                  <w:r>
                    <w:rPr>
                      <w:rFonts w:ascii="Times New Roman" w:hAnsi="Times New Roman"/>
                      <w:bCs/>
                      <w:sz w:val="21"/>
                      <w:szCs w:val="21"/>
                    </w:rPr>
                    <w:t>周期</w:t>
                  </w:r>
                </w:p>
              </w:tc>
              <w:tc>
                <w:tcPr>
                  <w:tcW w:w="317" w:type="pct"/>
                  <w:vAlign w:val="center"/>
                </w:tcPr>
                <w:p w14:paraId="670200E6">
                  <w:pPr>
                    <w:pStyle w:val="44"/>
                    <w:snapToGrid w:val="0"/>
                    <w:rPr>
                      <w:rFonts w:ascii="Times New Roman" w:hAnsi="Times New Roman"/>
                      <w:bCs/>
                      <w:sz w:val="21"/>
                      <w:szCs w:val="21"/>
                    </w:rPr>
                  </w:pPr>
                  <w:r>
                    <w:rPr>
                      <w:rFonts w:ascii="Times New Roman" w:hAnsi="Times New Roman"/>
                      <w:bCs/>
                      <w:sz w:val="21"/>
                      <w:szCs w:val="21"/>
                    </w:rPr>
                    <w:t>危险特性</w:t>
                  </w:r>
                </w:p>
              </w:tc>
              <w:tc>
                <w:tcPr>
                  <w:tcW w:w="592" w:type="pct"/>
                  <w:vAlign w:val="center"/>
                </w:tcPr>
                <w:p w14:paraId="2B159833">
                  <w:pPr>
                    <w:pStyle w:val="44"/>
                    <w:snapToGrid w:val="0"/>
                    <w:rPr>
                      <w:rFonts w:ascii="Times New Roman" w:hAnsi="Times New Roman"/>
                      <w:bCs/>
                      <w:sz w:val="21"/>
                      <w:szCs w:val="21"/>
                    </w:rPr>
                  </w:pPr>
                  <w:r>
                    <w:rPr>
                      <w:rFonts w:ascii="Times New Roman" w:hAnsi="Times New Roman"/>
                      <w:bCs/>
                      <w:sz w:val="21"/>
                      <w:szCs w:val="21"/>
                    </w:rPr>
                    <w:t>污染防治措施</w:t>
                  </w:r>
                </w:p>
              </w:tc>
            </w:tr>
            <w:tr w14:paraId="3D2B66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414" w:hRule="atLeast"/>
                <w:jc w:val="center"/>
              </w:trPr>
              <w:tc>
                <w:tcPr>
                  <w:tcW w:w="287" w:type="pct"/>
                  <w:vAlign w:val="center"/>
                </w:tcPr>
                <w:p w14:paraId="3831EA2C">
                  <w:pPr>
                    <w:pStyle w:val="44"/>
                    <w:snapToGrid w:val="0"/>
                    <w:rPr>
                      <w:rFonts w:ascii="Times New Roman" w:hAnsi="Times New Roman"/>
                      <w:sz w:val="21"/>
                      <w:szCs w:val="21"/>
                    </w:rPr>
                  </w:pPr>
                  <w:r>
                    <w:rPr>
                      <w:rFonts w:ascii="Times New Roman" w:hAnsi="Times New Roman"/>
                      <w:sz w:val="21"/>
                      <w:szCs w:val="21"/>
                    </w:rPr>
                    <w:t>1</w:t>
                  </w:r>
                </w:p>
              </w:tc>
              <w:tc>
                <w:tcPr>
                  <w:tcW w:w="612" w:type="pct"/>
                  <w:vAlign w:val="center"/>
                </w:tcPr>
                <w:p w14:paraId="5F2CBB92">
                  <w:pPr>
                    <w:jc w:val="center"/>
                    <w:rPr>
                      <w:szCs w:val="21"/>
                    </w:rPr>
                  </w:pPr>
                  <w:r>
                    <w:rPr>
                      <w:szCs w:val="21"/>
                    </w:rPr>
                    <w:t>废润滑油</w:t>
                  </w:r>
                </w:p>
              </w:tc>
              <w:tc>
                <w:tcPr>
                  <w:tcW w:w="476" w:type="pct"/>
                  <w:vAlign w:val="center"/>
                </w:tcPr>
                <w:p w14:paraId="784E8B71">
                  <w:pPr>
                    <w:pStyle w:val="44"/>
                    <w:snapToGrid w:val="0"/>
                    <w:rPr>
                      <w:rFonts w:ascii="Times New Roman" w:hAnsi="Times New Roman"/>
                      <w:sz w:val="21"/>
                      <w:szCs w:val="21"/>
                    </w:rPr>
                  </w:pPr>
                  <w:r>
                    <w:rPr>
                      <w:rFonts w:ascii="Times New Roman" w:hAnsi="Times New Roman"/>
                      <w:sz w:val="21"/>
                      <w:szCs w:val="21"/>
                    </w:rPr>
                    <w:t>HW08</w:t>
                  </w:r>
                </w:p>
              </w:tc>
              <w:tc>
                <w:tcPr>
                  <w:tcW w:w="691" w:type="pct"/>
                  <w:vAlign w:val="center"/>
                </w:tcPr>
                <w:p w14:paraId="1A450992">
                  <w:pPr>
                    <w:pStyle w:val="44"/>
                    <w:snapToGrid w:val="0"/>
                    <w:rPr>
                      <w:rFonts w:ascii="Times New Roman" w:hAnsi="Times New Roman"/>
                      <w:sz w:val="21"/>
                      <w:szCs w:val="21"/>
                    </w:rPr>
                  </w:pPr>
                  <w:r>
                    <w:rPr>
                      <w:rFonts w:ascii="Times New Roman" w:hAnsi="Times New Roman"/>
                      <w:sz w:val="21"/>
                      <w:szCs w:val="21"/>
                    </w:rPr>
                    <w:t>900-217-08</w:t>
                  </w:r>
                </w:p>
              </w:tc>
              <w:tc>
                <w:tcPr>
                  <w:tcW w:w="429" w:type="pct"/>
                  <w:vAlign w:val="center"/>
                </w:tcPr>
                <w:p w14:paraId="714EBDF0">
                  <w:pPr>
                    <w:pStyle w:val="44"/>
                    <w:snapToGrid w:val="0"/>
                    <w:rPr>
                      <w:rFonts w:ascii="Times New Roman" w:hAnsi="Times New Roman"/>
                      <w:sz w:val="21"/>
                      <w:szCs w:val="21"/>
                    </w:rPr>
                  </w:pPr>
                  <w:r>
                    <w:rPr>
                      <w:rFonts w:ascii="Times New Roman" w:hAnsi="Times New Roman"/>
                      <w:sz w:val="21"/>
                      <w:szCs w:val="21"/>
                    </w:rPr>
                    <w:t>0.</w:t>
                  </w:r>
                  <w:r>
                    <w:rPr>
                      <w:rFonts w:hint="eastAsia" w:ascii="Times New Roman" w:hAnsi="Times New Roman"/>
                      <w:sz w:val="21"/>
                      <w:szCs w:val="21"/>
                    </w:rPr>
                    <w:t>5</w:t>
                  </w:r>
                </w:p>
              </w:tc>
              <w:tc>
                <w:tcPr>
                  <w:tcW w:w="332" w:type="pct"/>
                  <w:vMerge w:val="restart"/>
                  <w:vAlign w:val="center"/>
                </w:tcPr>
                <w:p w14:paraId="11B2C690">
                  <w:pPr>
                    <w:pStyle w:val="44"/>
                    <w:snapToGrid w:val="0"/>
                    <w:rPr>
                      <w:rFonts w:ascii="Times New Roman" w:hAnsi="Times New Roman"/>
                      <w:sz w:val="21"/>
                      <w:szCs w:val="21"/>
                    </w:rPr>
                  </w:pPr>
                  <w:r>
                    <w:rPr>
                      <w:rFonts w:ascii="Times New Roman" w:hAnsi="Times New Roman"/>
                      <w:sz w:val="21"/>
                      <w:szCs w:val="21"/>
                    </w:rPr>
                    <w:t>设备维护</w:t>
                  </w:r>
                </w:p>
              </w:tc>
              <w:tc>
                <w:tcPr>
                  <w:tcW w:w="284" w:type="pct"/>
                  <w:vAlign w:val="center"/>
                </w:tcPr>
                <w:p w14:paraId="1692B0FB">
                  <w:pPr>
                    <w:pStyle w:val="44"/>
                    <w:snapToGrid w:val="0"/>
                    <w:rPr>
                      <w:rFonts w:ascii="Times New Roman" w:hAnsi="Times New Roman"/>
                      <w:sz w:val="21"/>
                      <w:szCs w:val="21"/>
                    </w:rPr>
                  </w:pPr>
                  <w:r>
                    <w:rPr>
                      <w:rFonts w:ascii="Times New Roman" w:hAnsi="Times New Roman"/>
                      <w:sz w:val="21"/>
                      <w:szCs w:val="21"/>
                    </w:rPr>
                    <w:t>液态</w:t>
                  </w:r>
                </w:p>
              </w:tc>
              <w:tc>
                <w:tcPr>
                  <w:tcW w:w="277" w:type="pct"/>
                  <w:vAlign w:val="center"/>
                </w:tcPr>
                <w:p w14:paraId="4705C7DD">
                  <w:pPr>
                    <w:pStyle w:val="44"/>
                    <w:snapToGrid w:val="0"/>
                    <w:rPr>
                      <w:rFonts w:ascii="Times New Roman" w:hAnsi="Times New Roman"/>
                      <w:sz w:val="21"/>
                      <w:szCs w:val="21"/>
                    </w:rPr>
                  </w:pPr>
                  <w:r>
                    <w:rPr>
                      <w:rFonts w:ascii="Times New Roman" w:hAnsi="Times New Roman"/>
                      <w:sz w:val="21"/>
                      <w:szCs w:val="21"/>
                    </w:rPr>
                    <w:t>矿物油</w:t>
                  </w:r>
                </w:p>
              </w:tc>
              <w:tc>
                <w:tcPr>
                  <w:tcW w:w="277" w:type="pct"/>
                  <w:vAlign w:val="center"/>
                </w:tcPr>
                <w:p w14:paraId="78A67229">
                  <w:pPr>
                    <w:pStyle w:val="44"/>
                    <w:snapToGrid w:val="0"/>
                    <w:rPr>
                      <w:rFonts w:ascii="Times New Roman" w:hAnsi="Times New Roman"/>
                      <w:sz w:val="21"/>
                      <w:szCs w:val="21"/>
                    </w:rPr>
                  </w:pPr>
                  <w:r>
                    <w:rPr>
                      <w:rFonts w:ascii="Times New Roman" w:hAnsi="Times New Roman"/>
                      <w:sz w:val="21"/>
                      <w:szCs w:val="21"/>
                    </w:rPr>
                    <w:t>矿物油</w:t>
                  </w:r>
                </w:p>
              </w:tc>
              <w:tc>
                <w:tcPr>
                  <w:tcW w:w="422" w:type="pct"/>
                  <w:vAlign w:val="center"/>
                </w:tcPr>
                <w:p w14:paraId="53D95C1F">
                  <w:pPr>
                    <w:snapToGrid w:val="0"/>
                    <w:jc w:val="center"/>
                    <w:rPr>
                      <w:rFonts w:ascii="Times New Roman" w:hAnsi="Times New Roman"/>
                      <w:sz w:val="21"/>
                      <w:szCs w:val="21"/>
                    </w:rPr>
                  </w:pPr>
                  <w:r>
                    <w:rPr>
                      <w:rFonts w:ascii="Times New Roman" w:hAnsi="Times New Roman"/>
                      <w:color w:val="000000" w:themeColor="text1"/>
                      <w:sz w:val="21"/>
                      <w:szCs w:val="21"/>
                      <w14:textFill>
                        <w14:solidFill>
                          <w14:schemeClr w14:val="tx1"/>
                        </w14:solidFill>
                      </w14:textFill>
                    </w:rPr>
                    <w:t>每</w:t>
                  </w:r>
                  <w:r>
                    <w:rPr>
                      <w:rFonts w:hint="eastAsia" w:ascii="Times New Roman" w:hAnsi="Times New Roman"/>
                      <w:color w:val="000000" w:themeColor="text1"/>
                      <w:sz w:val="21"/>
                      <w:szCs w:val="21"/>
                      <w14:textFill>
                        <w14:solidFill>
                          <w14:schemeClr w14:val="tx1"/>
                        </w14:solidFill>
                      </w14:textFill>
                    </w:rPr>
                    <w:t>年</w:t>
                  </w:r>
                </w:p>
              </w:tc>
              <w:tc>
                <w:tcPr>
                  <w:tcW w:w="317" w:type="pct"/>
                  <w:vAlign w:val="center"/>
                </w:tcPr>
                <w:p w14:paraId="78B84695">
                  <w:pPr>
                    <w:pStyle w:val="44"/>
                    <w:snapToGrid w:val="0"/>
                    <w:rPr>
                      <w:rFonts w:ascii="Times New Roman" w:hAnsi="Times New Roman"/>
                      <w:sz w:val="21"/>
                      <w:szCs w:val="21"/>
                    </w:rPr>
                  </w:pPr>
                  <w:r>
                    <w:rPr>
                      <w:rFonts w:ascii="Times New Roman" w:hAnsi="Times New Roman"/>
                      <w:sz w:val="21"/>
                      <w:szCs w:val="21"/>
                    </w:rPr>
                    <w:t xml:space="preserve">T，I </w:t>
                  </w:r>
                </w:p>
              </w:tc>
              <w:tc>
                <w:tcPr>
                  <w:tcW w:w="592" w:type="pct"/>
                  <w:vMerge w:val="restart"/>
                  <w:vAlign w:val="center"/>
                </w:tcPr>
                <w:p w14:paraId="232EB97F">
                  <w:pPr>
                    <w:pStyle w:val="44"/>
                    <w:snapToGrid w:val="0"/>
                    <w:rPr>
                      <w:rFonts w:ascii="Times New Roman" w:hAnsi="Times New Roman"/>
                      <w:sz w:val="21"/>
                      <w:szCs w:val="21"/>
                    </w:rPr>
                  </w:pPr>
                  <w:r>
                    <w:rPr>
                      <w:rFonts w:ascii="Times New Roman" w:hAnsi="Times New Roman"/>
                      <w:sz w:val="21"/>
                      <w:szCs w:val="21"/>
                    </w:rPr>
                    <w:t>分类集中收集于危废暂存间（面积10m</w:t>
                  </w:r>
                  <w:r>
                    <w:rPr>
                      <w:rFonts w:ascii="Times New Roman" w:hAnsi="Times New Roman"/>
                      <w:sz w:val="21"/>
                      <w:szCs w:val="21"/>
                      <w:vertAlign w:val="superscript"/>
                    </w:rPr>
                    <w:t>2</w:t>
                  </w:r>
                  <w:r>
                    <w:rPr>
                      <w:rFonts w:ascii="Times New Roman" w:hAnsi="Times New Roman"/>
                      <w:sz w:val="21"/>
                      <w:szCs w:val="21"/>
                    </w:rPr>
                    <w:t>，采取“六防”措施），定期交由有危废处理资质单位进行处置。</w:t>
                  </w:r>
                </w:p>
                <w:p w14:paraId="3FEB635A">
                  <w:pPr>
                    <w:pStyle w:val="44"/>
                    <w:snapToGrid w:val="0"/>
                    <w:rPr>
                      <w:rFonts w:ascii="Times New Roman" w:hAnsi="Times New Roman"/>
                      <w:sz w:val="21"/>
                      <w:szCs w:val="21"/>
                    </w:rPr>
                  </w:pPr>
                </w:p>
              </w:tc>
            </w:tr>
            <w:tr w14:paraId="26D89A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7" w:type="pct"/>
                  <w:vAlign w:val="center"/>
                </w:tcPr>
                <w:p w14:paraId="7945F55D">
                  <w:pPr>
                    <w:pStyle w:val="44"/>
                    <w:snapToGrid w:val="0"/>
                    <w:rPr>
                      <w:rFonts w:ascii="Times New Roman" w:hAnsi="Times New Roman"/>
                      <w:sz w:val="21"/>
                      <w:szCs w:val="21"/>
                    </w:rPr>
                  </w:pPr>
                  <w:r>
                    <w:rPr>
                      <w:rFonts w:ascii="Times New Roman" w:hAnsi="Times New Roman"/>
                      <w:sz w:val="21"/>
                      <w:szCs w:val="21"/>
                    </w:rPr>
                    <w:t>2</w:t>
                  </w:r>
                </w:p>
              </w:tc>
              <w:tc>
                <w:tcPr>
                  <w:tcW w:w="612" w:type="pct"/>
                  <w:vAlign w:val="center"/>
                </w:tcPr>
                <w:p w14:paraId="32FE07F8">
                  <w:pPr>
                    <w:jc w:val="center"/>
                    <w:rPr>
                      <w:szCs w:val="21"/>
                    </w:rPr>
                  </w:pPr>
                  <w:r>
                    <w:rPr>
                      <w:szCs w:val="21"/>
                    </w:rPr>
                    <w:t>废润滑油桶</w:t>
                  </w:r>
                </w:p>
              </w:tc>
              <w:tc>
                <w:tcPr>
                  <w:tcW w:w="476" w:type="pct"/>
                  <w:vAlign w:val="center"/>
                </w:tcPr>
                <w:p w14:paraId="339AF206">
                  <w:pPr>
                    <w:pStyle w:val="44"/>
                    <w:snapToGrid w:val="0"/>
                    <w:rPr>
                      <w:rFonts w:hint="default" w:ascii="Times New Roman" w:hAnsi="Times New Roman" w:eastAsia="宋体"/>
                      <w:sz w:val="21"/>
                      <w:szCs w:val="21"/>
                      <w:lang w:val="en-US" w:eastAsia="zh-CN"/>
                    </w:rPr>
                  </w:pPr>
                  <w:r>
                    <w:rPr>
                      <w:rFonts w:ascii="Times New Roman" w:hAnsi="Times New Roman"/>
                      <w:sz w:val="21"/>
                      <w:szCs w:val="21"/>
                    </w:rPr>
                    <w:t>HW</w:t>
                  </w:r>
                  <w:r>
                    <w:rPr>
                      <w:rFonts w:hint="eastAsia" w:ascii="Times New Roman" w:hAnsi="Times New Roman"/>
                      <w:sz w:val="21"/>
                      <w:szCs w:val="21"/>
                      <w:lang w:val="en-US" w:eastAsia="zh-CN"/>
                    </w:rPr>
                    <w:t>08</w:t>
                  </w:r>
                </w:p>
              </w:tc>
              <w:tc>
                <w:tcPr>
                  <w:tcW w:w="691" w:type="pct"/>
                  <w:vAlign w:val="center"/>
                </w:tcPr>
                <w:p w14:paraId="58199803">
                  <w:pPr>
                    <w:pStyle w:val="44"/>
                    <w:snapToGrid w:val="0"/>
                    <w:rPr>
                      <w:rFonts w:ascii="Times New Roman" w:hAnsi="Times New Roman"/>
                      <w:sz w:val="21"/>
                      <w:szCs w:val="21"/>
                    </w:rPr>
                  </w:pPr>
                  <w:r>
                    <w:rPr>
                      <w:rFonts w:ascii="Times New Roman" w:hAnsi="Times New Roman"/>
                      <w:sz w:val="21"/>
                      <w:szCs w:val="21"/>
                    </w:rPr>
                    <w:t>900-249-08</w:t>
                  </w:r>
                </w:p>
              </w:tc>
              <w:tc>
                <w:tcPr>
                  <w:tcW w:w="429" w:type="pct"/>
                  <w:vAlign w:val="center"/>
                </w:tcPr>
                <w:p w14:paraId="72C32897">
                  <w:pPr>
                    <w:pStyle w:val="44"/>
                    <w:snapToGrid w:val="0"/>
                    <w:rPr>
                      <w:rFonts w:ascii="Times New Roman" w:hAnsi="Times New Roman"/>
                      <w:sz w:val="21"/>
                      <w:szCs w:val="21"/>
                    </w:rPr>
                  </w:pPr>
                  <w:r>
                    <w:rPr>
                      <w:rFonts w:ascii="Times New Roman" w:hAnsi="Times New Roman"/>
                      <w:sz w:val="21"/>
                      <w:szCs w:val="21"/>
                    </w:rPr>
                    <w:t>0.</w:t>
                  </w:r>
                  <w:r>
                    <w:rPr>
                      <w:rFonts w:hint="eastAsia" w:ascii="Times New Roman" w:hAnsi="Times New Roman"/>
                      <w:sz w:val="21"/>
                      <w:szCs w:val="21"/>
                    </w:rPr>
                    <w:t>1</w:t>
                  </w:r>
                </w:p>
              </w:tc>
              <w:tc>
                <w:tcPr>
                  <w:tcW w:w="332" w:type="pct"/>
                  <w:vMerge w:val="continue"/>
                  <w:vAlign w:val="center"/>
                </w:tcPr>
                <w:p w14:paraId="708496EC">
                  <w:pPr>
                    <w:pStyle w:val="44"/>
                    <w:snapToGrid w:val="0"/>
                    <w:rPr>
                      <w:rFonts w:ascii="Times New Roman" w:hAnsi="Times New Roman"/>
                      <w:sz w:val="21"/>
                      <w:szCs w:val="21"/>
                    </w:rPr>
                  </w:pPr>
                </w:p>
              </w:tc>
              <w:tc>
                <w:tcPr>
                  <w:tcW w:w="284" w:type="pct"/>
                  <w:vAlign w:val="center"/>
                </w:tcPr>
                <w:p w14:paraId="09FB7401">
                  <w:pPr>
                    <w:pStyle w:val="44"/>
                    <w:snapToGrid w:val="0"/>
                    <w:rPr>
                      <w:rFonts w:ascii="Times New Roman" w:hAnsi="Times New Roman"/>
                      <w:sz w:val="21"/>
                      <w:szCs w:val="21"/>
                    </w:rPr>
                  </w:pPr>
                  <w:r>
                    <w:rPr>
                      <w:rFonts w:ascii="Times New Roman" w:hAnsi="Times New Roman"/>
                      <w:sz w:val="21"/>
                      <w:szCs w:val="21"/>
                    </w:rPr>
                    <w:t>固体</w:t>
                  </w:r>
                </w:p>
              </w:tc>
              <w:tc>
                <w:tcPr>
                  <w:tcW w:w="277" w:type="pct"/>
                  <w:vAlign w:val="center"/>
                </w:tcPr>
                <w:p w14:paraId="5DB99A4B">
                  <w:pPr>
                    <w:pStyle w:val="44"/>
                    <w:snapToGrid w:val="0"/>
                    <w:rPr>
                      <w:rFonts w:ascii="Times New Roman" w:hAnsi="Times New Roman"/>
                      <w:sz w:val="21"/>
                      <w:szCs w:val="21"/>
                    </w:rPr>
                  </w:pPr>
                  <w:r>
                    <w:rPr>
                      <w:rFonts w:ascii="Times New Roman" w:hAnsi="Times New Roman"/>
                      <w:sz w:val="21"/>
                      <w:szCs w:val="21"/>
                    </w:rPr>
                    <w:t>有机物</w:t>
                  </w:r>
                </w:p>
              </w:tc>
              <w:tc>
                <w:tcPr>
                  <w:tcW w:w="277" w:type="pct"/>
                  <w:vAlign w:val="center"/>
                </w:tcPr>
                <w:p w14:paraId="22C65856">
                  <w:pPr>
                    <w:pStyle w:val="44"/>
                    <w:snapToGrid w:val="0"/>
                    <w:rPr>
                      <w:rFonts w:ascii="Times New Roman" w:hAnsi="Times New Roman"/>
                      <w:sz w:val="21"/>
                      <w:szCs w:val="21"/>
                    </w:rPr>
                  </w:pPr>
                  <w:r>
                    <w:rPr>
                      <w:rFonts w:ascii="Times New Roman" w:hAnsi="Times New Roman"/>
                      <w:sz w:val="21"/>
                      <w:szCs w:val="21"/>
                    </w:rPr>
                    <w:t>有机物</w:t>
                  </w:r>
                </w:p>
              </w:tc>
              <w:tc>
                <w:tcPr>
                  <w:tcW w:w="422" w:type="pct"/>
                  <w:vAlign w:val="center"/>
                </w:tcPr>
                <w:p w14:paraId="4C928B27">
                  <w:pPr>
                    <w:snapToGrid w:val="0"/>
                    <w:jc w:val="center"/>
                    <w:rPr>
                      <w:rFonts w:ascii="Times New Roman" w:hAnsi="Times New Roman"/>
                      <w:sz w:val="21"/>
                      <w:szCs w:val="21"/>
                    </w:rPr>
                  </w:pPr>
                  <w:r>
                    <w:rPr>
                      <w:rFonts w:ascii="Times New Roman" w:hAnsi="Times New Roman"/>
                      <w:color w:val="000000" w:themeColor="text1"/>
                      <w:sz w:val="21"/>
                      <w:szCs w:val="21"/>
                      <w14:textFill>
                        <w14:solidFill>
                          <w14:schemeClr w14:val="tx1"/>
                        </w14:solidFill>
                      </w14:textFill>
                    </w:rPr>
                    <w:t>每</w:t>
                  </w:r>
                  <w:r>
                    <w:rPr>
                      <w:rFonts w:hint="eastAsia" w:ascii="Times New Roman" w:hAnsi="Times New Roman"/>
                      <w:color w:val="000000" w:themeColor="text1"/>
                      <w:sz w:val="21"/>
                      <w:szCs w:val="21"/>
                      <w14:textFill>
                        <w14:solidFill>
                          <w14:schemeClr w14:val="tx1"/>
                        </w14:solidFill>
                      </w14:textFill>
                    </w:rPr>
                    <w:t>年</w:t>
                  </w:r>
                </w:p>
              </w:tc>
              <w:tc>
                <w:tcPr>
                  <w:tcW w:w="317" w:type="pct"/>
                  <w:vAlign w:val="center"/>
                </w:tcPr>
                <w:p w14:paraId="312D0216">
                  <w:pPr>
                    <w:pStyle w:val="44"/>
                    <w:snapToGrid w:val="0"/>
                    <w:rPr>
                      <w:rFonts w:ascii="Times New Roman" w:hAnsi="Times New Roman"/>
                      <w:sz w:val="21"/>
                      <w:szCs w:val="21"/>
                    </w:rPr>
                  </w:pPr>
                  <w:r>
                    <w:rPr>
                      <w:rFonts w:ascii="Times New Roman" w:hAnsi="Times New Roman"/>
                      <w:sz w:val="21"/>
                      <w:szCs w:val="21"/>
                    </w:rPr>
                    <w:t>T</w:t>
                  </w:r>
                  <w:r>
                    <w:rPr>
                      <w:rFonts w:hint="eastAsia" w:ascii="Times New Roman" w:hAnsi="Times New Roman"/>
                      <w:sz w:val="21"/>
                      <w:szCs w:val="21"/>
                      <w:lang w:eastAsia="zh-CN"/>
                    </w:rPr>
                    <w:t>，</w:t>
                  </w:r>
                  <w:r>
                    <w:rPr>
                      <w:rFonts w:ascii="Times New Roman" w:hAnsi="Times New Roman"/>
                      <w:sz w:val="21"/>
                      <w:szCs w:val="21"/>
                    </w:rPr>
                    <w:t>I</w:t>
                  </w:r>
                </w:p>
              </w:tc>
              <w:tc>
                <w:tcPr>
                  <w:tcW w:w="592" w:type="pct"/>
                  <w:vMerge w:val="continue"/>
                  <w:vAlign w:val="center"/>
                </w:tcPr>
                <w:p w14:paraId="20E2E18B">
                  <w:pPr>
                    <w:pStyle w:val="44"/>
                    <w:snapToGrid w:val="0"/>
                    <w:rPr>
                      <w:rFonts w:ascii="Times New Roman" w:hAnsi="Times New Roman"/>
                      <w:sz w:val="21"/>
                      <w:szCs w:val="21"/>
                    </w:rPr>
                  </w:pPr>
                </w:p>
              </w:tc>
            </w:tr>
          </w:tbl>
          <w:p w14:paraId="449718F8">
            <w:pPr>
              <w:tabs>
                <w:tab w:val="left" w:pos="1081"/>
              </w:tabs>
              <w:adjustRightInd w:val="0"/>
              <w:snapToGrid w:val="0"/>
              <w:spacing w:line="360" w:lineRule="auto"/>
              <w:ind w:firstLine="480" w:firstLineChars="200"/>
              <w:rPr>
                <w:sz w:val="24"/>
              </w:rPr>
            </w:pPr>
            <w:r>
              <w:rPr>
                <w:sz w:val="24"/>
              </w:rPr>
              <w:t>4.2环境管理要求</w:t>
            </w:r>
          </w:p>
          <w:p w14:paraId="6DA51289">
            <w:pPr>
              <w:tabs>
                <w:tab w:val="left" w:pos="1081"/>
              </w:tabs>
              <w:adjustRightInd w:val="0"/>
              <w:snapToGrid w:val="0"/>
              <w:spacing w:line="360" w:lineRule="auto"/>
              <w:ind w:firstLine="480" w:firstLineChars="200"/>
              <w:rPr>
                <w:sz w:val="24"/>
              </w:rPr>
            </w:pPr>
            <w:r>
              <w:rPr>
                <w:sz w:val="24"/>
              </w:rPr>
              <w:t>生活垃圾：生活垃圾在厂内集中</w:t>
            </w:r>
            <w:r>
              <w:rPr>
                <w:sz w:val="24"/>
                <w:lang w:val="en-GB"/>
              </w:rPr>
              <w:t>收集</w:t>
            </w:r>
            <w:r>
              <w:rPr>
                <w:sz w:val="24"/>
              </w:rPr>
              <w:t>，妥善贮存。</w:t>
            </w:r>
          </w:p>
          <w:p w14:paraId="35325BA5">
            <w:pPr>
              <w:tabs>
                <w:tab w:val="left" w:pos="1081"/>
              </w:tabs>
              <w:adjustRightInd w:val="0"/>
              <w:snapToGrid w:val="0"/>
              <w:spacing w:line="360" w:lineRule="auto"/>
              <w:ind w:firstLine="480" w:firstLineChars="200"/>
              <w:rPr>
                <w:sz w:val="24"/>
              </w:rPr>
            </w:pPr>
            <w:r>
              <w:rPr>
                <w:sz w:val="24"/>
              </w:rPr>
              <w:t>一般工业固废：①</w:t>
            </w:r>
            <w:commentRangeStart w:id="100"/>
            <w:r>
              <w:rPr>
                <w:sz w:val="24"/>
              </w:rPr>
              <w:t>一般工业固废处理应按照《一般工业固体废物贮存和填埋污染控制标准》（GB18599-2020）的要求设置</w:t>
            </w:r>
            <w:commentRangeEnd w:id="100"/>
            <w:r>
              <w:commentReference w:id="100"/>
            </w:r>
            <w:r>
              <w:rPr>
                <w:sz w:val="24"/>
              </w:rPr>
              <w:t>暂存场所。</w:t>
            </w:r>
          </w:p>
          <w:p w14:paraId="118C6ECF">
            <w:pPr>
              <w:tabs>
                <w:tab w:val="left" w:pos="1081"/>
              </w:tabs>
              <w:adjustRightInd w:val="0"/>
              <w:snapToGrid w:val="0"/>
              <w:spacing w:line="360" w:lineRule="auto"/>
              <w:ind w:firstLine="480" w:firstLineChars="200"/>
              <w:rPr>
                <w:sz w:val="24"/>
              </w:rPr>
            </w:pPr>
            <w:r>
              <w:rPr>
                <w:color w:val="000000" w:themeColor="text1"/>
                <w:sz w:val="24"/>
                <w14:textFill>
                  <w14:solidFill>
                    <w14:schemeClr w14:val="tx1"/>
                  </w14:solidFill>
                </w14:textFill>
              </w:rPr>
              <w:t>②不得露天堆放，防止雨水进入产生二次污染。</w:t>
            </w:r>
            <w:r>
              <w:rPr>
                <w:rFonts w:hint="eastAsia"/>
                <w:color w:val="000000" w:themeColor="text1"/>
                <w:sz w:val="24"/>
                <w:lang w:val="en-US" w:eastAsia="zh-CN"/>
                <w14:textFill>
                  <w14:solidFill>
                    <w14:schemeClr w14:val="tx1"/>
                  </w14:solidFill>
                </w14:textFill>
              </w:rPr>
              <w:t>项目配套一般工业固废间（2</w:t>
            </w:r>
            <w:r>
              <w:rPr>
                <w:rFonts w:hint="default"/>
                <w:color w:val="000000" w:themeColor="text1"/>
                <w:sz w:val="24"/>
                <w:lang w:val="en-US" w:eastAsia="zh-CN"/>
                <w14:textFill>
                  <w14:solidFill>
                    <w14:schemeClr w14:val="tx1"/>
                  </w14:solidFill>
                </w14:textFill>
              </w:rPr>
              <w:t>0m</w:t>
            </w:r>
            <w:r>
              <w:rPr>
                <w:rFonts w:hint="default"/>
                <w:color w:val="000000" w:themeColor="text1"/>
                <w:sz w:val="24"/>
                <w:vertAlign w:val="superscript"/>
                <w:lang w:val="en-US" w:eastAsia="zh-CN"/>
                <w14:textFill>
                  <w14:solidFill>
                    <w14:schemeClr w14:val="tx1"/>
                  </w14:solidFill>
                </w14:textFill>
              </w:rPr>
              <w:t>2</w:t>
            </w:r>
            <w:r>
              <w:rPr>
                <w:rFonts w:hint="eastAsia"/>
                <w:color w:val="000000" w:themeColor="text1"/>
                <w:sz w:val="24"/>
                <w:lang w:val="en-US" w:eastAsia="zh-CN"/>
                <w14:textFill>
                  <w14:solidFill>
                    <w14:schemeClr w14:val="tx1"/>
                  </w14:solidFill>
                </w14:textFill>
              </w:rPr>
              <w:t>），一般固废暂存间位于生产车间东侧。一般工业固废间按照《一般工业固体废物贮存和填埋污染控制标准》（</w:t>
            </w:r>
            <w:r>
              <w:rPr>
                <w:rFonts w:hint="default"/>
                <w:color w:val="000000" w:themeColor="text1"/>
                <w:sz w:val="24"/>
                <w:lang w:val="en-US" w:eastAsia="zh-CN"/>
                <w14:textFill>
                  <w14:solidFill>
                    <w14:schemeClr w14:val="tx1"/>
                  </w14:solidFill>
                </w14:textFill>
              </w:rPr>
              <w:t>GB18599-2020</w:t>
            </w:r>
            <w:r>
              <w:rPr>
                <w:rFonts w:hint="eastAsia"/>
                <w:color w:val="000000" w:themeColor="text1"/>
                <w:sz w:val="24"/>
                <w:lang w:val="en-US" w:eastAsia="zh-CN"/>
                <w14:textFill>
                  <w14:solidFill>
                    <w14:schemeClr w14:val="tx1"/>
                  </w14:solidFill>
                </w14:textFill>
              </w:rPr>
              <w:t>）</w:t>
            </w:r>
            <w:r>
              <w:rPr>
                <w:sz w:val="24"/>
              </w:rPr>
              <w:t>中</w:t>
            </w:r>
            <w:r>
              <w:rPr>
                <w:rFonts w:hint="eastAsia"/>
                <w:sz w:val="24"/>
                <w:lang w:eastAsia="zh-CN"/>
              </w:rPr>
              <w:t>“</w:t>
            </w:r>
            <w:r>
              <w:rPr>
                <w:sz w:val="24"/>
              </w:rPr>
              <w:t>防渗漏、防雨淋、防扬尘</w:t>
            </w:r>
            <w:r>
              <w:rPr>
                <w:rFonts w:hint="eastAsia"/>
                <w:sz w:val="24"/>
                <w:lang w:eastAsia="zh-CN"/>
              </w:rPr>
              <w:t>”</w:t>
            </w:r>
            <w:r>
              <w:rPr>
                <w:sz w:val="24"/>
              </w:rPr>
              <w:t>相关要求建设，地面基础及内墙采取防渗措施，使用防水混凝土。一般固体废物按照不同的类别和性质，分区堆放。通过规范设置固体废物暂存场，同时建立完善院内固体废物防范措施和管理制度，可使固体废物在收集、存放过程中对环境的影响至最低限度。</w:t>
            </w:r>
          </w:p>
          <w:p w14:paraId="354639B9">
            <w:pPr>
              <w:tabs>
                <w:tab w:val="left" w:pos="1081"/>
              </w:tabs>
              <w:adjustRightInd w:val="0"/>
              <w:snapToGrid w:val="0"/>
              <w:spacing w:line="360" w:lineRule="auto"/>
              <w:ind w:firstLine="480" w:firstLineChars="200"/>
              <w:rPr>
                <w:sz w:val="24"/>
              </w:rPr>
            </w:pPr>
            <w:r>
              <w:rPr>
                <w:sz w:val="24"/>
              </w:rPr>
              <w:t>危险废物：按照危险废物管理要求，厂内对危险废物进行临时贮存，转移和最终处置严格按照《危险废物收集、贮存、运输技术规范》（HJ2025-2012）中相关规定，危险废物暂存期间应满足《危险废物贮存污染控制标准》（GB18597-2023）对危险废物贮存设施的要求，严禁将危险废物混入非危险废物中。</w:t>
            </w:r>
          </w:p>
          <w:p w14:paraId="36F2B1C5">
            <w:pPr>
              <w:tabs>
                <w:tab w:val="left" w:pos="1081"/>
              </w:tabs>
              <w:adjustRightInd w:val="0"/>
              <w:snapToGrid w:val="0"/>
              <w:spacing w:line="360" w:lineRule="auto"/>
              <w:ind w:firstLine="480" w:firstLineChars="200"/>
              <w:rPr>
                <w:sz w:val="24"/>
              </w:rPr>
            </w:pPr>
            <w:r>
              <w:rPr>
                <w:sz w:val="24"/>
              </w:rPr>
              <w:t>①危险废物暂存、处置要求</w:t>
            </w:r>
          </w:p>
          <w:p w14:paraId="4528298E">
            <w:pPr>
              <w:tabs>
                <w:tab w:val="left" w:pos="1081"/>
              </w:tabs>
              <w:adjustRightInd w:val="0"/>
              <w:snapToGrid w:val="0"/>
              <w:spacing w:line="360" w:lineRule="auto"/>
              <w:ind w:firstLine="480" w:firstLineChars="200"/>
              <w:rPr>
                <w:sz w:val="24"/>
              </w:rPr>
            </w:pPr>
            <w:r>
              <w:rPr>
                <w:sz w:val="24"/>
              </w:rPr>
              <w:t>按照危险固废处置的有关规定，对属于国家规定危险废物之列的固体废物，必须委托有资质单位进行妥善处理。外运时需要严格按照国家环境保护总局令第5号文件《危险废物转移联单管理办法》的相关规定报批危险废物转移计划，应做到不沿途抛洒；因此，必须加强对固体废弃物的管理，确保各类固体废弃物的妥善处置，危险废弃物贮存场所所应有明显的标志，并具有防风、防晒、防雨、防漏、防渗、防腐以及其他环境污染防治措施，不应露天堆放危险废物。</w:t>
            </w:r>
          </w:p>
          <w:p w14:paraId="0AE79C1F">
            <w:pPr>
              <w:tabs>
                <w:tab w:val="left" w:pos="1081"/>
              </w:tabs>
              <w:adjustRightInd w:val="0"/>
              <w:snapToGrid w:val="0"/>
              <w:spacing w:line="360" w:lineRule="auto"/>
              <w:ind w:firstLine="480" w:firstLineChars="200"/>
              <w:rPr>
                <w:sz w:val="24"/>
              </w:rPr>
            </w:pPr>
            <w:r>
              <w:rPr>
                <w:color w:val="000000" w:themeColor="text1"/>
                <w:sz w:val="24"/>
                <w14:textFill>
                  <w14:solidFill>
                    <w14:schemeClr w14:val="tx1"/>
                  </w14:solidFill>
                </w14:textFill>
              </w:rPr>
              <w:t>项目危险废物暂存间位于</w:t>
            </w:r>
            <w:r>
              <w:rPr>
                <w:rFonts w:hint="eastAsia"/>
                <w:color w:val="000000" w:themeColor="text1"/>
                <w:sz w:val="24"/>
                <w:lang w:val="en-US" w:eastAsia="zh-CN"/>
                <w14:textFill>
                  <w14:solidFill>
                    <w14:schemeClr w14:val="tx1"/>
                  </w14:solidFill>
                </w14:textFill>
              </w:rPr>
              <w:t>一般固废暂存间南侧</w:t>
            </w:r>
            <w:r>
              <w:rPr>
                <w:color w:val="000000" w:themeColor="text1"/>
                <w:sz w:val="24"/>
                <w14:textFill>
                  <w14:solidFill>
                    <w14:schemeClr w14:val="tx1"/>
                  </w14:solidFill>
                </w14:textFill>
              </w:rPr>
              <w:t>，面积10m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w:t>
            </w:r>
            <w:r>
              <w:rPr>
                <w:sz w:val="24"/>
              </w:rPr>
              <w:t>危险废物暂存间应满足《危险废物贮存污染控制标准》（GB18597-2023）对危险废物贮存设施的要求，具体要求如下：</w:t>
            </w:r>
          </w:p>
          <w:p w14:paraId="38C0804C">
            <w:pPr>
              <w:tabs>
                <w:tab w:val="left" w:pos="1081"/>
              </w:tabs>
              <w:adjustRightInd w:val="0"/>
              <w:snapToGrid w:val="0"/>
              <w:spacing w:line="360" w:lineRule="auto"/>
              <w:ind w:firstLine="480" w:firstLineChars="200"/>
              <w:rPr>
                <w:sz w:val="24"/>
              </w:rPr>
            </w:pPr>
            <w:r>
              <w:rPr>
                <w:sz w:val="24"/>
              </w:rPr>
              <w:t>A、所有产生的危险废物均应使用符合标准要求的容器盛装，装载危险废物的容器及材质要满足相应的强度要求，且必须完好无损；</w:t>
            </w:r>
          </w:p>
          <w:p w14:paraId="00D1A3BA">
            <w:pPr>
              <w:tabs>
                <w:tab w:val="left" w:pos="1081"/>
              </w:tabs>
              <w:adjustRightInd w:val="0"/>
              <w:snapToGrid w:val="0"/>
              <w:spacing w:line="360" w:lineRule="auto"/>
              <w:ind w:firstLine="480" w:firstLineChars="200"/>
              <w:rPr>
                <w:sz w:val="24"/>
              </w:rPr>
            </w:pPr>
            <w:r>
              <w:rPr>
                <w:sz w:val="24"/>
              </w:rPr>
              <w:t>B、禁止将不相容（相互反应）的危险废物在同一容器内混装，装危险废物的容器上必须粘贴符合标准附录A所示的标签；</w:t>
            </w:r>
          </w:p>
          <w:p w14:paraId="33CF2D1E">
            <w:pPr>
              <w:tabs>
                <w:tab w:val="left" w:pos="1081"/>
              </w:tabs>
              <w:adjustRightInd w:val="0"/>
              <w:snapToGrid w:val="0"/>
              <w:spacing w:line="360" w:lineRule="auto"/>
              <w:ind w:firstLine="480" w:firstLineChars="200"/>
              <w:rPr>
                <w:sz w:val="24"/>
              </w:rPr>
            </w:pPr>
            <w:r>
              <w:rPr>
                <w:sz w:val="24"/>
              </w:rPr>
              <w:t>C、危险废物贮存间的地面与裙脚要用坚固、防渗的材料建造，建筑材料必须与危险废物相容，应设计堵截泄露的裙脚，地面与裙脚所围建的溶剂不低于堵截最大容器的最大储量或总储量的五分之一，不相容的危险废物必须分开存放，并设有隔离间隔断；</w:t>
            </w:r>
          </w:p>
          <w:p w14:paraId="4B34EB84">
            <w:pPr>
              <w:tabs>
                <w:tab w:val="left" w:pos="1081"/>
              </w:tabs>
              <w:adjustRightInd w:val="0"/>
              <w:snapToGrid w:val="0"/>
              <w:spacing w:line="360" w:lineRule="auto"/>
              <w:ind w:firstLine="480" w:firstLineChars="200"/>
              <w:rPr>
                <w:sz w:val="24"/>
              </w:rPr>
            </w:pPr>
            <w:r>
              <w:rPr>
                <w:sz w:val="24"/>
              </w:rPr>
              <w:t>D、厂区内建立危险废物台账管理制度，作好危险废物情况的记录，记录上须注明危险废物的名称、来源、数量、特性和包装容器的类别、入库日期、存放库位、废物出库日期及接受单位名称，危险废物的记录和货单在危险废物回取后应继续保留三年；</w:t>
            </w:r>
          </w:p>
          <w:p w14:paraId="7D494746">
            <w:pPr>
              <w:tabs>
                <w:tab w:val="left" w:pos="1081"/>
              </w:tabs>
              <w:adjustRightInd w:val="0"/>
              <w:snapToGrid w:val="0"/>
              <w:spacing w:line="360" w:lineRule="auto"/>
              <w:ind w:firstLine="480" w:firstLineChars="200"/>
              <w:rPr>
                <w:sz w:val="24"/>
              </w:rPr>
            </w:pPr>
            <w:r>
              <w:rPr>
                <w:sz w:val="24"/>
              </w:rPr>
              <w:t>E、必须定期对贮存的危险废物包装容器及贮存设施进行检查，发现破损，应及时采取措施清理更换；</w:t>
            </w:r>
          </w:p>
          <w:p w14:paraId="17F2E670">
            <w:pPr>
              <w:tabs>
                <w:tab w:val="left" w:pos="1081"/>
              </w:tabs>
              <w:adjustRightInd w:val="0"/>
              <w:snapToGrid w:val="0"/>
              <w:spacing w:line="360" w:lineRule="auto"/>
              <w:ind w:firstLine="480" w:firstLineChars="200"/>
              <w:rPr>
                <w:sz w:val="24"/>
              </w:rPr>
            </w:pPr>
            <w:r>
              <w:rPr>
                <w:sz w:val="24"/>
              </w:rPr>
              <w:t>F、危险废物贮存设施必须按照《环境保护图形标志 固体废物贮存（处置）场》（GB15562.2-1995）及2023年修改单、《危险废物识别标志设置技术规范》（HJ1276-2022）的规定设置警示标志。</w:t>
            </w:r>
          </w:p>
          <w:p w14:paraId="601FF886">
            <w:pPr>
              <w:tabs>
                <w:tab w:val="left" w:pos="1081"/>
              </w:tabs>
              <w:adjustRightInd w:val="0"/>
              <w:snapToGrid w:val="0"/>
              <w:spacing w:line="360" w:lineRule="auto"/>
              <w:ind w:firstLine="480" w:firstLineChars="200"/>
              <w:rPr>
                <w:sz w:val="24"/>
              </w:rPr>
            </w:pPr>
            <w:r>
              <w:rPr>
                <w:sz w:val="24"/>
              </w:rPr>
              <w:t>②危险废物包装、运输要求</w:t>
            </w:r>
          </w:p>
          <w:p w14:paraId="0BEFBE47">
            <w:pPr>
              <w:tabs>
                <w:tab w:val="left" w:pos="1081"/>
              </w:tabs>
              <w:adjustRightInd w:val="0"/>
              <w:snapToGrid w:val="0"/>
              <w:spacing w:line="360" w:lineRule="auto"/>
              <w:ind w:firstLine="480" w:firstLineChars="200"/>
              <w:rPr>
                <w:sz w:val="24"/>
              </w:rPr>
            </w:pPr>
            <w:r>
              <w:rPr>
                <w:sz w:val="24"/>
              </w:rPr>
              <w:t>项目各危废均按照相应的包装要求进行包装，包装后的危废委托有资质单位进行处置。企业危废外运应委托有资质的单位运输，严格执行《危险废物收集贮存运输技术规范》（HJ2025-2012）和《危险废物转移联单管理办法》，并制定好危险废物转移运输途中的污染防范及事故应急措施，严格按照要求办理有关手续。</w:t>
            </w:r>
          </w:p>
          <w:p w14:paraId="40CE0144">
            <w:pPr>
              <w:tabs>
                <w:tab w:val="left" w:pos="1081"/>
              </w:tabs>
              <w:adjustRightInd w:val="0"/>
              <w:snapToGrid w:val="0"/>
              <w:spacing w:line="360" w:lineRule="auto"/>
              <w:ind w:firstLine="480" w:firstLineChars="200"/>
              <w:rPr>
                <w:sz w:val="24"/>
              </w:rPr>
            </w:pPr>
            <w:r>
              <w:rPr>
                <w:sz w:val="24"/>
              </w:rPr>
              <w:t>综上所述，项目产生的固体废物经过以上措施处理后，均得到妥善处置，预计对周围的环境不会产生明显的影</w:t>
            </w:r>
            <w:commentRangeStart w:id="101"/>
            <w:r>
              <w:rPr>
                <w:sz w:val="24"/>
              </w:rPr>
              <w:t>响。</w:t>
            </w:r>
            <w:commentRangeEnd w:id="101"/>
            <w:r>
              <w:commentReference w:id="101"/>
            </w:r>
          </w:p>
          <w:p w14:paraId="61C4785B">
            <w:pPr>
              <w:tabs>
                <w:tab w:val="left" w:pos="1081"/>
              </w:tabs>
              <w:adjustRightInd w:val="0"/>
              <w:snapToGrid w:val="0"/>
              <w:spacing w:line="360" w:lineRule="auto"/>
              <w:ind w:firstLine="480" w:firstLineChars="200"/>
              <w:rPr>
                <w:kern w:val="0"/>
                <w:sz w:val="24"/>
              </w:rPr>
            </w:pPr>
            <w:r>
              <w:rPr>
                <w:kern w:val="0"/>
                <w:sz w:val="24"/>
              </w:rPr>
              <w:t>5、地下水影响分析</w:t>
            </w:r>
          </w:p>
          <w:p w14:paraId="10919E1E">
            <w:pPr>
              <w:tabs>
                <w:tab w:val="left" w:pos="1081"/>
              </w:tabs>
              <w:adjustRightInd w:val="0"/>
              <w:snapToGrid w:val="0"/>
              <w:spacing w:line="360" w:lineRule="auto"/>
              <w:ind w:firstLine="480" w:firstLineChars="200"/>
              <w:rPr>
                <w:sz w:val="24"/>
              </w:rPr>
            </w:pPr>
            <w:r>
              <w:rPr>
                <w:sz w:val="24"/>
              </w:rPr>
              <w:t>通过工程分析可知，项目可能污染地下水的环节包括化粪池、生产车间、</w:t>
            </w:r>
            <w:r>
              <w:rPr>
                <w:rFonts w:hint="eastAsia"/>
                <w:sz w:val="24"/>
                <w:lang w:val="en-US" w:eastAsia="zh-CN"/>
              </w:rPr>
              <w:t>冷库、</w:t>
            </w:r>
            <w:r>
              <w:rPr>
                <w:sz w:val="24"/>
              </w:rPr>
              <w:t>生产废水处理系统</w:t>
            </w:r>
            <w:r>
              <w:rPr>
                <w:rFonts w:hint="eastAsia"/>
                <w:sz w:val="24"/>
              </w:rPr>
              <w:t>等</w:t>
            </w:r>
            <w:r>
              <w:rPr>
                <w:sz w:val="24"/>
              </w:rPr>
              <w:t>和危废暂存间，若不采取防渗等相应措施，将对区域地下水环境造成污染。</w:t>
            </w:r>
          </w:p>
          <w:p w14:paraId="38E9281C">
            <w:pPr>
              <w:tabs>
                <w:tab w:val="left" w:pos="1081"/>
              </w:tabs>
              <w:adjustRightInd w:val="0"/>
              <w:snapToGrid w:val="0"/>
              <w:spacing w:line="360" w:lineRule="auto"/>
              <w:ind w:firstLine="480" w:firstLineChars="200"/>
              <w:rPr>
                <w:sz w:val="24"/>
              </w:rPr>
            </w:pPr>
            <w:r>
              <w:rPr>
                <w:sz w:val="24"/>
              </w:rPr>
              <w:t>结合项目实际情况，根据建设方提供资料，评价建议项目区域防渗措施如下：</w:t>
            </w:r>
          </w:p>
          <w:p w14:paraId="1CCFF842">
            <w:pPr>
              <w:tabs>
                <w:tab w:val="left" w:pos="1081"/>
              </w:tabs>
              <w:adjustRightInd w:val="0"/>
              <w:snapToGrid w:val="0"/>
              <w:spacing w:line="360" w:lineRule="auto"/>
              <w:ind w:firstLine="480" w:firstLineChars="200"/>
              <w:rPr>
                <w:sz w:val="24"/>
              </w:rPr>
            </w:pPr>
            <w:r>
              <w:rPr>
                <w:sz w:val="24"/>
              </w:rPr>
              <w:t>将全厂按物料或者污染物泄漏的途径和生产功能单元所处的位置划分为三类地下水污染防治区域：非污染防治区（办公区）、一般污染防治区</w:t>
            </w:r>
            <w:r>
              <w:rPr>
                <w:rFonts w:hint="eastAsia"/>
                <w:sz w:val="24"/>
                <w:lang w:eastAsia="zh-CN"/>
              </w:rPr>
              <w:t>（</w:t>
            </w:r>
            <w:r>
              <w:rPr>
                <w:sz w:val="24"/>
              </w:rPr>
              <w:t>生产车间、</w:t>
            </w:r>
            <w:r>
              <w:rPr>
                <w:rFonts w:hint="eastAsia"/>
                <w:sz w:val="24"/>
                <w:lang w:val="en-US" w:eastAsia="zh-CN"/>
              </w:rPr>
              <w:t>冷库</w:t>
            </w:r>
            <w:r>
              <w:rPr>
                <w:sz w:val="24"/>
              </w:rPr>
              <w:t>、化粪池以及一般固废暂存间</w:t>
            </w:r>
            <w:r>
              <w:rPr>
                <w:rFonts w:hint="eastAsia"/>
                <w:sz w:val="24"/>
                <w:lang w:eastAsia="zh-CN"/>
              </w:rPr>
              <w:t>）</w:t>
            </w:r>
            <w:r>
              <w:rPr>
                <w:sz w:val="24"/>
              </w:rPr>
              <w:t>和重点污染防治区（生产废水治理设施地面</w:t>
            </w:r>
            <w:r>
              <w:rPr>
                <w:rFonts w:hint="eastAsia"/>
                <w:sz w:val="24"/>
              </w:rPr>
              <w:t>、</w:t>
            </w:r>
            <w:r>
              <w:rPr>
                <w:sz w:val="24"/>
              </w:rPr>
              <w:t>危废暂存间）。</w:t>
            </w:r>
          </w:p>
          <w:p w14:paraId="55B500BD">
            <w:pPr>
              <w:tabs>
                <w:tab w:val="left" w:pos="1081"/>
              </w:tabs>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按照分区防渗的原则一般区域采用水泥硬化地面，重点污染防治区采取重点防腐防渗，重点防渗区严格按照《危险废物贮存污染控制标准》(GB18597-2023) 要求：防渗层为至少1m厚的粘土层</w:t>
            </w:r>
            <w:r>
              <w:rPr>
                <w:rFonts w:hint="default" w:ascii="Times New Roman" w:hAnsi="Times New Roman" w:cs="Times New Roman"/>
                <w:sz w:val="24"/>
                <w:lang w:eastAsia="zh-CN"/>
              </w:rPr>
              <w:t>（</w:t>
            </w:r>
            <w:r>
              <w:rPr>
                <w:rFonts w:hint="default" w:ascii="Times New Roman" w:hAnsi="Times New Roman" w:cs="Times New Roman"/>
                <w:sz w:val="24"/>
              </w:rPr>
              <w:t>渗透系数≤10</w:t>
            </w:r>
            <w:r>
              <w:rPr>
                <w:rFonts w:hint="default" w:ascii="Times New Roman" w:hAnsi="Times New Roman" w:cs="Times New Roman"/>
                <w:sz w:val="24"/>
                <w:vertAlign w:val="superscript"/>
              </w:rPr>
              <w:t>-7</w:t>
            </w:r>
            <w:r>
              <w:rPr>
                <w:rFonts w:hint="default" w:ascii="Times New Roman" w:hAnsi="Times New Roman" w:cs="Times New Roman"/>
                <w:sz w:val="24"/>
              </w:rPr>
              <w:t>cm/s</w:t>
            </w:r>
            <w:r>
              <w:rPr>
                <w:rFonts w:hint="default" w:ascii="Times New Roman" w:hAnsi="Times New Roman" w:cs="Times New Roman"/>
                <w:sz w:val="24"/>
                <w:lang w:eastAsia="zh-CN"/>
              </w:rPr>
              <w:t>）</w:t>
            </w:r>
            <w:r>
              <w:rPr>
                <w:rFonts w:hint="default" w:ascii="Times New Roman" w:hAnsi="Times New Roman" w:cs="Times New Roman"/>
                <w:sz w:val="24"/>
              </w:rPr>
              <w:t>，或2mm厚高度密度聚乙烯</w:t>
            </w:r>
            <w:r>
              <w:rPr>
                <w:rFonts w:hint="default" w:ascii="Times New Roman" w:hAnsi="Times New Roman" w:cs="Times New Roman"/>
                <w:sz w:val="24"/>
                <w:lang w:val="en-US" w:eastAsia="zh-CN"/>
              </w:rPr>
              <w:t>薄膜</w:t>
            </w:r>
            <w:r>
              <w:rPr>
                <w:rFonts w:hint="default" w:ascii="Times New Roman" w:hAnsi="Times New Roman" w:cs="Times New Roman"/>
                <w:sz w:val="24"/>
              </w:rPr>
              <w:t>，或至少2mm厚的其他人工材料，渗透系数≤10</w:t>
            </w:r>
            <w:r>
              <w:rPr>
                <w:rFonts w:hint="default" w:ascii="Times New Roman" w:hAnsi="Times New Roman" w:cs="Times New Roman"/>
                <w:sz w:val="24"/>
                <w:vertAlign w:val="superscript"/>
              </w:rPr>
              <w:t>-10</w:t>
            </w:r>
            <w:r>
              <w:rPr>
                <w:rFonts w:hint="default" w:ascii="Times New Roman" w:hAnsi="Times New Roman" w:cs="Times New Roman"/>
                <w:sz w:val="24"/>
              </w:rPr>
              <w:t>cm/s，并控制生产过程中粪水的</w:t>
            </w:r>
            <w:r>
              <w:rPr>
                <w:rFonts w:hint="eastAsia" w:ascii="Times New Roman" w:hAnsi="Times New Roman" w:cs="Times New Roman"/>
                <w:sz w:val="24"/>
                <w:lang w:eastAsia="zh-CN"/>
              </w:rPr>
              <w:t>“</w:t>
            </w:r>
            <w:r>
              <w:rPr>
                <w:rFonts w:hint="default" w:ascii="Times New Roman" w:hAnsi="Times New Roman" w:cs="Times New Roman"/>
                <w:sz w:val="24"/>
              </w:rPr>
              <w:t>跑、冒、滴、漏</w:t>
            </w:r>
            <w:r>
              <w:rPr>
                <w:rFonts w:hint="eastAsia" w:ascii="Times New Roman" w:hAnsi="Times New Roman" w:cs="Times New Roman"/>
                <w:sz w:val="24"/>
                <w:lang w:eastAsia="zh-CN"/>
              </w:rPr>
              <w:t>”</w:t>
            </w:r>
            <w:r>
              <w:rPr>
                <w:rFonts w:hint="default" w:ascii="Times New Roman" w:hAnsi="Times New Roman" w:cs="Times New Roman"/>
                <w:sz w:val="24"/>
              </w:rPr>
              <w:t>；简单防渗区主要包括办公区等区域，防渗技术要求为一般地面硬化；一般防渗区域主要包括化粪池、发酵车间、压滤车间等区域，防渗技术要求为等效粘土防渗层Mb≥1.5m，K≤1×10</w:t>
            </w:r>
            <w:r>
              <w:rPr>
                <w:rFonts w:hint="default" w:ascii="Times New Roman" w:hAnsi="Times New Roman" w:cs="Times New Roman"/>
                <w:sz w:val="24"/>
                <w:vertAlign w:val="superscript"/>
              </w:rPr>
              <w:t>-7</w:t>
            </w:r>
            <w:r>
              <w:rPr>
                <w:rFonts w:hint="default" w:ascii="Times New Roman" w:hAnsi="Times New Roman" w:cs="Times New Roman"/>
                <w:sz w:val="24"/>
              </w:rPr>
              <w:t>cm/s。</w:t>
            </w:r>
          </w:p>
          <w:p w14:paraId="62A4E197">
            <w:pPr>
              <w:tabs>
                <w:tab w:val="left" w:pos="1081"/>
              </w:tabs>
              <w:adjustRightInd w:val="0"/>
              <w:spacing w:line="360" w:lineRule="auto"/>
              <w:ind w:firstLine="480" w:firstLineChars="200"/>
              <w:rPr>
                <w:sz w:val="24"/>
              </w:rPr>
            </w:pPr>
            <w:r>
              <w:rPr>
                <w:sz w:val="24"/>
              </w:rPr>
              <w:t>经实施上述措施后，预计项目对地下水环境的影响是可以接受的。</w:t>
            </w:r>
          </w:p>
          <w:p w14:paraId="25A685EC">
            <w:pPr>
              <w:tabs>
                <w:tab w:val="left" w:pos="1081"/>
              </w:tabs>
              <w:adjustRightInd w:val="0"/>
              <w:spacing w:line="360" w:lineRule="auto"/>
              <w:ind w:firstLine="480" w:firstLineChars="200"/>
              <w:rPr>
                <w:sz w:val="24"/>
              </w:rPr>
            </w:pPr>
            <w:r>
              <w:rPr>
                <w:sz w:val="24"/>
              </w:rPr>
              <w:t>6、土壤环境影响分析</w:t>
            </w:r>
          </w:p>
          <w:p w14:paraId="580E5D03">
            <w:pPr>
              <w:tabs>
                <w:tab w:val="left" w:pos="1081"/>
              </w:tabs>
              <w:adjustRightInd w:val="0"/>
              <w:spacing w:line="360" w:lineRule="auto"/>
              <w:ind w:firstLine="480" w:firstLineChars="200"/>
              <w:rPr>
                <w:sz w:val="24"/>
              </w:rPr>
            </w:pPr>
            <w:r>
              <w:rPr>
                <w:sz w:val="24"/>
              </w:rPr>
              <w:t>根据《环境影响评价技术导则 土壤环境（试行）》（HJ964-2018），根据本项目污染物排放</w:t>
            </w:r>
            <w:r>
              <w:rPr>
                <w:sz w:val="24"/>
                <w:lang w:val="en-GB"/>
              </w:rPr>
              <w:t>特征</w:t>
            </w:r>
            <w:r>
              <w:rPr>
                <w:sz w:val="24"/>
              </w:rPr>
              <w:t>及污染途径，仅定性说明项目对土壤环境产生的影响。</w:t>
            </w:r>
          </w:p>
          <w:p w14:paraId="5E564A23">
            <w:pPr>
              <w:tabs>
                <w:tab w:val="left" w:pos="1081"/>
              </w:tabs>
              <w:adjustRightInd w:val="0"/>
              <w:spacing w:line="360" w:lineRule="auto"/>
              <w:ind w:firstLine="480" w:firstLineChars="200"/>
              <w:rPr>
                <w:sz w:val="24"/>
              </w:rPr>
            </w:pPr>
            <w:r>
              <w:rPr>
                <w:sz w:val="24"/>
              </w:rPr>
              <w:t>项目在正常工况下，各生产环节按照设计参数运行，基本无污染物泄露；本项目应根据相关防渗设计规范对生产车间、设置分区防渗，重点防渗区为：生产废水治理设施地面</w:t>
            </w:r>
            <w:r>
              <w:rPr>
                <w:rFonts w:hint="eastAsia"/>
                <w:sz w:val="24"/>
              </w:rPr>
              <w:t>、</w:t>
            </w:r>
            <w:r>
              <w:rPr>
                <w:sz w:val="24"/>
              </w:rPr>
              <w:t>危废暂存间。一般防渗区为：生产车间</w:t>
            </w:r>
            <w:r>
              <w:rPr>
                <w:rFonts w:hint="eastAsia"/>
                <w:sz w:val="24"/>
                <w:lang w:eastAsia="zh-CN"/>
              </w:rPr>
              <w:t>、</w:t>
            </w:r>
            <w:r>
              <w:rPr>
                <w:rFonts w:hint="eastAsia"/>
                <w:sz w:val="24"/>
                <w:lang w:val="en-US" w:eastAsia="zh-CN"/>
              </w:rPr>
              <w:t>冷库</w:t>
            </w:r>
            <w:r>
              <w:rPr>
                <w:sz w:val="24"/>
              </w:rPr>
              <w:t>、化粪池以及一般固废暂存间等。简单防渗区为：办公区，一般情况下物料及废水不会渗漏和进入地下，对周围土壤环境不会造成污染；</w:t>
            </w:r>
          </w:p>
          <w:p w14:paraId="39CD492E">
            <w:pPr>
              <w:tabs>
                <w:tab w:val="left" w:pos="1081"/>
              </w:tabs>
              <w:adjustRightInd w:val="0"/>
              <w:spacing w:line="360" w:lineRule="auto"/>
              <w:ind w:firstLine="480" w:firstLineChars="200"/>
              <w:rPr>
                <w:sz w:val="24"/>
              </w:rPr>
            </w:pPr>
            <w:r>
              <w:rPr>
                <w:sz w:val="24"/>
              </w:rPr>
              <w:t>因此经采取严格的措施后，评价认为正常状态项目的建设对土壤环境影响较小。</w:t>
            </w:r>
          </w:p>
          <w:p w14:paraId="557DE7BA">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bCs/>
                <w:color w:val="auto"/>
                <w:sz w:val="24"/>
                <w:szCs w:val="24"/>
                <w:u w:val="none"/>
              </w:rPr>
            </w:pPr>
            <w:r>
              <w:rPr>
                <w:rFonts w:hint="default" w:ascii="Times New Roman" w:hAnsi="Times New Roman" w:eastAsia="宋体" w:cs="Times New Roman"/>
                <w:b/>
                <w:bCs/>
                <w:color w:val="auto"/>
                <w:sz w:val="24"/>
                <w:szCs w:val="24"/>
                <w:u w:val="none"/>
              </w:rPr>
              <w:t>7、环境风险分析</w:t>
            </w:r>
          </w:p>
          <w:p w14:paraId="04ABBD98">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7.1评价依据</w:t>
            </w:r>
          </w:p>
          <w:p w14:paraId="696F3423">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（1）风险调查</w:t>
            </w:r>
          </w:p>
          <w:p w14:paraId="5720F541">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建设项目环境风险评价技术导则》（HJ169-2018）附录B中表B.1中突然环境事件风险物质名录表和《危险化学品名录》（2015版），对项目营运过程中使用的原料进行调查，确定本项目生产过程中所涉及的风险物质为</w:t>
            </w:r>
            <w:r>
              <w:rPr>
                <w:rFonts w:hint="eastAsia" w:cs="Times New Roman"/>
                <w:color w:val="auto"/>
                <w:sz w:val="24"/>
                <w:szCs w:val="24"/>
                <w:u w:val="none"/>
                <w:lang w:val="en-US" w:eastAsia="zh-CN"/>
              </w:rPr>
              <w:t>管道天然气、</w:t>
            </w:r>
            <w:r>
              <w:rPr>
                <w:rFonts w:hint="default" w:ascii="Times New Roman" w:hAnsi="Times New Roman" w:eastAsia="宋体" w:cs="Times New Roman"/>
                <w:color w:val="auto"/>
                <w:sz w:val="24"/>
                <w:szCs w:val="24"/>
                <w:u w:val="none"/>
              </w:rPr>
              <w:t>润滑油</w:t>
            </w:r>
            <w:r>
              <w:rPr>
                <w:rFonts w:hint="eastAsia" w:cs="Times New Roman"/>
                <w:color w:val="auto"/>
                <w:sz w:val="24"/>
                <w:szCs w:val="24"/>
                <w:u w:val="none"/>
                <w:lang w:val="en-US" w:eastAsia="zh-CN"/>
              </w:rPr>
              <w:t>等</w:t>
            </w:r>
            <w:r>
              <w:rPr>
                <w:rFonts w:hint="default" w:ascii="Times New Roman" w:hAnsi="Times New Roman" w:eastAsia="宋体" w:cs="Times New Roman"/>
                <w:color w:val="auto"/>
                <w:sz w:val="24"/>
                <w:szCs w:val="24"/>
                <w:u w:val="none"/>
              </w:rPr>
              <w:t>。</w:t>
            </w:r>
          </w:p>
          <w:p w14:paraId="2DEA8B3F">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（2）风险潜势初判</w:t>
            </w:r>
          </w:p>
          <w:p w14:paraId="7B199478">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w:t>
            </w:r>
            <w:r>
              <w:rPr>
                <w:rFonts w:hint="default" w:ascii="Times New Roman" w:hAnsi="Times New Roman" w:eastAsia="宋体" w:cs="Times New Roman"/>
                <w:color w:val="auto"/>
                <w:sz w:val="24"/>
                <w:szCs w:val="24"/>
                <w:u w:val="none"/>
                <w:lang w:val="en-GB"/>
              </w:rPr>
              <w:t>《建设项目环境风险评价技术导则》</w:t>
            </w:r>
            <w:r>
              <w:rPr>
                <w:rFonts w:hint="default" w:ascii="Times New Roman" w:hAnsi="Times New Roman" w:eastAsia="宋体" w:cs="Times New Roman"/>
                <w:color w:val="auto"/>
                <w:sz w:val="24"/>
                <w:szCs w:val="24"/>
                <w:u w:val="none"/>
              </w:rPr>
              <w:t>（HJ169-2018）附录C中规定，危险物质数量与临界量比值Q即厂界内物质的最大存在总量与其在附录B中对应的临界量的比值。</w:t>
            </w:r>
          </w:p>
          <w:p w14:paraId="55168828">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当只涉及一种</w:t>
            </w:r>
            <w:r>
              <w:rPr>
                <w:rFonts w:hint="default" w:ascii="Times New Roman" w:hAnsi="Times New Roman" w:eastAsia="宋体" w:cs="Times New Roman"/>
                <w:color w:val="auto"/>
                <w:sz w:val="24"/>
                <w:szCs w:val="24"/>
                <w:u w:val="none"/>
                <w:lang w:val="en-GB"/>
              </w:rPr>
              <w:t>危险</w:t>
            </w:r>
            <w:r>
              <w:rPr>
                <w:rFonts w:hint="default" w:ascii="Times New Roman" w:hAnsi="Times New Roman" w:eastAsia="宋体" w:cs="Times New Roman"/>
                <w:color w:val="auto"/>
                <w:sz w:val="24"/>
                <w:szCs w:val="24"/>
                <w:u w:val="none"/>
              </w:rPr>
              <w:t>物质时，计算该物质的总量预期临界量比值，即为Q；</w:t>
            </w:r>
          </w:p>
          <w:p w14:paraId="19E5C584">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当存在多种危险物质时，则按下式计算物质总量与其临界量比值（Q）：</w:t>
            </w:r>
          </w:p>
          <w:p w14:paraId="7308C958">
            <w:pPr>
              <w:keepNext w:val="0"/>
              <w:keepLines w:val="0"/>
              <w:pageBreakBefore w:val="0"/>
              <w:kinsoku/>
              <w:wordWrap/>
              <w:overflowPunct/>
              <w:topLinePunct w:val="0"/>
              <w:autoSpaceDE/>
              <w:autoSpaceDN/>
              <w:bidi w:val="0"/>
              <w:spacing w:line="360" w:lineRule="auto"/>
              <w:jc w:val="center"/>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drawing>
                <wp:inline distT="0" distB="0" distL="114300" distR="114300">
                  <wp:extent cx="1939925" cy="437515"/>
                  <wp:effectExtent l="0" t="0" r="3175" b="63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27"/>
                          <a:stretch>
                            <a:fillRect/>
                          </a:stretch>
                        </pic:blipFill>
                        <pic:spPr>
                          <a:xfrm>
                            <a:off x="0" y="0"/>
                            <a:ext cx="1939925" cy="437515"/>
                          </a:xfrm>
                          <a:prstGeom prst="rect">
                            <a:avLst/>
                          </a:prstGeom>
                          <a:noFill/>
                          <a:ln>
                            <a:noFill/>
                          </a:ln>
                        </pic:spPr>
                      </pic:pic>
                    </a:graphicData>
                  </a:graphic>
                </wp:inline>
              </w:drawing>
            </w:r>
          </w:p>
          <w:p w14:paraId="58067444">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式中：q</w:t>
            </w:r>
            <w:r>
              <w:rPr>
                <w:rFonts w:hint="default" w:ascii="Times New Roman" w:hAnsi="Times New Roman" w:eastAsia="宋体" w:cs="Times New Roman"/>
                <w:color w:val="auto"/>
                <w:sz w:val="24"/>
                <w:szCs w:val="24"/>
                <w:u w:val="none"/>
                <w:vertAlign w:val="subscript"/>
              </w:rPr>
              <w:t>1</w:t>
            </w:r>
            <w:r>
              <w:rPr>
                <w:rFonts w:hint="default" w:ascii="Times New Roman" w:hAnsi="Times New Roman" w:eastAsia="宋体" w:cs="Times New Roman"/>
                <w:color w:val="auto"/>
                <w:sz w:val="24"/>
                <w:szCs w:val="24"/>
                <w:u w:val="none"/>
              </w:rPr>
              <w:t>，q</w:t>
            </w:r>
            <w:r>
              <w:rPr>
                <w:rFonts w:hint="default" w:ascii="Times New Roman" w:hAnsi="Times New Roman" w:eastAsia="宋体" w:cs="Times New Roman"/>
                <w:color w:val="auto"/>
                <w:sz w:val="24"/>
                <w:szCs w:val="24"/>
                <w:u w:val="none"/>
                <w:vertAlign w:val="subscript"/>
              </w:rPr>
              <w:t>2</w:t>
            </w:r>
            <w:r>
              <w:rPr>
                <w:rFonts w:hint="default" w:ascii="Times New Roman" w:hAnsi="Times New Roman" w:eastAsia="宋体" w:cs="Times New Roman"/>
                <w:color w:val="auto"/>
                <w:sz w:val="24"/>
                <w:szCs w:val="24"/>
                <w:u w:val="none"/>
              </w:rPr>
              <w:t>，… , q</w:t>
            </w:r>
            <w:r>
              <w:rPr>
                <w:rFonts w:hint="default" w:ascii="Times New Roman" w:hAnsi="Times New Roman" w:eastAsia="宋体" w:cs="Times New Roman"/>
                <w:color w:val="auto"/>
                <w:sz w:val="24"/>
                <w:szCs w:val="24"/>
                <w:u w:val="none"/>
                <w:vertAlign w:val="subscript"/>
              </w:rPr>
              <w:t>n</w:t>
            </w:r>
            <w:r>
              <w:rPr>
                <w:rFonts w:hint="default" w:ascii="Times New Roman" w:hAnsi="Times New Roman" w:eastAsia="宋体" w:cs="Times New Roman"/>
                <w:color w:val="auto"/>
                <w:sz w:val="24"/>
                <w:szCs w:val="24"/>
                <w:u w:val="none"/>
              </w:rPr>
              <w:t>—每种物质的最大存在总量，t；</w:t>
            </w:r>
          </w:p>
          <w:p w14:paraId="2BDC19A9">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Q</w:t>
            </w:r>
            <w:r>
              <w:rPr>
                <w:rFonts w:hint="default" w:ascii="Times New Roman" w:hAnsi="Times New Roman" w:eastAsia="宋体" w:cs="Times New Roman"/>
                <w:color w:val="auto"/>
                <w:sz w:val="24"/>
                <w:szCs w:val="24"/>
                <w:u w:val="none"/>
                <w:vertAlign w:val="subscript"/>
              </w:rPr>
              <w:t>1</w:t>
            </w:r>
            <w:r>
              <w:rPr>
                <w:rFonts w:hint="default" w:ascii="Times New Roman" w:hAnsi="Times New Roman" w:eastAsia="宋体" w:cs="Times New Roman"/>
                <w:color w:val="auto"/>
                <w:sz w:val="24"/>
                <w:szCs w:val="24"/>
                <w:u w:val="none"/>
              </w:rPr>
              <w:t>，Q</w:t>
            </w:r>
            <w:r>
              <w:rPr>
                <w:rFonts w:hint="default" w:ascii="Times New Roman" w:hAnsi="Times New Roman" w:eastAsia="宋体" w:cs="Times New Roman"/>
                <w:color w:val="auto"/>
                <w:sz w:val="24"/>
                <w:szCs w:val="24"/>
                <w:u w:val="none"/>
                <w:vertAlign w:val="subscript"/>
              </w:rPr>
              <w:t>2</w:t>
            </w:r>
            <w:r>
              <w:rPr>
                <w:rFonts w:hint="default" w:ascii="Times New Roman" w:hAnsi="Times New Roman" w:eastAsia="宋体" w:cs="Times New Roman"/>
                <w:color w:val="auto"/>
                <w:sz w:val="24"/>
                <w:szCs w:val="24"/>
                <w:u w:val="none"/>
              </w:rPr>
              <w:t xml:space="preserve">，… , </w:t>
            </w:r>
            <w:r>
              <w:rPr>
                <w:rFonts w:hint="default" w:ascii="Times New Roman" w:hAnsi="Times New Roman" w:eastAsia="宋体" w:cs="Times New Roman"/>
                <w:color w:val="auto"/>
                <w:sz w:val="24"/>
                <w:szCs w:val="24"/>
                <w:u w:val="none"/>
                <w:lang w:val="en-GB"/>
              </w:rPr>
              <w:t>Qn</w:t>
            </w:r>
            <w:r>
              <w:rPr>
                <w:rFonts w:hint="default" w:ascii="Times New Roman" w:hAnsi="Times New Roman" w:eastAsia="宋体" w:cs="Times New Roman"/>
                <w:color w:val="auto"/>
                <w:sz w:val="24"/>
                <w:szCs w:val="24"/>
                <w:u w:val="none"/>
              </w:rPr>
              <w:t>—每种物质的临界量，t</w:t>
            </w:r>
          </w:p>
          <w:p w14:paraId="0BCFF052">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当Q＜1时，该项目环境风险潜势为Ⅰ。</w:t>
            </w:r>
          </w:p>
          <w:p w14:paraId="52852500">
            <w:pPr>
              <w:keepNext w:val="0"/>
              <w:keepLines w:val="0"/>
              <w:pageBreakBefore w:val="0"/>
              <w:tabs>
                <w:tab w:val="left" w:pos="1081"/>
              </w:tabs>
              <w:kinsoku/>
              <w:wordWrap/>
              <w:overflowPunct/>
              <w:topLinePunct w:val="0"/>
              <w:autoSpaceDE/>
              <w:autoSpaceDN/>
              <w:bidi w:val="0"/>
              <w:adjustRightInd w:val="0"/>
              <w:spacing w:line="360" w:lineRule="auto"/>
              <w:ind w:firstLine="480" w:firstLineChars="200"/>
              <w:textAlignment w:val="auto"/>
              <w:outlineLvl w:val="9"/>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根据《建设项目环境风险评价技术导则》（HJ169-2018）附录B表B.1及《危险化学品重大危险源辨识》（GB18218-20</w:t>
            </w:r>
            <w:r>
              <w:rPr>
                <w:rFonts w:hint="eastAsia" w:cs="Times New Roman"/>
                <w:color w:val="auto"/>
                <w:sz w:val="24"/>
                <w:szCs w:val="24"/>
                <w:u w:val="none"/>
                <w:lang w:val="en-US" w:eastAsia="zh-CN"/>
              </w:rPr>
              <w:t>18</w:t>
            </w:r>
            <w:r>
              <w:rPr>
                <w:rFonts w:hint="default" w:ascii="Times New Roman" w:hAnsi="Times New Roman" w:eastAsia="宋体" w:cs="Times New Roman"/>
                <w:color w:val="auto"/>
                <w:sz w:val="24"/>
                <w:szCs w:val="24"/>
                <w:u w:val="none"/>
              </w:rPr>
              <w:t>）中附表2、表3中各物质及化学品有关的临界量，计算风险物质在厂界内的最大存在量与临界量的比值Q。本项目危险物质数量与临界量比值见下表。</w:t>
            </w:r>
            <w:r>
              <w:rPr>
                <w:rFonts w:hint="default" w:ascii="Times New Roman" w:hAnsi="Times New Roman" w:cs="Times New Roman"/>
                <w:color w:val="000000" w:themeColor="text1"/>
                <w:sz w:val="24"/>
                <w14:textFill>
                  <w14:solidFill>
                    <w14:schemeClr w14:val="tx1"/>
                  </w14:solidFill>
                </w14:textFill>
              </w:rPr>
              <w:t>本项目无天然气储存装置，生产场所的天然气量仅为管道内的量，天然气在线量约为30m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，密度为0.</w:t>
            </w:r>
            <w:r>
              <w:rPr>
                <w:rFonts w:hint="eastAsia" w:ascii="Times New Roman" w:hAnsi="Times New Roman" w:cs="Times New Roman"/>
                <w:color w:val="000000" w:themeColor="text1"/>
                <w:sz w:val="24"/>
                <w:lang w:val="en-US" w:eastAsia="zh-CN"/>
                <w14:textFill>
                  <w14:solidFill>
                    <w14:schemeClr w14:val="tx1"/>
                  </w14:solidFill>
                </w14:textFill>
              </w:rPr>
              <w:t>70</w:t>
            </w:r>
            <w:r>
              <w:rPr>
                <w:rFonts w:hint="default" w:ascii="Times New Roman" w:hAnsi="Times New Roman" w:cs="Times New Roman"/>
                <w:color w:val="000000" w:themeColor="text1"/>
                <w:sz w:val="24"/>
                <w14:textFill>
                  <w14:solidFill>
                    <w14:schemeClr w14:val="tx1"/>
                  </w14:solidFill>
                </w14:textFill>
              </w:rPr>
              <w:t>kg/Nm</w:t>
            </w:r>
            <w:r>
              <w:rPr>
                <w:rFonts w:hint="default" w:ascii="Times New Roman" w:hAnsi="Times New Roman" w:cs="Times New Roman"/>
                <w:color w:val="000000" w:themeColor="text1"/>
                <w:sz w:val="24"/>
                <w:vertAlign w:val="superscript"/>
                <w14:textFill>
                  <w14:solidFill>
                    <w14:schemeClr w14:val="tx1"/>
                  </w14:solidFill>
                </w14:textFill>
              </w:rPr>
              <w:t>3</w:t>
            </w:r>
            <w:r>
              <w:rPr>
                <w:rFonts w:hint="default" w:ascii="Times New Roman" w:hAnsi="Times New Roman" w:cs="Times New Roman"/>
                <w:color w:val="000000" w:themeColor="text1"/>
                <w:sz w:val="24"/>
                <w14:textFill>
                  <w14:solidFill>
                    <w14:schemeClr w14:val="tx1"/>
                  </w14:solidFill>
                </w14:textFill>
              </w:rPr>
              <w:t>，管道储存量为0.0</w:t>
            </w:r>
            <w:r>
              <w:rPr>
                <w:rFonts w:hint="default" w:ascii="Times New Roman" w:hAnsi="Times New Roman" w:cs="Times New Roman"/>
                <w:color w:val="000000" w:themeColor="text1"/>
                <w:sz w:val="24"/>
                <w:lang w:val="en-US" w:eastAsia="zh-CN"/>
                <w14:textFill>
                  <w14:solidFill>
                    <w14:schemeClr w14:val="tx1"/>
                  </w14:solidFill>
                </w14:textFill>
              </w:rPr>
              <w:t>2</w:t>
            </w:r>
            <w:r>
              <w:rPr>
                <w:rFonts w:hint="eastAsia" w:ascii="Times New Roman" w:hAnsi="Times New Roman" w:cs="Times New Roman"/>
                <w:color w:val="000000" w:themeColor="text1"/>
                <w:sz w:val="24"/>
                <w:lang w:val="en-US" w:eastAsia="zh-CN"/>
                <w14:textFill>
                  <w14:solidFill>
                    <w14:schemeClr w14:val="tx1"/>
                  </w14:solidFill>
                </w14:textFill>
              </w:rPr>
              <w:t>1</w:t>
            </w:r>
            <w:r>
              <w:rPr>
                <w:rFonts w:hint="default" w:ascii="Times New Roman" w:hAnsi="Times New Roman" w:cs="Times New Roman"/>
                <w:color w:val="000000" w:themeColor="text1"/>
                <w:sz w:val="24"/>
                <w14:textFill>
                  <w14:solidFill>
                    <w14:schemeClr w14:val="tx1"/>
                  </w14:solidFill>
                </w14:textFill>
              </w:rPr>
              <w:t>t。</w:t>
            </w:r>
          </w:p>
          <w:p w14:paraId="1754A699">
            <w:pPr>
              <w:tabs>
                <w:tab w:val="left" w:pos="1081"/>
              </w:tabs>
              <w:adjustRightInd w:val="0"/>
              <w:snapToGrid w:val="0"/>
              <w:spacing w:line="360" w:lineRule="auto"/>
              <w:jc w:val="center"/>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表4-</w:t>
            </w:r>
            <w:r>
              <w:rPr>
                <w:rFonts w:hint="eastAsia" w:cs="Times New Roman"/>
                <w:b/>
                <w:color w:val="auto"/>
                <w:sz w:val="24"/>
                <w:szCs w:val="24"/>
                <w:u w:val="none"/>
                <w:lang w:val="en-US" w:eastAsia="zh-CN"/>
              </w:rPr>
              <w:t>23</w:t>
            </w:r>
            <w:r>
              <w:rPr>
                <w:rFonts w:hint="default" w:ascii="Times New Roman" w:hAnsi="Times New Roman" w:eastAsia="宋体" w:cs="Times New Roman"/>
                <w:b/>
                <w:color w:val="auto"/>
                <w:sz w:val="24"/>
                <w:szCs w:val="24"/>
                <w:u w:val="none"/>
              </w:rPr>
              <w:t xml:space="preserve">  项目危险物质与临界量比值表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4"/>
              <w:gridCol w:w="2934"/>
              <w:gridCol w:w="1949"/>
              <w:gridCol w:w="981"/>
              <w:gridCol w:w="2354"/>
            </w:tblGrid>
            <w:tr w14:paraId="2FF7A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noWrap w:val="0"/>
                  <w:vAlign w:val="center"/>
                </w:tcPr>
                <w:p w14:paraId="188750F2">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危险单元名称</w:t>
                  </w:r>
                </w:p>
              </w:tc>
              <w:tc>
                <w:tcPr>
                  <w:tcW w:w="1582" w:type="pct"/>
                  <w:tcBorders>
                    <w:top w:val="single" w:color="auto" w:sz="4" w:space="0"/>
                    <w:left w:val="nil"/>
                    <w:bottom w:val="single" w:color="auto" w:sz="4" w:space="0"/>
                    <w:right w:val="single" w:color="auto" w:sz="4" w:space="0"/>
                  </w:tcBorders>
                  <w:noWrap w:val="0"/>
                  <w:vAlign w:val="center"/>
                </w:tcPr>
                <w:p w14:paraId="064BA255">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风险物质</w:t>
                  </w:r>
                </w:p>
              </w:tc>
              <w:tc>
                <w:tcPr>
                  <w:tcW w:w="1051" w:type="pct"/>
                  <w:tcBorders>
                    <w:top w:val="single" w:color="auto" w:sz="4" w:space="0"/>
                    <w:left w:val="nil"/>
                    <w:bottom w:val="single" w:color="auto" w:sz="4" w:space="0"/>
                    <w:right w:val="single" w:color="auto" w:sz="4" w:space="0"/>
                  </w:tcBorders>
                  <w:noWrap w:val="0"/>
                  <w:vAlign w:val="center"/>
                </w:tcPr>
                <w:p w14:paraId="717CA3D6">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实际最大存在量</w:t>
                  </w:r>
                </w:p>
              </w:tc>
              <w:tc>
                <w:tcPr>
                  <w:tcW w:w="527" w:type="pct"/>
                  <w:tcBorders>
                    <w:top w:val="single" w:color="auto" w:sz="4" w:space="0"/>
                    <w:left w:val="nil"/>
                    <w:bottom w:val="single" w:color="auto" w:sz="4" w:space="0"/>
                    <w:right w:val="single" w:color="auto" w:sz="4" w:space="0"/>
                  </w:tcBorders>
                  <w:noWrap w:val="0"/>
                  <w:vAlign w:val="center"/>
                </w:tcPr>
                <w:p w14:paraId="58BCA1C4">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临界量</w:t>
                  </w:r>
                </w:p>
              </w:tc>
              <w:tc>
                <w:tcPr>
                  <w:tcW w:w="1269" w:type="pct"/>
                  <w:tcBorders>
                    <w:top w:val="single" w:color="auto" w:sz="4" w:space="0"/>
                    <w:left w:val="nil"/>
                    <w:bottom w:val="single" w:color="auto" w:sz="4" w:space="0"/>
                    <w:right w:val="single" w:color="auto" w:sz="4" w:space="0"/>
                  </w:tcBorders>
                  <w:noWrap w:val="0"/>
                  <w:vAlign w:val="center"/>
                </w:tcPr>
                <w:p w14:paraId="5D012481">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危险物质数量与临界量比值（Q）</w:t>
                  </w:r>
                </w:p>
              </w:tc>
            </w:tr>
            <w:tr w14:paraId="397FE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restart"/>
                  <w:tcBorders>
                    <w:top w:val="nil"/>
                    <w:left w:val="single" w:color="auto" w:sz="4" w:space="0"/>
                    <w:right w:val="single" w:color="auto" w:sz="4" w:space="0"/>
                  </w:tcBorders>
                  <w:noWrap w:val="0"/>
                  <w:vAlign w:val="center"/>
                </w:tcPr>
                <w:p w14:paraId="24BB65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生产</w:t>
                  </w:r>
                </w:p>
                <w:p w14:paraId="3E04C60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车间</w:t>
                  </w:r>
                </w:p>
              </w:tc>
              <w:tc>
                <w:tcPr>
                  <w:tcW w:w="1582" w:type="pct"/>
                  <w:tcBorders>
                    <w:top w:val="single" w:color="auto" w:sz="4" w:space="0"/>
                    <w:left w:val="nil"/>
                    <w:right w:val="single" w:color="auto" w:sz="4" w:space="0"/>
                  </w:tcBorders>
                  <w:noWrap w:val="0"/>
                  <w:vAlign w:val="center"/>
                </w:tcPr>
                <w:p w14:paraId="40B9E5C8">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天然气</w:t>
                  </w:r>
                </w:p>
              </w:tc>
              <w:tc>
                <w:tcPr>
                  <w:tcW w:w="1051" w:type="pct"/>
                  <w:tcBorders>
                    <w:top w:val="single" w:color="auto" w:sz="4" w:space="0"/>
                    <w:left w:val="nil"/>
                    <w:right w:val="single" w:color="auto" w:sz="4" w:space="0"/>
                  </w:tcBorders>
                  <w:noWrap w:val="0"/>
                  <w:vAlign w:val="center"/>
                </w:tcPr>
                <w:p w14:paraId="6C113E3B">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0.021t</w:t>
                  </w:r>
                </w:p>
              </w:tc>
              <w:tc>
                <w:tcPr>
                  <w:tcW w:w="527" w:type="pct"/>
                  <w:tcBorders>
                    <w:top w:val="single" w:color="auto" w:sz="4" w:space="0"/>
                    <w:left w:val="nil"/>
                    <w:right w:val="single" w:color="auto" w:sz="4" w:space="0"/>
                  </w:tcBorders>
                  <w:noWrap w:val="0"/>
                  <w:vAlign w:val="center"/>
                </w:tcPr>
                <w:p w14:paraId="5AD3A16B">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10t</w:t>
                  </w:r>
                  <w:r>
                    <w:rPr>
                      <w:rFonts w:hint="eastAsia" w:ascii="宋体" w:hAnsi="宋体"/>
                      <w:color w:val="000000"/>
                      <w:sz w:val="21"/>
                      <w:szCs w:val="21"/>
                    </w:rPr>
                    <w:t>（以甲烷计）</w:t>
                  </w:r>
                </w:p>
              </w:tc>
              <w:tc>
                <w:tcPr>
                  <w:tcW w:w="1269" w:type="pct"/>
                  <w:tcBorders>
                    <w:top w:val="single" w:color="auto" w:sz="4" w:space="0"/>
                    <w:left w:val="nil"/>
                    <w:right w:val="single" w:color="auto" w:sz="4" w:space="0"/>
                  </w:tcBorders>
                  <w:noWrap w:val="0"/>
                  <w:vAlign w:val="center"/>
                </w:tcPr>
                <w:p w14:paraId="0F1384E0">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0.0021</w:t>
                  </w:r>
                </w:p>
              </w:tc>
            </w:tr>
            <w:tr w14:paraId="5F1FE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continue"/>
                  <w:tcBorders>
                    <w:left w:val="single" w:color="auto" w:sz="4" w:space="0"/>
                    <w:right w:val="single" w:color="auto" w:sz="4" w:space="0"/>
                  </w:tcBorders>
                  <w:noWrap w:val="0"/>
                  <w:vAlign w:val="center"/>
                </w:tcPr>
                <w:p w14:paraId="63D1AE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rPr>
                  </w:pPr>
                </w:p>
              </w:tc>
              <w:tc>
                <w:tcPr>
                  <w:tcW w:w="1582" w:type="pct"/>
                  <w:tcBorders>
                    <w:top w:val="single" w:color="auto" w:sz="4" w:space="0"/>
                    <w:left w:val="nil"/>
                    <w:right w:val="single" w:color="auto" w:sz="4" w:space="0"/>
                  </w:tcBorders>
                  <w:shd w:val="clear" w:color="auto" w:fill="auto"/>
                  <w:noWrap w:val="0"/>
                  <w:vAlign w:val="center"/>
                </w:tcPr>
                <w:p w14:paraId="0C542F47">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sz w:val="21"/>
                      <w:szCs w:val="21"/>
                      <w:u w:val="none"/>
                      <w:lang w:val="en-US" w:eastAsia="zh-CN"/>
                    </w:rPr>
                    <w:t>润滑油</w:t>
                  </w:r>
                </w:p>
              </w:tc>
              <w:tc>
                <w:tcPr>
                  <w:tcW w:w="1051" w:type="pct"/>
                  <w:tcBorders>
                    <w:top w:val="single" w:color="auto" w:sz="4" w:space="0"/>
                    <w:left w:val="nil"/>
                    <w:right w:val="single" w:color="auto" w:sz="4" w:space="0"/>
                  </w:tcBorders>
                  <w:shd w:val="clear" w:color="auto" w:fill="auto"/>
                  <w:noWrap w:val="0"/>
                  <w:vAlign w:val="center"/>
                </w:tcPr>
                <w:p w14:paraId="39EEA3AC">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sz w:val="21"/>
                      <w:szCs w:val="21"/>
                      <w:u w:val="none"/>
                      <w:lang w:val="en-US" w:eastAsia="zh-CN"/>
                    </w:rPr>
                    <w:t>0.5</w:t>
                  </w:r>
                  <w:r>
                    <w:rPr>
                      <w:rFonts w:hint="default" w:ascii="Times New Roman" w:hAnsi="Times New Roman" w:eastAsia="宋体" w:cs="Times New Roman"/>
                      <w:color w:val="auto"/>
                      <w:sz w:val="21"/>
                      <w:szCs w:val="21"/>
                      <w:u w:val="none"/>
                      <w:lang w:val="en-US" w:eastAsia="zh-CN"/>
                    </w:rPr>
                    <w:t>t</w:t>
                  </w:r>
                </w:p>
              </w:tc>
              <w:tc>
                <w:tcPr>
                  <w:tcW w:w="527" w:type="pct"/>
                  <w:tcBorders>
                    <w:top w:val="single" w:color="auto" w:sz="4" w:space="0"/>
                    <w:left w:val="nil"/>
                    <w:right w:val="single" w:color="auto" w:sz="4" w:space="0"/>
                  </w:tcBorders>
                  <w:shd w:val="clear" w:color="auto" w:fill="auto"/>
                  <w:noWrap w:val="0"/>
                  <w:vAlign w:val="center"/>
                </w:tcPr>
                <w:p w14:paraId="6036B448">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2500t</w:t>
                  </w:r>
                </w:p>
              </w:tc>
              <w:tc>
                <w:tcPr>
                  <w:tcW w:w="1269" w:type="pct"/>
                  <w:tcBorders>
                    <w:top w:val="single" w:color="auto" w:sz="4" w:space="0"/>
                    <w:left w:val="nil"/>
                    <w:right w:val="single" w:color="auto" w:sz="4" w:space="0"/>
                  </w:tcBorders>
                  <w:shd w:val="clear" w:color="auto" w:fill="auto"/>
                  <w:noWrap w:val="0"/>
                  <w:vAlign w:val="center"/>
                </w:tcPr>
                <w:p w14:paraId="7F79A9E8">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rPr>
                    <w:t>0.00</w:t>
                  </w:r>
                  <w:r>
                    <w:rPr>
                      <w:rFonts w:hint="eastAsia" w:ascii="Times New Roman" w:hAnsi="Times New Roman" w:eastAsia="宋体" w:cs="Times New Roman"/>
                      <w:color w:val="auto"/>
                      <w:sz w:val="21"/>
                      <w:szCs w:val="21"/>
                      <w:u w:val="none"/>
                      <w:lang w:val="en-US" w:eastAsia="zh-CN"/>
                    </w:rPr>
                    <w:t>02</w:t>
                  </w:r>
                </w:p>
              </w:tc>
            </w:tr>
            <w:tr w14:paraId="428E4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continue"/>
                  <w:tcBorders>
                    <w:left w:val="single" w:color="auto" w:sz="4" w:space="0"/>
                    <w:right w:val="single" w:color="auto" w:sz="4" w:space="0"/>
                  </w:tcBorders>
                  <w:noWrap w:val="0"/>
                  <w:vAlign w:val="center"/>
                </w:tcPr>
                <w:p w14:paraId="79D4C6B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u w:val="none"/>
                    </w:rPr>
                  </w:pPr>
                </w:p>
              </w:tc>
              <w:tc>
                <w:tcPr>
                  <w:tcW w:w="1582" w:type="pct"/>
                  <w:tcBorders>
                    <w:top w:val="single" w:color="auto" w:sz="4" w:space="0"/>
                    <w:left w:val="nil"/>
                    <w:right w:val="single" w:color="auto" w:sz="4" w:space="0"/>
                  </w:tcBorders>
                  <w:noWrap w:val="0"/>
                  <w:vAlign w:val="center"/>
                </w:tcPr>
                <w:p w14:paraId="1F19AAF3">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危险废物</w:t>
                  </w:r>
                </w:p>
              </w:tc>
              <w:tc>
                <w:tcPr>
                  <w:tcW w:w="1051" w:type="pct"/>
                  <w:tcBorders>
                    <w:top w:val="single" w:color="auto" w:sz="4" w:space="0"/>
                    <w:left w:val="nil"/>
                    <w:right w:val="single" w:color="auto" w:sz="4" w:space="0"/>
                  </w:tcBorders>
                  <w:noWrap w:val="0"/>
                  <w:vAlign w:val="center"/>
                </w:tcPr>
                <w:p w14:paraId="3967104D">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0.6</w:t>
                  </w:r>
                  <w:r>
                    <w:rPr>
                      <w:rFonts w:hint="default" w:ascii="Times New Roman" w:hAnsi="Times New Roman" w:eastAsia="宋体" w:cs="Times New Roman"/>
                      <w:color w:val="auto"/>
                      <w:sz w:val="21"/>
                      <w:szCs w:val="21"/>
                      <w:u w:val="none"/>
                      <w:lang w:val="en-US" w:eastAsia="zh-CN"/>
                    </w:rPr>
                    <w:t>t</w:t>
                  </w:r>
                </w:p>
              </w:tc>
              <w:tc>
                <w:tcPr>
                  <w:tcW w:w="527" w:type="pct"/>
                  <w:tcBorders>
                    <w:top w:val="single" w:color="auto" w:sz="4" w:space="0"/>
                    <w:left w:val="nil"/>
                    <w:right w:val="single" w:color="auto" w:sz="4" w:space="0"/>
                  </w:tcBorders>
                  <w:noWrap w:val="0"/>
                  <w:vAlign w:val="center"/>
                </w:tcPr>
                <w:p w14:paraId="2D421C2E">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50t</w:t>
                  </w:r>
                </w:p>
              </w:tc>
              <w:tc>
                <w:tcPr>
                  <w:tcW w:w="1269" w:type="pct"/>
                  <w:tcBorders>
                    <w:top w:val="single" w:color="auto" w:sz="4" w:space="0"/>
                    <w:left w:val="nil"/>
                    <w:right w:val="single" w:color="auto" w:sz="4" w:space="0"/>
                  </w:tcBorders>
                  <w:noWrap w:val="0"/>
                  <w:vAlign w:val="center"/>
                </w:tcPr>
                <w:p w14:paraId="617DEEAE">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0.012</w:t>
                  </w:r>
                </w:p>
              </w:tc>
            </w:tr>
            <w:tr w14:paraId="47C4C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30" w:type="pct"/>
                  <w:gridSpan w:val="4"/>
                  <w:tcBorders>
                    <w:top w:val="single" w:color="auto" w:sz="4" w:space="0"/>
                    <w:left w:val="single" w:color="auto" w:sz="4" w:space="0"/>
                    <w:bottom w:val="single" w:color="auto" w:sz="4" w:space="0"/>
                    <w:right w:val="single" w:color="auto" w:sz="4" w:space="0"/>
                  </w:tcBorders>
                  <w:noWrap w:val="0"/>
                  <w:vAlign w:val="center"/>
                </w:tcPr>
                <w:p w14:paraId="75B62B9C">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合计</w:t>
                  </w:r>
                </w:p>
              </w:tc>
              <w:tc>
                <w:tcPr>
                  <w:tcW w:w="1269" w:type="pct"/>
                  <w:tcBorders>
                    <w:top w:val="single" w:color="auto" w:sz="4" w:space="0"/>
                    <w:left w:val="nil"/>
                    <w:bottom w:val="single" w:color="auto" w:sz="4" w:space="0"/>
                    <w:right w:val="single" w:color="auto" w:sz="4" w:space="0"/>
                  </w:tcBorders>
                  <w:noWrap w:val="0"/>
                  <w:vAlign w:val="center"/>
                </w:tcPr>
                <w:p w14:paraId="53663C25">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0.0143</w:t>
                  </w:r>
                </w:p>
              </w:tc>
            </w:tr>
          </w:tbl>
          <w:p w14:paraId="783412C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根据计算结果，Q=</w:t>
            </w:r>
            <w:r>
              <w:rPr>
                <w:rFonts w:hint="default" w:ascii="Times New Roman" w:hAnsi="Times New Roman" w:eastAsia="宋体" w:cs="Times New Roman"/>
                <w:color w:val="auto"/>
                <w:sz w:val="24"/>
                <w:szCs w:val="24"/>
                <w:u w:val="none"/>
                <w:lang w:val="en-US" w:eastAsia="zh-CN"/>
              </w:rPr>
              <w:t>0.0143</w:t>
            </w:r>
            <w:r>
              <w:rPr>
                <w:rFonts w:hint="default" w:ascii="Times New Roman" w:hAnsi="Times New Roman" w:eastAsia="宋体" w:cs="Times New Roman"/>
                <w:color w:val="auto"/>
                <w:sz w:val="24"/>
                <w:szCs w:val="24"/>
                <w:u w:val="none"/>
              </w:rPr>
              <w:t>＜1，因此本项目的环境风险潜势为Ⅰ。</w:t>
            </w:r>
          </w:p>
          <w:p w14:paraId="31A2E8B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（3）评价等级</w:t>
            </w:r>
          </w:p>
          <w:p w14:paraId="7592D983">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w:t>
            </w:r>
            <w:r>
              <w:rPr>
                <w:rFonts w:hint="default" w:ascii="Times New Roman" w:hAnsi="Times New Roman" w:eastAsia="宋体" w:cs="Times New Roman"/>
                <w:color w:val="auto"/>
                <w:sz w:val="24"/>
                <w:szCs w:val="24"/>
                <w:u w:val="none"/>
                <w:lang w:val="en-GB"/>
              </w:rPr>
              <w:t>《建设项目环境风险评价技术导则》</w:t>
            </w:r>
            <w:r>
              <w:rPr>
                <w:rFonts w:hint="default" w:ascii="Times New Roman" w:hAnsi="Times New Roman" w:eastAsia="宋体" w:cs="Times New Roman"/>
                <w:color w:val="auto"/>
                <w:sz w:val="24"/>
                <w:szCs w:val="24"/>
                <w:u w:val="none"/>
              </w:rPr>
              <w:t>（HJ169-2018）规定，环境风险评价工作等级划分见下表。</w:t>
            </w:r>
          </w:p>
          <w:p w14:paraId="08AC1E40">
            <w:pPr>
              <w:tabs>
                <w:tab w:val="left" w:pos="1081"/>
              </w:tabs>
              <w:adjustRightInd w:val="0"/>
              <w:snapToGrid w:val="0"/>
              <w:spacing w:line="360" w:lineRule="auto"/>
              <w:jc w:val="center"/>
              <w:rPr>
                <w:rFonts w:hint="default" w:ascii="Times New Roman" w:hAnsi="Times New Roman" w:eastAsia="宋体" w:cs="Times New Roman"/>
                <w:b/>
                <w:color w:val="auto"/>
                <w:sz w:val="24"/>
                <w:szCs w:val="24"/>
                <w:u w:val="none"/>
              </w:rPr>
            </w:pPr>
            <w:r>
              <w:rPr>
                <w:rFonts w:hint="default" w:ascii="Times New Roman" w:hAnsi="Times New Roman" w:eastAsia="宋体" w:cs="Times New Roman"/>
                <w:b/>
                <w:color w:val="auto"/>
                <w:sz w:val="24"/>
                <w:szCs w:val="24"/>
                <w:u w:val="none"/>
              </w:rPr>
              <w:t>表4-</w:t>
            </w:r>
            <w:r>
              <w:rPr>
                <w:rFonts w:hint="eastAsia" w:cs="Times New Roman"/>
                <w:b/>
                <w:color w:val="auto"/>
                <w:sz w:val="24"/>
                <w:szCs w:val="24"/>
                <w:u w:val="none"/>
                <w:lang w:val="en-US" w:eastAsia="zh-CN"/>
              </w:rPr>
              <w:t>24</w:t>
            </w:r>
            <w:r>
              <w:rPr>
                <w:rFonts w:hint="default" w:ascii="Times New Roman" w:hAnsi="Times New Roman" w:eastAsia="宋体" w:cs="Times New Roman"/>
                <w:b/>
                <w:color w:val="auto"/>
                <w:sz w:val="24"/>
                <w:szCs w:val="24"/>
                <w:u w:val="none"/>
              </w:rPr>
              <w:t xml:space="preserve">  评价工作等级划分表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7"/>
              <w:gridCol w:w="1945"/>
              <w:gridCol w:w="1619"/>
              <w:gridCol w:w="1556"/>
              <w:gridCol w:w="2045"/>
            </w:tblGrid>
            <w:tr w14:paraId="25D11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6" w:type="pct"/>
                  <w:noWrap w:val="0"/>
                  <w:vAlign w:val="center"/>
                </w:tcPr>
                <w:p w14:paraId="2AF434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环境风险潜势</w:t>
                  </w:r>
                </w:p>
              </w:tc>
              <w:tc>
                <w:tcPr>
                  <w:tcW w:w="1049" w:type="pct"/>
                  <w:noWrap w:val="0"/>
                  <w:vAlign w:val="center"/>
                </w:tcPr>
                <w:p w14:paraId="03C19A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Ⅳ、Ⅳ</w:t>
                  </w:r>
                  <w:r>
                    <w:rPr>
                      <w:rFonts w:hint="default" w:ascii="Times New Roman" w:hAnsi="Times New Roman" w:eastAsia="宋体" w:cs="Times New Roman"/>
                      <w:color w:val="auto"/>
                      <w:sz w:val="21"/>
                      <w:szCs w:val="21"/>
                      <w:u w:val="none"/>
                      <w:vertAlign w:val="superscript"/>
                    </w:rPr>
                    <w:t>+</w:t>
                  </w:r>
                </w:p>
              </w:tc>
              <w:tc>
                <w:tcPr>
                  <w:tcW w:w="873" w:type="pct"/>
                  <w:noWrap w:val="0"/>
                  <w:vAlign w:val="center"/>
                </w:tcPr>
                <w:p w14:paraId="2BD947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Ⅲ</w:t>
                  </w:r>
                </w:p>
              </w:tc>
              <w:tc>
                <w:tcPr>
                  <w:tcW w:w="839" w:type="pct"/>
                  <w:noWrap w:val="0"/>
                  <w:vAlign w:val="center"/>
                </w:tcPr>
                <w:p w14:paraId="55EF09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Ⅱ</w:t>
                  </w:r>
                </w:p>
              </w:tc>
              <w:tc>
                <w:tcPr>
                  <w:tcW w:w="1102" w:type="pct"/>
                  <w:noWrap w:val="0"/>
                  <w:vAlign w:val="center"/>
                </w:tcPr>
                <w:p w14:paraId="616A40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Ⅰ</w:t>
                  </w:r>
                </w:p>
              </w:tc>
            </w:tr>
            <w:tr w14:paraId="67A40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6" w:type="pct"/>
                  <w:noWrap w:val="0"/>
                  <w:vAlign w:val="center"/>
                </w:tcPr>
                <w:p w14:paraId="63040B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评级工作等级</w:t>
                  </w:r>
                </w:p>
              </w:tc>
              <w:tc>
                <w:tcPr>
                  <w:tcW w:w="1049" w:type="pct"/>
                  <w:noWrap w:val="0"/>
                  <w:vAlign w:val="center"/>
                </w:tcPr>
                <w:p w14:paraId="414114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一</w:t>
                  </w:r>
                </w:p>
              </w:tc>
              <w:tc>
                <w:tcPr>
                  <w:tcW w:w="873" w:type="pct"/>
                  <w:noWrap w:val="0"/>
                  <w:vAlign w:val="center"/>
                </w:tcPr>
                <w:p w14:paraId="473B4C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二</w:t>
                  </w:r>
                </w:p>
              </w:tc>
              <w:tc>
                <w:tcPr>
                  <w:tcW w:w="839" w:type="pct"/>
                  <w:noWrap w:val="0"/>
                  <w:vAlign w:val="center"/>
                </w:tcPr>
                <w:p w14:paraId="6E3AF0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三</w:t>
                  </w:r>
                </w:p>
              </w:tc>
              <w:tc>
                <w:tcPr>
                  <w:tcW w:w="1102" w:type="pct"/>
                  <w:noWrap w:val="0"/>
                  <w:vAlign w:val="center"/>
                </w:tcPr>
                <w:p w14:paraId="2DB057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简单分析</w:t>
                  </w:r>
                  <w:r>
                    <w:rPr>
                      <w:rFonts w:hint="default" w:ascii="Times New Roman" w:hAnsi="Times New Roman" w:eastAsia="宋体" w:cs="Times New Roman"/>
                      <w:color w:val="auto"/>
                      <w:sz w:val="21"/>
                      <w:szCs w:val="21"/>
                      <w:u w:val="none"/>
                      <w:vertAlign w:val="superscript"/>
                    </w:rPr>
                    <w:t>a</w:t>
                  </w:r>
                </w:p>
              </w:tc>
            </w:tr>
            <w:tr w14:paraId="6F0F9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noWrap w:val="0"/>
                  <w:vAlign w:val="center"/>
                </w:tcPr>
                <w:p w14:paraId="6844E6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a 是相对于详细评价工作内容而言，在描述危险物质、环境影响途径、环境危害后果、风险防范措施等方面给出定性的说明。</w:t>
                  </w:r>
                </w:p>
              </w:tc>
            </w:tr>
          </w:tbl>
          <w:p w14:paraId="6C66B1BF">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由于本项目环境风险潜势为Ⅰ，根据上表可知，本次仅需对项目环境风险进行简单分析。</w:t>
            </w:r>
          </w:p>
          <w:p w14:paraId="2228B044">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u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7.2环境敏感目标概况</w:t>
            </w:r>
          </w:p>
          <w:p w14:paraId="510E4FAE">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u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经现场调查，本项目周围主要环境敏感目标见下表。</w:t>
            </w:r>
          </w:p>
          <w:p w14:paraId="0B855167">
            <w:pPr>
              <w:adjustRightInd w:val="0"/>
              <w:snapToGrid w:val="0"/>
              <w:spacing w:line="360" w:lineRule="auto"/>
              <w:ind w:firstLine="482" w:firstLineChars="200"/>
              <w:jc w:val="center"/>
              <w:rPr>
                <w:rFonts w:hint="default" w:ascii="Times New Roman" w:hAnsi="Times New Roman" w:eastAsia="宋体" w:cs="Times New Roman"/>
                <w:b/>
                <w:color w:val="000000" w:themeColor="text1"/>
                <w:sz w:val="24"/>
                <w:szCs w:val="24"/>
                <w:highlight w:val="none"/>
                <w:u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14:textFill>
                  <w14:solidFill>
                    <w14:schemeClr w14:val="tx1"/>
                  </w14:solidFill>
                </w14:textFill>
              </w:rPr>
              <w:t>表4-</w:t>
            </w:r>
            <w:r>
              <w:rPr>
                <w:rFonts w:hint="eastAsia" w:cs="Times New Roman"/>
                <w:b/>
                <w:color w:val="000000" w:themeColor="text1"/>
                <w:sz w:val="24"/>
                <w:szCs w:val="24"/>
                <w:highlight w:val="none"/>
                <w:u w:val="none"/>
                <w:lang w:val="en-US" w:eastAsia="zh-CN"/>
                <w14:textFill>
                  <w14:solidFill>
                    <w14:schemeClr w14:val="tx1"/>
                  </w14:solidFill>
                </w14:textFill>
              </w:rPr>
              <w:t>25</w:t>
            </w:r>
            <w:r>
              <w:rPr>
                <w:rFonts w:hint="default" w:ascii="Times New Roman" w:hAnsi="Times New Roman" w:eastAsia="宋体" w:cs="Times New Roman"/>
                <w:b/>
                <w:color w:val="000000" w:themeColor="text1"/>
                <w:sz w:val="24"/>
                <w:szCs w:val="24"/>
                <w:highlight w:val="none"/>
                <w:u w:val="none"/>
                <w14:textFill>
                  <w14:solidFill>
                    <w14:schemeClr w14:val="tx1"/>
                  </w14:solidFill>
                </w14:textFill>
              </w:rPr>
              <w:t xml:space="preserve">  主要环境保护目标一览表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1893"/>
              <w:gridCol w:w="1685"/>
              <w:gridCol w:w="1930"/>
              <w:gridCol w:w="2520"/>
            </w:tblGrid>
            <w:tr w14:paraId="7AF4C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68EFBE1D">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环境因素</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78A2003A">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保护目标</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0073708E">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方位</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D21D0BA">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距厂界</w:t>
                  </w:r>
                  <w:r>
                    <w:rPr>
                      <w:rFonts w:hint="default" w:ascii="Times New Roman" w:hAnsi="Times New Roman" w:cs="Times New Roman"/>
                      <w:b w:val="0"/>
                      <w:bCs w:val="0"/>
                      <w:color w:val="auto"/>
                      <w:szCs w:val="21"/>
                      <w:highlight w:val="none"/>
                      <w:u w:val="none"/>
                      <w:lang w:eastAsia="zh-TW"/>
                    </w:rPr>
                    <w:t>距离</w:t>
                  </w:r>
                </w:p>
              </w:tc>
              <w:tc>
                <w:tcPr>
                  <w:tcW w:w="1359" w:type="pct"/>
                  <w:tcBorders>
                    <w:top w:val="single" w:color="auto" w:sz="4" w:space="0"/>
                    <w:left w:val="single" w:color="auto" w:sz="4" w:space="0"/>
                    <w:bottom w:val="single" w:color="auto" w:sz="4" w:space="0"/>
                    <w:right w:val="single" w:color="auto" w:sz="4" w:space="0"/>
                  </w:tcBorders>
                  <w:noWrap w:val="0"/>
                  <w:vAlign w:val="center"/>
                </w:tcPr>
                <w:p w14:paraId="600F7724">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lang w:eastAsia="zh-TW"/>
                    </w:rPr>
                    <w:t>保</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护</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级</w:t>
                  </w:r>
                  <w:r>
                    <w:rPr>
                      <w:rFonts w:hint="default" w:ascii="Times New Roman" w:hAnsi="Times New Roman" w:cs="Times New Roman"/>
                      <w:b w:val="0"/>
                      <w:bCs w:val="0"/>
                      <w:color w:val="auto"/>
                      <w:szCs w:val="21"/>
                      <w:highlight w:val="none"/>
                      <w:u w:val="none"/>
                    </w:rPr>
                    <w:t xml:space="preserve">  </w:t>
                  </w:r>
                  <w:r>
                    <w:rPr>
                      <w:rFonts w:hint="default" w:ascii="Times New Roman" w:hAnsi="Times New Roman" w:cs="Times New Roman"/>
                      <w:b w:val="0"/>
                      <w:bCs w:val="0"/>
                      <w:color w:val="auto"/>
                      <w:szCs w:val="21"/>
                      <w:highlight w:val="none"/>
                      <w:u w:val="none"/>
                      <w:lang w:eastAsia="zh-TW"/>
                    </w:rPr>
                    <w:t>别</w:t>
                  </w:r>
                </w:p>
              </w:tc>
            </w:tr>
            <w:tr w14:paraId="4598D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restart"/>
                  <w:tcBorders>
                    <w:top w:val="single" w:color="auto" w:sz="4" w:space="0"/>
                    <w:left w:val="single" w:color="auto" w:sz="4" w:space="0"/>
                    <w:right w:val="single" w:color="auto" w:sz="4" w:space="0"/>
                  </w:tcBorders>
                  <w:noWrap w:val="0"/>
                  <w:vAlign w:val="center"/>
                </w:tcPr>
                <w:p w14:paraId="560D8743">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大气环境</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5B6ADDA9">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庞坡</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4B48C671">
                  <w:pPr>
                    <w:jc w:val="center"/>
                    <w:rPr>
                      <w:rFonts w:hint="eastAsia"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S</w:t>
                  </w:r>
                  <w:r>
                    <w:rPr>
                      <w:rFonts w:hint="eastAsia" w:cs="Times New Roman"/>
                      <w:b w:val="0"/>
                      <w:bCs w:val="0"/>
                      <w:color w:val="auto"/>
                      <w:szCs w:val="21"/>
                      <w:highlight w:val="none"/>
                      <w:u w:val="none"/>
                      <w:lang w:val="en-US" w:eastAsia="zh-CN" w:bidi="ar"/>
                    </w:rPr>
                    <w:t>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2878A8AE">
                  <w:pPr>
                    <w:jc w:val="center"/>
                    <w:rPr>
                      <w:rFonts w:hint="default" w:ascii="Times New Roman" w:hAnsi="Times New Roman" w:eastAsia="宋体"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429m</w:t>
                  </w:r>
                </w:p>
              </w:tc>
              <w:tc>
                <w:tcPr>
                  <w:tcW w:w="1359" w:type="pct"/>
                  <w:vMerge w:val="restart"/>
                  <w:tcBorders>
                    <w:top w:val="single" w:color="auto" w:sz="4" w:space="0"/>
                    <w:left w:val="single" w:color="auto" w:sz="4" w:space="0"/>
                    <w:right w:val="single" w:color="auto" w:sz="4" w:space="0"/>
                  </w:tcBorders>
                  <w:noWrap w:val="0"/>
                  <w:vAlign w:val="center"/>
                </w:tcPr>
                <w:p w14:paraId="25EC0B87">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《环境空气质量标准》（GB 3095-2012）二级标准</w:t>
                  </w:r>
                </w:p>
              </w:tc>
            </w:tr>
            <w:tr w14:paraId="47484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vMerge w:val="continue"/>
                  <w:tcBorders>
                    <w:left w:val="single" w:color="auto" w:sz="4" w:space="0"/>
                    <w:right w:val="single" w:color="auto" w:sz="4" w:space="0"/>
                  </w:tcBorders>
                  <w:noWrap w:val="0"/>
                  <w:vAlign w:val="center"/>
                </w:tcPr>
                <w:p w14:paraId="5D547115">
                  <w:pPr>
                    <w:jc w:val="center"/>
                    <w:rPr>
                      <w:rFonts w:hint="default" w:ascii="Times New Roman" w:hAnsi="Times New Roman" w:cs="Times New Roman"/>
                      <w:b w:val="0"/>
                      <w:bCs w:val="0"/>
                      <w:color w:val="auto"/>
                      <w:szCs w:val="21"/>
                      <w:highlight w:val="none"/>
                      <w:u w:val="none"/>
                    </w:rPr>
                  </w:pPr>
                </w:p>
              </w:tc>
              <w:tc>
                <w:tcPr>
                  <w:tcW w:w="1021" w:type="pct"/>
                  <w:tcBorders>
                    <w:top w:val="single" w:color="auto" w:sz="4" w:space="0"/>
                    <w:left w:val="single" w:color="auto" w:sz="4" w:space="0"/>
                    <w:bottom w:val="single" w:color="auto" w:sz="4" w:space="0"/>
                    <w:right w:val="single" w:color="auto" w:sz="4" w:space="0"/>
                  </w:tcBorders>
                  <w:noWrap w:val="0"/>
                  <w:vAlign w:val="center"/>
                </w:tcPr>
                <w:p w14:paraId="6142F9D0">
                  <w:pPr>
                    <w:jc w:val="center"/>
                    <w:rPr>
                      <w:rFonts w:hint="default"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小蒋坡</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6AE289EA">
                  <w:pPr>
                    <w:jc w:val="center"/>
                    <w:rPr>
                      <w:rFonts w:hint="eastAsia"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t>
                  </w:r>
                  <w:r>
                    <w:rPr>
                      <w:rFonts w:hint="eastAsia" w:cs="Times New Roman"/>
                      <w:b w:val="0"/>
                      <w:bCs w:val="0"/>
                      <w:color w:val="auto"/>
                      <w:szCs w:val="21"/>
                      <w:highlight w:val="none"/>
                      <w:u w:val="none"/>
                      <w:lang w:val="en-US" w:eastAsia="zh-CN" w:bidi="ar"/>
                    </w:rPr>
                    <w:t>E</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58B10A64">
                  <w:pPr>
                    <w:jc w:val="center"/>
                    <w:rPr>
                      <w:rFonts w:hint="default" w:cs="Times New Roman"/>
                      <w:b w:val="0"/>
                      <w:bCs w:val="0"/>
                      <w:color w:val="auto"/>
                      <w:szCs w:val="21"/>
                      <w:highlight w:val="yellow"/>
                      <w:u w:val="none"/>
                      <w:lang w:val="en-US" w:eastAsia="zh-CN"/>
                    </w:rPr>
                  </w:pPr>
                  <w:r>
                    <w:rPr>
                      <w:rFonts w:hint="eastAsia" w:cs="Times New Roman"/>
                      <w:b w:val="0"/>
                      <w:bCs w:val="0"/>
                      <w:color w:val="auto"/>
                      <w:szCs w:val="21"/>
                      <w:highlight w:val="none"/>
                      <w:u w:val="none"/>
                      <w:lang w:val="en-US" w:eastAsia="zh-CN"/>
                    </w:rPr>
                    <w:t>445m</w:t>
                  </w:r>
                </w:p>
              </w:tc>
              <w:tc>
                <w:tcPr>
                  <w:tcW w:w="1359" w:type="pct"/>
                  <w:vMerge w:val="continue"/>
                  <w:tcBorders>
                    <w:left w:val="single" w:color="auto" w:sz="4" w:space="0"/>
                    <w:right w:val="single" w:color="auto" w:sz="4" w:space="0"/>
                  </w:tcBorders>
                  <w:noWrap w:val="0"/>
                  <w:vAlign w:val="center"/>
                </w:tcPr>
                <w:p w14:paraId="5F74D914">
                  <w:pPr>
                    <w:jc w:val="center"/>
                    <w:rPr>
                      <w:rFonts w:hint="default" w:ascii="Times New Roman" w:hAnsi="Times New Roman" w:cs="Times New Roman"/>
                      <w:b w:val="0"/>
                      <w:bCs w:val="0"/>
                      <w:color w:val="auto"/>
                      <w:szCs w:val="21"/>
                      <w:highlight w:val="none"/>
                      <w:u w:val="none"/>
                    </w:rPr>
                  </w:pPr>
                </w:p>
              </w:tc>
            </w:tr>
            <w:tr w14:paraId="24AFC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69" w:type="pct"/>
                  <w:tcBorders>
                    <w:top w:val="single" w:color="auto" w:sz="4" w:space="0"/>
                    <w:left w:val="single" w:color="auto" w:sz="4" w:space="0"/>
                    <w:right w:val="single" w:color="auto" w:sz="4" w:space="0"/>
                  </w:tcBorders>
                  <w:noWrap w:val="0"/>
                  <w:vAlign w:val="center"/>
                </w:tcPr>
                <w:p w14:paraId="1C21D708">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声环境</w:t>
                  </w:r>
                </w:p>
              </w:tc>
              <w:tc>
                <w:tcPr>
                  <w:tcW w:w="4330" w:type="pct"/>
                  <w:gridSpan w:val="4"/>
                  <w:tcBorders>
                    <w:top w:val="single" w:color="auto" w:sz="4" w:space="0"/>
                    <w:left w:val="single" w:color="auto" w:sz="4" w:space="0"/>
                    <w:bottom w:val="single" w:color="auto" w:sz="4" w:space="0"/>
                    <w:right w:val="single" w:color="auto" w:sz="4" w:space="0"/>
                  </w:tcBorders>
                  <w:noWrap w:val="0"/>
                  <w:vAlign w:val="center"/>
                </w:tcPr>
                <w:p w14:paraId="4B15A651">
                  <w:pPr>
                    <w:jc w:val="center"/>
                    <w:rPr>
                      <w:rFonts w:hint="default" w:ascii="Times New Roman" w:hAnsi="Times New Roman" w:eastAsia="宋体" w:cs="Times New Roman"/>
                      <w:sz w:val="21"/>
                      <w:szCs w:val="21"/>
                      <w:highlight w:val="none"/>
                    </w:rPr>
                  </w:pPr>
                  <w:r>
                    <w:rPr>
                      <w:color w:val="000000"/>
                      <w:szCs w:val="21"/>
                    </w:rPr>
                    <w:t>厂界外50米范围内无声环境保护目标</w:t>
                  </w:r>
                </w:p>
              </w:tc>
            </w:tr>
            <w:tr w14:paraId="4FC42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right w:val="single" w:color="auto" w:sz="4" w:space="0"/>
                  </w:tcBorders>
                  <w:noWrap w:val="0"/>
                  <w:vAlign w:val="center"/>
                </w:tcPr>
                <w:p w14:paraId="27BA98D6">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w:t>
                  </w:r>
                </w:p>
              </w:tc>
              <w:tc>
                <w:tcPr>
                  <w:tcW w:w="1021" w:type="pct"/>
                  <w:tcBorders>
                    <w:top w:val="single" w:color="auto" w:sz="4" w:space="0"/>
                    <w:left w:val="single" w:color="auto" w:sz="4" w:space="0"/>
                    <w:bottom w:val="single" w:color="auto" w:sz="4" w:space="0"/>
                    <w:right w:val="single" w:color="auto" w:sz="4" w:space="0"/>
                  </w:tcBorders>
                  <w:noWrap w:val="0"/>
                  <w:vAlign w:val="center"/>
                </w:tcPr>
                <w:p w14:paraId="18DA44A6">
                  <w:pPr>
                    <w:jc w:val="center"/>
                    <w:rPr>
                      <w:rFonts w:hint="eastAsia"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赵河</w:t>
                  </w:r>
                </w:p>
              </w:tc>
              <w:tc>
                <w:tcPr>
                  <w:tcW w:w="908" w:type="pct"/>
                  <w:tcBorders>
                    <w:top w:val="single" w:color="auto" w:sz="4" w:space="0"/>
                    <w:left w:val="single" w:color="auto" w:sz="4" w:space="0"/>
                    <w:bottom w:val="single" w:color="auto" w:sz="4" w:space="0"/>
                    <w:right w:val="single" w:color="auto" w:sz="4" w:space="0"/>
                  </w:tcBorders>
                  <w:noWrap w:val="0"/>
                  <w:vAlign w:val="center"/>
                </w:tcPr>
                <w:p w14:paraId="52596423">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NW</w:t>
                  </w:r>
                </w:p>
              </w:tc>
              <w:tc>
                <w:tcPr>
                  <w:tcW w:w="1041" w:type="pct"/>
                  <w:tcBorders>
                    <w:top w:val="single" w:color="auto" w:sz="4" w:space="0"/>
                    <w:left w:val="single" w:color="auto" w:sz="4" w:space="0"/>
                    <w:bottom w:val="single" w:color="auto" w:sz="4" w:space="0"/>
                    <w:right w:val="single" w:color="auto" w:sz="4" w:space="0"/>
                  </w:tcBorders>
                  <w:noWrap w:val="0"/>
                  <w:vAlign w:val="center"/>
                </w:tcPr>
                <w:p w14:paraId="06C8594D">
                  <w:pPr>
                    <w:jc w:val="center"/>
                    <w:rPr>
                      <w:rFonts w:hint="default" w:ascii="Times New Roman" w:hAnsi="Times New Roman" w:eastAsia="宋体"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1.15</w:t>
                  </w:r>
                  <w:r>
                    <w:rPr>
                      <w:rFonts w:hint="default" w:ascii="Times New Roman" w:hAnsi="Times New Roman" w:eastAsia="宋体" w:cs="Times New Roman"/>
                      <w:b w:val="0"/>
                      <w:bCs w:val="0"/>
                      <w:color w:val="auto"/>
                      <w:szCs w:val="21"/>
                      <w:highlight w:val="none"/>
                      <w:u w:val="none"/>
                      <w:lang w:val="en-US" w:eastAsia="zh-CN"/>
                    </w:rPr>
                    <w:t>km</w:t>
                  </w:r>
                </w:p>
              </w:tc>
              <w:tc>
                <w:tcPr>
                  <w:tcW w:w="1359" w:type="pct"/>
                  <w:tcBorders>
                    <w:top w:val="single" w:color="auto" w:sz="4" w:space="0"/>
                    <w:left w:val="single" w:color="auto" w:sz="4" w:space="0"/>
                    <w:right w:val="single" w:color="auto" w:sz="4" w:space="0"/>
                  </w:tcBorders>
                  <w:noWrap w:val="0"/>
                  <w:vAlign w:val="center"/>
                </w:tcPr>
                <w:p w14:paraId="1A9D6043">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《地表水环境质量标准》（GB 3838-2002）中Ⅲ类水质标准</w:t>
                  </w:r>
                </w:p>
              </w:tc>
            </w:tr>
            <w:tr w14:paraId="47121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32F20B7F">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地下水</w:t>
                  </w:r>
                </w:p>
              </w:tc>
              <w:tc>
                <w:tcPr>
                  <w:tcW w:w="4330" w:type="pct"/>
                  <w:gridSpan w:val="4"/>
                  <w:tcBorders>
                    <w:top w:val="single" w:color="auto" w:sz="4" w:space="0"/>
                    <w:left w:val="single" w:color="auto" w:sz="4" w:space="0"/>
                    <w:bottom w:val="single" w:color="auto" w:sz="4" w:space="0"/>
                    <w:right w:val="single" w:color="auto" w:sz="4" w:space="0"/>
                  </w:tcBorders>
                  <w:noWrap w:val="0"/>
                  <w:vAlign w:val="center"/>
                </w:tcPr>
                <w:p w14:paraId="53A542A6">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厂界外500m范围内</w:t>
                  </w:r>
                  <w:r>
                    <w:rPr>
                      <w:rFonts w:hint="default" w:ascii="Times New Roman" w:hAnsi="Times New Roman" w:cs="Times New Roman"/>
                      <w:b w:val="0"/>
                      <w:bCs w:val="0"/>
                      <w:color w:val="auto"/>
                      <w:szCs w:val="21"/>
                      <w:highlight w:val="none"/>
                      <w:u w:val="none"/>
                      <w:lang w:val="en-GB"/>
                    </w:rPr>
                    <w:t>无地下水集中式饮用水水源和热水、矿泉水、温泉等特殊地下水资源</w:t>
                  </w:r>
                </w:p>
              </w:tc>
            </w:tr>
            <w:tr w14:paraId="66B8F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pct"/>
                  <w:tcBorders>
                    <w:top w:val="single" w:color="auto" w:sz="4" w:space="0"/>
                    <w:left w:val="single" w:color="auto" w:sz="4" w:space="0"/>
                    <w:bottom w:val="single" w:color="auto" w:sz="4" w:space="0"/>
                    <w:right w:val="single" w:color="auto" w:sz="4" w:space="0"/>
                  </w:tcBorders>
                  <w:noWrap w:val="0"/>
                  <w:vAlign w:val="center"/>
                </w:tcPr>
                <w:p w14:paraId="15C29D51">
                  <w:pPr>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生态环境</w:t>
                  </w:r>
                </w:p>
              </w:tc>
              <w:tc>
                <w:tcPr>
                  <w:tcW w:w="4330" w:type="pct"/>
                  <w:gridSpan w:val="4"/>
                  <w:tcBorders>
                    <w:top w:val="single" w:color="auto" w:sz="4" w:space="0"/>
                    <w:left w:val="single" w:color="auto" w:sz="4" w:space="0"/>
                    <w:bottom w:val="single" w:color="auto" w:sz="4" w:space="0"/>
                    <w:right w:val="single" w:color="auto" w:sz="4" w:space="0"/>
                  </w:tcBorders>
                  <w:noWrap w:val="0"/>
                  <w:vAlign w:val="center"/>
                </w:tcPr>
                <w:p w14:paraId="3E21ACED">
                  <w:pPr>
                    <w:jc w:val="center"/>
                    <w:rPr>
                      <w:rFonts w:hint="default" w:ascii="Times New Roman" w:hAnsi="Times New Roman" w:cs="Times New Roman"/>
                      <w:b w:val="0"/>
                      <w:bCs w:val="0"/>
                      <w:color w:val="auto"/>
                      <w:szCs w:val="21"/>
                      <w:highlight w:val="none"/>
                      <w:u w:val="none"/>
                      <w:lang w:bidi="ar"/>
                    </w:rPr>
                  </w:pPr>
                  <w:r>
                    <w:rPr>
                      <w:rFonts w:hint="default" w:ascii="Times New Roman" w:hAnsi="Times New Roman" w:cs="Times New Roman"/>
                      <w:b w:val="0"/>
                      <w:bCs w:val="0"/>
                      <w:color w:val="auto"/>
                      <w:szCs w:val="21"/>
                      <w:highlight w:val="none"/>
                      <w:u w:val="none"/>
                      <w:lang w:val="en-GB" w:bidi="ar"/>
                    </w:rPr>
                    <w:t>项目用地范围内无生态环境保护目标</w:t>
                  </w:r>
                </w:p>
              </w:tc>
            </w:tr>
          </w:tbl>
          <w:p w14:paraId="66CBB016">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7.3环境风险识别</w:t>
            </w:r>
          </w:p>
          <w:p w14:paraId="2385958F">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cs="Times New Roman"/>
                <w:color w:val="000000" w:themeColor="text1"/>
                <w:sz w:val="24"/>
                <w:szCs w:val="24"/>
                <w:u w:val="none"/>
                <w:lang w:val="en-US" w:eastAsia="zh-CN"/>
                <w14:textFill>
                  <w14:solidFill>
                    <w14:schemeClr w14:val="tx1"/>
                  </w14:solidFill>
                </w14:textFill>
              </w:rPr>
              <w:t>7.3.1风险物质识别</w:t>
            </w:r>
          </w:p>
          <w:p w14:paraId="2157C4F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①本项目原辅材料</w:t>
            </w:r>
            <w:r>
              <w:rPr>
                <w:rFonts w:hint="eastAsia" w:cs="Times New Roman"/>
                <w:color w:val="000000" w:themeColor="text1"/>
                <w:sz w:val="24"/>
                <w:szCs w:val="24"/>
                <w:u w:val="none"/>
                <w:lang w:val="en-US" w:eastAsia="zh-CN"/>
                <w14:textFill>
                  <w14:solidFill>
                    <w14:schemeClr w14:val="tx1"/>
                  </w14:solidFill>
                </w14:textFill>
              </w:rPr>
              <w:t>以及能源</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有</w:t>
            </w:r>
            <w:r>
              <w:rPr>
                <w:rFonts w:hint="eastAsia" w:cs="Times New Roman"/>
                <w:color w:val="000000" w:themeColor="text1"/>
                <w:sz w:val="24"/>
                <w:szCs w:val="24"/>
                <w:u w:val="none"/>
                <w:lang w:val="en-US" w:eastAsia="zh-CN"/>
                <w14:textFill>
                  <w14:solidFill>
                    <w14:schemeClr w14:val="tx1"/>
                  </w14:solidFill>
                </w14:textFill>
              </w:rPr>
              <w:t>润滑油、</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天然气</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，其中</w:t>
            </w:r>
            <w:r>
              <w:rPr>
                <w:rFonts w:hint="default" w:ascii="Times New Roman" w:hAnsi="Times New Roman" w:eastAsia="宋体" w:cs="Times New Roman"/>
                <w:color w:val="000000" w:themeColor="text1"/>
                <w:sz w:val="24"/>
                <w:szCs w:val="24"/>
                <w:u w:val="none"/>
                <w:lang w:val="en-GB" w:eastAsia="zh-CN"/>
                <w14:textFill>
                  <w14:solidFill>
                    <w14:schemeClr w14:val="tx1"/>
                  </w14:solidFill>
                </w14:textFill>
              </w:rPr>
              <w:t>润滑油</w:t>
            </w:r>
            <w:r>
              <w:rPr>
                <w:rFonts w:hint="eastAsia" w:cs="Times New Roman"/>
                <w:color w:val="000000" w:themeColor="text1"/>
                <w:sz w:val="24"/>
                <w:szCs w:val="24"/>
                <w:u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天然气</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均属于可燃物质。</w:t>
            </w:r>
          </w:p>
          <w:p w14:paraId="115B4652">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②项目设置危废暂存间用于</w:t>
            </w:r>
            <w:r>
              <w:rPr>
                <w:rFonts w:hint="eastAsia" w:cs="Times New Roman"/>
                <w:color w:val="000000" w:themeColor="text1"/>
                <w:sz w:val="24"/>
                <w:szCs w:val="24"/>
                <w:u w:val="none"/>
                <w:lang w:val="en-US" w:eastAsia="zh-CN"/>
                <w14:textFill>
                  <w14:solidFill>
                    <w14:schemeClr w14:val="tx1"/>
                  </w14:solidFill>
                </w14:textFill>
              </w:rPr>
              <w:t>废润滑油及润滑油桶</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等危险废物的暂存。危废暂存期间，遇明火可引起着火事故，但由于危废间远离电器闸阀等火源，发生风险事故的概率极低，其影响程度有限。</w:t>
            </w:r>
          </w:p>
          <w:p w14:paraId="67C87688">
            <w:pPr>
              <w:snapToGrid w:val="0"/>
              <w:spacing w:line="360" w:lineRule="auto"/>
              <w:ind w:firstLine="480" w:firstLineChars="200"/>
              <w:rPr>
                <w:rFonts w:cs="宋体"/>
                <w:color w:val="000000" w:themeColor="text1"/>
                <w:sz w:val="24"/>
                <w:u w:val="none"/>
                <w14:textFill>
                  <w14:solidFill>
                    <w14:schemeClr w14:val="tx1"/>
                  </w14:solidFill>
                </w14:textFill>
              </w:rPr>
            </w:pPr>
            <w:r>
              <w:rPr>
                <w:rFonts w:hint="eastAsia" w:cs="宋体"/>
                <w:color w:val="000000" w:themeColor="text1"/>
                <w:sz w:val="24"/>
                <w:u w:val="none"/>
                <w:lang w:val="en-US" w:eastAsia="zh-CN"/>
                <w14:textFill>
                  <w14:solidFill>
                    <w14:schemeClr w14:val="tx1"/>
                  </w14:solidFill>
                </w14:textFill>
              </w:rPr>
              <w:t>项目风险物质</w:t>
            </w:r>
            <w:r>
              <w:rPr>
                <w:rFonts w:hint="eastAsia" w:cs="宋体"/>
                <w:color w:val="000000" w:themeColor="text1"/>
                <w:sz w:val="24"/>
                <w:u w:val="none"/>
                <w14:textFill>
                  <w14:solidFill>
                    <w14:schemeClr w14:val="tx1"/>
                  </w14:solidFill>
                </w14:textFill>
              </w:rPr>
              <w:t>在运输、仓储和使用过程中管理操作不当或意外事故，造成物料外泄，会对接触人群健康造成影响，逸散至环境对区域大气、地表水、地下水环境造成影响，危险物质理化性质及毒理特性见下表。</w:t>
            </w:r>
          </w:p>
          <w:p w14:paraId="60C0DEE8">
            <w:pPr>
              <w:adjustRightInd w:val="0"/>
              <w:snapToGrid w:val="0"/>
              <w:spacing w:line="360" w:lineRule="auto"/>
              <w:jc w:val="center"/>
              <w:rPr>
                <w:rFonts w:hint="eastAsia"/>
                <w:b/>
                <w:color w:val="000000" w:themeColor="text1"/>
                <w:sz w:val="24"/>
                <w:u w:val="none"/>
                <w14:textFill>
                  <w14:solidFill>
                    <w14:schemeClr w14:val="tx1"/>
                  </w14:solidFill>
                </w14:textFill>
              </w:rPr>
            </w:pPr>
            <w:r>
              <w:rPr>
                <w:rFonts w:hint="eastAsia"/>
                <w:b/>
                <w:color w:val="000000" w:themeColor="text1"/>
                <w:sz w:val="24"/>
                <w:u w:val="none"/>
                <w14:textFill>
                  <w14:solidFill>
                    <w14:schemeClr w14:val="tx1"/>
                  </w14:solidFill>
                </w14:textFill>
              </w:rPr>
              <w:t>表4-2</w:t>
            </w:r>
            <w:r>
              <w:rPr>
                <w:rFonts w:hint="eastAsia"/>
                <w:b/>
                <w:color w:val="000000" w:themeColor="text1"/>
                <w:sz w:val="24"/>
                <w:u w:val="none"/>
                <w:lang w:val="en-US" w:eastAsia="zh-CN"/>
                <w14:textFill>
                  <w14:solidFill>
                    <w14:schemeClr w14:val="tx1"/>
                  </w14:solidFill>
                </w14:textFill>
              </w:rPr>
              <w:t>6</w:t>
            </w:r>
            <w:r>
              <w:rPr>
                <w:rFonts w:hint="eastAsia"/>
                <w:b/>
                <w:color w:val="000000" w:themeColor="text1"/>
                <w:sz w:val="24"/>
                <w:u w:val="none"/>
                <w14:textFill>
                  <w14:solidFill>
                    <w14:schemeClr w14:val="tx1"/>
                  </w14:solidFill>
                </w14:textFill>
              </w:rPr>
              <w:t xml:space="preserve">  危险物质理化性质与毒理特性一览表</w:t>
            </w:r>
          </w:p>
          <w:tbl>
            <w:tblPr>
              <w:tblStyle w:val="20"/>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62"/>
              <w:gridCol w:w="1247"/>
              <w:gridCol w:w="2464"/>
              <w:gridCol w:w="1199"/>
              <w:gridCol w:w="2251"/>
              <w:gridCol w:w="1338"/>
            </w:tblGrid>
            <w:tr w14:paraId="33B212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54" w:hRule="atLeast"/>
                <w:jc w:val="center"/>
              </w:trPr>
              <w:tc>
                <w:tcPr>
                  <w:tcW w:w="411" w:type="pct"/>
                  <w:noWrap w:val="0"/>
                  <w:vAlign w:val="center"/>
                </w:tcPr>
                <w:p w14:paraId="2BD2CD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序号</w:t>
                  </w:r>
                </w:p>
              </w:tc>
              <w:tc>
                <w:tcPr>
                  <w:tcW w:w="673" w:type="pct"/>
                  <w:noWrap w:val="0"/>
                  <w:vAlign w:val="center"/>
                </w:tcPr>
                <w:p w14:paraId="3A2A33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物质名称</w:t>
                  </w:r>
                </w:p>
              </w:tc>
              <w:tc>
                <w:tcPr>
                  <w:tcW w:w="1330" w:type="pct"/>
                  <w:noWrap w:val="0"/>
                  <w:vAlign w:val="center"/>
                </w:tcPr>
                <w:p w14:paraId="518F62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理化性质</w:t>
                  </w:r>
                </w:p>
              </w:tc>
              <w:tc>
                <w:tcPr>
                  <w:tcW w:w="647" w:type="pct"/>
                  <w:tcBorders>
                    <w:right w:val="single" w:color="auto" w:sz="4" w:space="0"/>
                  </w:tcBorders>
                  <w:noWrap w:val="0"/>
                  <w:vAlign w:val="center"/>
                </w:tcPr>
                <w:p w14:paraId="2B335A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危险特性</w:t>
                  </w:r>
                </w:p>
              </w:tc>
              <w:tc>
                <w:tcPr>
                  <w:tcW w:w="1215" w:type="pct"/>
                  <w:tcBorders>
                    <w:left w:val="single" w:color="auto" w:sz="4" w:space="0"/>
                  </w:tcBorders>
                  <w:noWrap w:val="0"/>
                  <w:vAlign w:val="center"/>
                </w:tcPr>
                <w:p w14:paraId="59E4F9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健康危害</w:t>
                  </w:r>
                </w:p>
              </w:tc>
              <w:tc>
                <w:tcPr>
                  <w:tcW w:w="722" w:type="pct"/>
                  <w:noWrap w:val="0"/>
                  <w:vAlign w:val="center"/>
                </w:tcPr>
                <w:p w14:paraId="785E4B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储存方式</w:t>
                  </w:r>
                </w:p>
              </w:tc>
            </w:tr>
            <w:tr w14:paraId="579F33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11" w:type="pct"/>
                  <w:noWrap w:val="0"/>
                  <w:vAlign w:val="center"/>
                </w:tcPr>
                <w:p w14:paraId="52669D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1</w:t>
                  </w:r>
                </w:p>
              </w:tc>
              <w:tc>
                <w:tcPr>
                  <w:tcW w:w="673" w:type="pct"/>
                  <w:noWrap w:val="0"/>
                  <w:vAlign w:val="center"/>
                </w:tcPr>
                <w:p w14:paraId="5972E1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天然气</w:t>
                  </w:r>
                </w:p>
              </w:tc>
              <w:tc>
                <w:tcPr>
                  <w:tcW w:w="1330" w:type="pct"/>
                  <w:noWrap w:val="0"/>
                  <w:vAlign w:val="center"/>
                </w:tcPr>
                <w:p w14:paraId="6C696D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主要成分甲烷，化学式：CH</w:t>
                  </w:r>
                  <w:r>
                    <w:rPr>
                      <w:rFonts w:hint="eastAsia"/>
                      <w:color w:val="000000" w:themeColor="text1"/>
                      <w:sz w:val="21"/>
                      <w:szCs w:val="21"/>
                      <w:u w:val="none"/>
                      <w:vertAlign w:val="subscript"/>
                      <w14:textFill>
                        <w14:solidFill>
                          <w14:schemeClr w14:val="tx1"/>
                        </w14:solidFill>
                      </w14:textFill>
                    </w:rPr>
                    <w:t>4</w:t>
                  </w:r>
                  <w:r>
                    <w:rPr>
                      <w:rFonts w:hint="eastAsia"/>
                      <w:color w:val="000000" w:themeColor="text1"/>
                      <w:sz w:val="21"/>
                      <w:szCs w:val="21"/>
                      <w:u w:val="none"/>
                      <w14:textFill>
                        <w14:solidFill>
                          <w14:schemeClr w14:val="tx1"/>
                        </w14:solidFill>
                      </w14:textFill>
                    </w:rPr>
                    <w:t>，无色无臭气体，微溶于水，溶于乙醇、乙醚；沸点为-161.5℃，相对密度（空气=1）:0.55，相对密度（水=1）:0.415，易燃，引燃温度537℃。</w:t>
                  </w:r>
                </w:p>
              </w:tc>
              <w:tc>
                <w:tcPr>
                  <w:tcW w:w="647" w:type="pct"/>
                  <w:tcBorders>
                    <w:right w:val="single" w:color="auto" w:sz="4" w:space="0"/>
                  </w:tcBorders>
                  <w:noWrap w:val="0"/>
                  <w:vAlign w:val="center"/>
                </w:tcPr>
                <w:p w14:paraId="70056D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易燃易爆性</w:t>
                  </w:r>
                </w:p>
              </w:tc>
              <w:tc>
                <w:tcPr>
                  <w:tcW w:w="1215" w:type="pct"/>
                  <w:tcBorders>
                    <w:left w:val="single" w:color="auto" w:sz="4" w:space="0"/>
                  </w:tcBorders>
                  <w:noWrap w:val="0"/>
                  <w:vAlign w:val="center"/>
                </w:tcPr>
                <w:p w14:paraId="1ECDC6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本品有强烈刺激和腐蚀性。直接接触皮肤和眼可引起灼伤；误服可造成消化道灼伤，粘膜糜烂、出血和休克。</w:t>
                  </w:r>
                </w:p>
              </w:tc>
              <w:tc>
                <w:tcPr>
                  <w:tcW w:w="722" w:type="pct"/>
                  <w:noWrap w:val="0"/>
                  <w:vAlign w:val="center"/>
                </w:tcPr>
                <w:p w14:paraId="7D15F5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管道输送，作为燃料</w:t>
                  </w:r>
                </w:p>
              </w:tc>
            </w:tr>
          </w:tbl>
          <w:p w14:paraId="388AF489">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pPr>
            <w:r>
              <w:rPr>
                <w:rFonts w:hint="eastAsia" w:cs="Times New Roman"/>
                <w:color w:val="000000" w:themeColor="text1"/>
                <w:sz w:val="24"/>
                <w:szCs w:val="24"/>
                <w:u w:val="none"/>
                <w:lang w:val="en-US" w:eastAsia="zh-CN"/>
                <w14:textFill>
                  <w14:solidFill>
                    <w14:schemeClr w14:val="tx1"/>
                  </w14:solidFill>
                </w14:textFill>
              </w:rPr>
              <w:t>7.3.2生产系统危险性识别</w:t>
            </w:r>
          </w:p>
          <w:p w14:paraId="2A3D592E">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①识别范围</w:t>
            </w:r>
          </w:p>
          <w:p w14:paraId="2DAAD8E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识别范围包括主要生产装置、储运设施、公用工程和辅助设施以及环境保护设施等。</w:t>
            </w:r>
          </w:p>
          <w:p w14:paraId="5A640DC7">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②危险单元划分及潜在风险源</w:t>
            </w:r>
          </w:p>
          <w:p w14:paraId="5FFD0A86">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color w:val="000000" w:themeColor="text1"/>
                <w:sz w:val="24"/>
                <w:szCs w:val="24"/>
                <w:u w:val="none"/>
                <w:lang w:val="en-GB"/>
                <w14:textFill>
                  <w14:solidFill>
                    <w14:schemeClr w14:val="tx1"/>
                  </w14:solidFill>
                </w14:textFill>
              </w:rPr>
              <w:t>根据项目工艺流程和平面布置，结合项目物质危险性识别结果，本项目危险单元划分结果详见表4-</w:t>
            </w:r>
            <w:r>
              <w:rPr>
                <w:rFonts w:hint="eastAsia" w:cs="Times New Roman"/>
                <w:color w:val="000000" w:themeColor="text1"/>
                <w:sz w:val="24"/>
                <w:szCs w:val="24"/>
                <w:u w:val="none"/>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w:t>
            </w:r>
          </w:p>
          <w:p w14:paraId="740CEEA6">
            <w:pPr>
              <w:keepNext w:val="0"/>
              <w:keepLines w:val="0"/>
              <w:pageBreakBefore w:val="0"/>
              <w:tabs>
                <w:tab w:val="left" w:pos="1081"/>
              </w:tabs>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sz w:val="24"/>
                <w:szCs w:val="24"/>
                <w:u w:val="none"/>
                <w:lang w:val="en-GB"/>
                <w14:textFill>
                  <w14:solidFill>
                    <w14:schemeClr w14:val="tx1"/>
                  </w14:solidFill>
                </w14:textFill>
              </w:rPr>
            </w:pPr>
            <w:r>
              <w:rPr>
                <w:rFonts w:hint="default" w:ascii="Times New Roman" w:hAnsi="Times New Roman" w:eastAsia="宋体" w:cs="Times New Roman"/>
                <w:b/>
                <w:bCs/>
                <w:color w:val="000000" w:themeColor="text1"/>
                <w:sz w:val="24"/>
                <w:szCs w:val="24"/>
                <w:u w:val="none"/>
                <w:lang w:val="en-GB"/>
                <w14:textFill>
                  <w14:solidFill>
                    <w14:schemeClr w14:val="tx1"/>
                  </w14:solidFill>
                </w14:textFill>
              </w:rPr>
              <w:t>表</w:t>
            </w:r>
            <w:r>
              <w:rPr>
                <w:rFonts w:hint="eastAsia" w:cs="Times New Roman"/>
                <w:b/>
                <w:bCs/>
                <w:color w:val="000000" w:themeColor="text1"/>
                <w:sz w:val="24"/>
                <w:szCs w:val="24"/>
                <w:u w:val="none"/>
                <w:lang w:val="en-US" w:eastAsia="zh-CN"/>
                <w14:textFill>
                  <w14:solidFill>
                    <w14:schemeClr w14:val="tx1"/>
                  </w14:solidFill>
                </w14:textFill>
              </w:rPr>
              <w:t>4-27  危</w:t>
            </w:r>
            <w:r>
              <w:rPr>
                <w:rFonts w:hint="default" w:ascii="Times New Roman" w:hAnsi="Times New Roman" w:eastAsia="宋体" w:cs="Times New Roman"/>
                <w:b/>
                <w:bCs/>
                <w:color w:val="000000" w:themeColor="text1"/>
                <w:sz w:val="24"/>
                <w:szCs w:val="24"/>
                <w:u w:val="none"/>
                <w:lang w:val="en-GB"/>
                <w14:textFill>
                  <w14:solidFill>
                    <w14:schemeClr w14:val="tx1"/>
                  </w14:solidFill>
                </w14:textFill>
              </w:rPr>
              <w:t>险单元划分结果及潜在风险源一览表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0"/>
              <w:gridCol w:w="1200"/>
              <w:gridCol w:w="1824"/>
              <w:gridCol w:w="1380"/>
              <w:gridCol w:w="1304"/>
              <w:gridCol w:w="3054"/>
            </w:tblGrid>
            <w:tr w14:paraId="03E6D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vAlign w:val="center"/>
                </w:tcPr>
                <w:p w14:paraId="077E25C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序号</w:t>
                  </w:r>
                </w:p>
              </w:tc>
              <w:tc>
                <w:tcPr>
                  <w:tcW w:w="647" w:type="pct"/>
                  <w:vAlign w:val="center"/>
                </w:tcPr>
                <w:p w14:paraId="72E119A7">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危险单元</w:t>
                  </w:r>
                </w:p>
              </w:tc>
              <w:tc>
                <w:tcPr>
                  <w:tcW w:w="983" w:type="pct"/>
                  <w:vAlign w:val="center"/>
                </w:tcPr>
                <w:p w14:paraId="0100C857">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潜在的风险源</w:t>
                  </w:r>
                </w:p>
              </w:tc>
              <w:tc>
                <w:tcPr>
                  <w:tcW w:w="744" w:type="pct"/>
                  <w:vAlign w:val="center"/>
                </w:tcPr>
                <w:p w14:paraId="779C6FC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主要危险物质</w:t>
                  </w:r>
                </w:p>
              </w:tc>
              <w:tc>
                <w:tcPr>
                  <w:tcW w:w="703" w:type="pct"/>
                  <w:vAlign w:val="center"/>
                </w:tcPr>
                <w:p w14:paraId="53D0D3C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危险物质最大存在量</w:t>
                  </w:r>
                </w:p>
              </w:tc>
              <w:tc>
                <w:tcPr>
                  <w:tcW w:w="1646" w:type="pct"/>
                  <w:vAlign w:val="center"/>
                </w:tcPr>
                <w:p w14:paraId="26598836">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潜在的环境风险事故情形</w:t>
                  </w:r>
                </w:p>
              </w:tc>
            </w:tr>
            <w:tr w14:paraId="79805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vAlign w:val="center"/>
                </w:tcPr>
                <w:p w14:paraId="15FA8A6D">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1</w:t>
                  </w:r>
                </w:p>
              </w:tc>
              <w:tc>
                <w:tcPr>
                  <w:tcW w:w="647" w:type="pct"/>
                  <w:vAlign w:val="center"/>
                </w:tcPr>
                <w:p w14:paraId="7CCC86CB">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危废暂存间</w:t>
                  </w:r>
                </w:p>
              </w:tc>
              <w:tc>
                <w:tcPr>
                  <w:tcW w:w="983" w:type="pct"/>
                  <w:vAlign w:val="center"/>
                </w:tcPr>
                <w:p w14:paraId="76837F14">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因存储不当、周边发生火灾、操作不当导致化学品或危废泄漏</w:t>
                  </w:r>
                </w:p>
              </w:tc>
              <w:tc>
                <w:tcPr>
                  <w:tcW w:w="744" w:type="pct"/>
                  <w:vAlign w:val="center"/>
                </w:tcPr>
                <w:p w14:paraId="7FABAAC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GB" w:eastAsia="zh-CN"/>
                      <w14:textFill>
                        <w14:solidFill>
                          <w14:schemeClr w14:val="tx1"/>
                        </w14:solidFill>
                      </w14:textFill>
                    </w:rPr>
                    <w:t>废润滑油</w:t>
                  </w:r>
                  <w:r>
                    <w:rPr>
                      <w:rFonts w:hint="eastAsia" w:cs="Times New Roman"/>
                      <w:color w:val="000000" w:themeColor="text1"/>
                      <w:sz w:val="21"/>
                      <w:szCs w:val="21"/>
                      <w:u w:val="none"/>
                      <w:vertAlign w:val="baseline"/>
                      <w:lang w:val="en-US" w:eastAsia="zh-CN"/>
                      <w14:textFill>
                        <w14:solidFill>
                          <w14:schemeClr w14:val="tx1"/>
                        </w14:solidFill>
                      </w14:textFill>
                    </w:rPr>
                    <w:t>等</w:t>
                  </w:r>
                </w:p>
              </w:tc>
              <w:tc>
                <w:tcPr>
                  <w:tcW w:w="703" w:type="pct"/>
                  <w:vAlign w:val="center"/>
                </w:tcPr>
                <w:p w14:paraId="55953049">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eastAsia" w:cs="Times New Roman"/>
                      <w:color w:val="auto"/>
                      <w:sz w:val="21"/>
                      <w:szCs w:val="21"/>
                      <w:u w:val="none"/>
                      <w:lang w:val="en-US" w:eastAsia="zh-CN"/>
                    </w:rPr>
                    <w:t>0.6</w:t>
                  </w:r>
                  <w:r>
                    <w:rPr>
                      <w:rFonts w:hint="default" w:ascii="Times New Roman" w:hAnsi="Times New Roman" w:eastAsia="宋体" w:cs="Times New Roman"/>
                      <w:color w:val="auto"/>
                      <w:sz w:val="21"/>
                      <w:szCs w:val="21"/>
                      <w:u w:val="none"/>
                      <w:lang w:val="en-US" w:eastAsia="zh-CN"/>
                    </w:rPr>
                    <w:t>t</w:t>
                  </w:r>
                </w:p>
              </w:tc>
              <w:tc>
                <w:tcPr>
                  <w:tcW w:w="1646" w:type="pct"/>
                  <w:vAlign w:val="center"/>
                </w:tcPr>
                <w:p w14:paraId="57C40E05">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①有毒有害物质泄漏对外环境的影响。</w:t>
                  </w:r>
                </w:p>
                <w:p w14:paraId="72FB0A1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②火灾事故燃烧、分解的产物及消防废水对外环境的影响。</w:t>
                  </w:r>
                </w:p>
                <w:p w14:paraId="316A500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③事故性废气排放对外环境的影响</w:t>
                  </w:r>
                </w:p>
              </w:tc>
            </w:tr>
            <w:tr w14:paraId="222FD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vAlign w:val="center"/>
                </w:tcPr>
                <w:p w14:paraId="3A77DBCC">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2</w:t>
                  </w:r>
                </w:p>
              </w:tc>
              <w:tc>
                <w:tcPr>
                  <w:tcW w:w="647" w:type="pct"/>
                  <w:vAlign w:val="center"/>
                </w:tcPr>
                <w:p w14:paraId="0A2470D2">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废水处理设施</w:t>
                  </w:r>
                </w:p>
              </w:tc>
              <w:tc>
                <w:tcPr>
                  <w:tcW w:w="983" w:type="pct"/>
                  <w:vAlign w:val="center"/>
                </w:tcPr>
                <w:p w14:paraId="26AD611F">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废</w:t>
                  </w: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水</w:t>
                  </w: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处理设施发生故障导致废</w:t>
                  </w:r>
                  <w:r>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t>水</w:t>
                  </w: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事故性排放以及污水处理设施废水渗漏</w:t>
                  </w:r>
                </w:p>
              </w:tc>
              <w:tc>
                <w:tcPr>
                  <w:tcW w:w="744" w:type="pct"/>
                  <w:vAlign w:val="center"/>
                </w:tcPr>
                <w:p w14:paraId="0134F298">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废水污染物</w:t>
                  </w:r>
                </w:p>
              </w:tc>
              <w:tc>
                <w:tcPr>
                  <w:tcW w:w="703" w:type="pct"/>
                  <w:vAlign w:val="center"/>
                </w:tcPr>
                <w:p w14:paraId="053C9C5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w:t>
                  </w:r>
                </w:p>
              </w:tc>
              <w:tc>
                <w:tcPr>
                  <w:tcW w:w="1646" w:type="pct"/>
                  <w:vAlign w:val="center"/>
                </w:tcPr>
                <w:p w14:paraId="0988BEE6">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①</w:t>
                  </w:r>
                  <w:r>
                    <w:rPr>
                      <w:rFonts w:hint="default" w:ascii="Times New Roman" w:hAnsi="Times New Roman" w:eastAsia="宋体" w:cs="Times New Roman"/>
                      <w:color w:val="000000" w:themeColor="text1"/>
                      <w:sz w:val="21"/>
                      <w:szCs w:val="21"/>
                      <w:u w:val="none"/>
                      <w:vertAlign w:val="baseline"/>
                      <w:lang w:val="en-GB" w:eastAsia="zh-CN"/>
                      <w14:textFill>
                        <w14:solidFill>
                          <w14:schemeClr w14:val="tx1"/>
                        </w14:solidFill>
                      </w14:textFill>
                    </w:rPr>
                    <w:t>废水处理设施</w:t>
                  </w: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底部发生破裂，防渗系统被破坏，废水发生短时间泄露造成污染物下渗，将会对土壤及地下水环境造成污染。</w:t>
                  </w:r>
                </w:p>
              </w:tc>
            </w:tr>
            <w:tr w14:paraId="103DE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vAlign w:val="center"/>
                </w:tcPr>
                <w:p w14:paraId="6395FE87">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3</w:t>
                  </w:r>
                </w:p>
              </w:tc>
              <w:tc>
                <w:tcPr>
                  <w:tcW w:w="647" w:type="pct"/>
                  <w:vAlign w:val="center"/>
                </w:tcPr>
                <w:p w14:paraId="5203E1EB">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天然气输送</w:t>
                  </w:r>
                </w:p>
              </w:tc>
              <w:tc>
                <w:tcPr>
                  <w:tcW w:w="983" w:type="pct"/>
                  <w:vAlign w:val="center"/>
                </w:tcPr>
                <w:p w14:paraId="6FA44135">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天然气输送阀门管道破损</w:t>
                  </w:r>
                </w:p>
              </w:tc>
              <w:tc>
                <w:tcPr>
                  <w:tcW w:w="744" w:type="pct"/>
                  <w:vAlign w:val="center"/>
                </w:tcPr>
                <w:p w14:paraId="6D734313">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天然气</w:t>
                  </w:r>
                </w:p>
              </w:tc>
              <w:tc>
                <w:tcPr>
                  <w:tcW w:w="703" w:type="pct"/>
                  <w:vAlign w:val="center"/>
                </w:tcPr>
                <w:p w14:paraId="78469346">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center"/>
                    <w:textAlignment w:val="auto"/>
                    <w:rPr>
                      <w:rFonts w:hint="default" w:cs="Times New Roman"/>
                      <w:color w:val="000000" w:themeColor="text1"/>
                      <w:sz w:val="21"/>
                      <w:szCs w:val="21"/>
                      <w:u w:val="none"/>
                      <w:vertAlign w:val="baseline"/>
                      <w:lang w:val="en-US" w:eastAsia="zh-CN"/>
                      <w14:textFill>
                        <w14:solidFill>
                          <w14:schemeClr w14:val="tx1"/>
                        </w14:solidFill>
                      </w14:textFill>
                    </w:rPr>
                  </w:pPr>
                  <w:r>
                    <w:rPr>
                      <w:rFonts w:hint="eastAsia" w:cs="Times New Roman"/>
                      <w:color w:val="000000" w:themeColor="text1"/>
                      <w:sz w:val="21"/>
                      <w:szCs w:val="21"/>
                      <w:u w:val="none"/>
                      <w:vertAlign w:val="baseline"/>
                      <w:lang w:val="en-US" w:eastAsia="zh-CN"/>
                      <w14:textFill>
                        <w14:solidFill>
                          <w14:schemeClr w14:val="tx1"/>
                        </w14:solidFill>
                      </w14:textFill>
                    </w:rPr>
                    <w:t>/</w:t>
                  </w:r>
                </w:p>
              </w:tc>
              <w:tc>
                <w:tcPr>
                  <w:tcW w:w="1646" w:type="pct"/>
                  <w:vAlign w:val="center"/>
                </w:tcPr>
                <w:p w14:paraId="21E6C36B">
                  <w:pPr>
                    <w:keepNext w:val="0"/>
                    <w:keepLines w:val="0"/>
                    <w:pageBreakBefore w:val="0"/>
                    <w:widowControl w:val="0"/>
                    <w:tabs>
                      <w:tab w:val="left" w:pos="1081"/>
                    </w:tabs>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pPr>
                  <w:r>
                    <w:rPr>
                      <w:rFonts w:hint="default" w:ascii="Times New Roman" w:hAnsi="Times New Roman" w:eastAsia="宋体" w:cs="Times New Roman"/>
                      <w:color w:val="000000" w:themeColor="text1"/>
                      <w:sz w:val="21"/>
                      <w:szCs w:val="21"/>
                      <w:u w:val="none"/>
                      <w:vertAlign w:val="baseline"/>
                      <w:lang w:val="en-GB"/>
                      <w14:textFill>
                        <w14:solidFill>
                          <w14:schemeClr w14:val="tx1"/>
                        </w14:solidFill>
                      </w14:textFill>
                    </w:rPr>
                    <w:t>天然气输送阀门管道破损，局部气体浓度过高引起人员中毒窒息，遇明火可引发火灾，甚至造成爆炸事故</w:t>
                  </w:r>
                </w:p>
              </w:tc>
            </w:tr>
          </w:tbl>
          <w:p w14:paraId="0038F10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7.3.</w:t>
            </w:r>
            <w:r>
              <w:rPr>
                <w:rFonts w:hint="eastAsia" w:cs="Times New Roman"/>
                <w:color w:val="000000" w:themeColor="text1"/>
                <w:sz w:val="24"/>
                <w:szCs w:val="24"/>
                <w:u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14:textFill>
                  <w14:solidFill>
                    <w14:schemeClr w14:val="tx1"/>
                  </w14:solidFill>
                </w14:textFill>
              </w:rPr>
              <w:t>风险类型识别结果</w:t>
            </w:r>
          </w:p>
          <w:p w14:paraId="600D97A9">
            <w:pPr>
              <w:keepNext w:val="0"/>
              <w:keepLines w:val="0"/>
              <w:pageBreakBefore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综上分析，本次评价确定项目的风险类型主要为：</w:t>
            </w:r>
          </w:p>
          <w:p w14:paraId="69C18E8F">
            <w:pPr>
              <w:keepNext w:val="0"/>
              <w:keepLines w:val="0"/>
              <w:pageBreakBefore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①</w:t>
            </w:r>
            <w:r>
              <w:rPr>
                <w:rFonts w:hint="default" w:ascii="Times New Roman" w:hAnsi="Times New Roman" w:eastAsia="宋体" w:cs="Times New Roman"/>
                <w:color w:val="000000" w:themeColor="text1"/>
                <w:sz w:val="24"/>
                <w:szCs w:val="24"/>
                <w:u w:val="none"/>
                <w:lang w:val="en-GB" w:eastAsia="zh-CN"/>
                <w14:textFill>
                  <w14:solidFill>
                    <w14:schemeClr w14:val="tx1"/>
                  </w14:solidFill>
                </w14:textFill>
              </w:rPr>
              <w:t>润滑油、天然气</w:t>
            </w:r>
            <w:r>
              <w:rPr>
                <w:rFonts w:hint="default" w:ascii="Times New Roman" w:hAnsi="Times New Roman" w:eastAsia="宋体" w:cs="Times New Roman"/>
                <w:color w:val="000000" w:themeColor="text1"/>
                <w:sz w:val="24"/>
                <w:szCs w:val="24"/>
                <w:u w:val="none"/>
                <w14:textFill>
                  <w14:solidFill>
                    <w14:schemeClr w14:val="tx1"/>
                  </w14:solidFill>
                </w14:textFill>
              </w:rPr>
              <w:t>等物料储存和使用，如遇</w:t>
            </w:r>
            <w:r>
              <w:rPr>
                <w:rFonts w:hint="default" w:ascii="Times New Roman" w:hAnsi="Times New Roman" w:eastAsia="宋体" w:cs="Times New Roman"/>
                <w:color w:val="000000" w:themeColor="text1"/>
                <w:sz w:val="24"/>
                <w:szCs w:val="24"/>
                <w:u w:val="none"/>
                <w:lang w:val="en-GB"/>
                <w14:textFill>
                  <w14:solidFill>
                    <w14:schemeClr w14:val="tx1"/>
                  </w14:solidFill>
                </w14:textFill>
              </w:rPr>
              <w:t>易燃物质或明火等可能引起火灾</w:t>
            </w:r>
            <w:r>
              <w:rPr>
                <w:rFonts w:hint="default" w:ascii="Times New Roman" w:hAnsi="Times New Roman" w:eastAsia="宋体" w:cs="Times New Roman"/>
                <w:color w:val="000000" w:themeColor="text1"/>
                <w:sz w:val="24"/>
                <w:szCs w:val="24"/>
                <w:u w:val="none"/>
                <w14:textFill>
                  <w14:solidFill>
                    <w14:schemeClr w14:val="tx1"/>
                  </w14:solidFill>
                </w14:textFill>
              </w:rPr>
              <w:t>；</w:t>
            </w:r>
          </w:p>
          <w:p w14:paraId="00AE9FDF">
            <w:pPr>
              <w:keepNext w:val="0"/>
              <w:keepLines w:val="0"/>
              <w:pageBreakBefore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②</w:t>
            </w:r>
            <w:r>
              <w:rPr>
                <w:rFonts w:hint="eastAsia" w:cs="Times New Roman"/>
                <w:color w:val="000000" w:themeColor="text1"/>
                <w:sz w:val="24"/>
                <w:szCs w:val="24"/>
                <w:u w:val="none"/>
                <w:lang w:val="en-US" w:eastAsia="zh-CN"/>
                <w14:textFill>
                  <w14:solidFill>
                    <w14:schemeClr w14:val="tx1"/>
                  </w14:solidFill>
                </w14:textFill>
              </w:rPr>
              <w:t>废水治理设施污泥、废润滑油及润滑油桶</w:t>
            </w:r>
            <w:r>
              <w:rPr>
                <w:rFonts w:hint="default" w:ascii="Times New Roman" w:hAnsi="Times New Roman" w:eastAsia="宋体" w:cs="Times New Roman"/>
                <w:color w:val="000000" w:themeColor="text1"/>
                <w:sz w:val="24"/>
                <w:szCs w:val="24"/>
                <w:u w:val="none"/>
                <w14:textFill>
                  <w14:solidFill>
                    <w14:schemeClr w14:val="tx1"/>
                  </w14:solidFill>
                </w14:textFill>
              </w:rPr>
              <w:t>等危险废物的储存对周边地表水、土壤、地下水环境造成的风险影响。</w:t>
            </w:r>
          </w:p>
          <w:p w14:paraId="0E06DF07">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③污水处理设施事故排放对地表水、地下水影响</w:t>
            </w:r>
            <w:r>
              <w:rPr>
                <w:rFonts w:hint="eastAsia" w:ascii="Times New Roman" w:hAnsi="Times New Roman" w:eastAsia="宋体" w:cs="Times New Roman"/>
                <w:color w:val="000000" w:themeColor="text1"/>
                <w:sz w:val="24"/>
                <w:szCs w:val="24"/>
                <w:u w:val="none"/>
                <w:lang w:val="en-US" w:eastAsia="zh-CN"/>
                <w14:textFill>
                  <w14:solidFill>
                    <w14:schemeClr w14:val="tx1"/>
                  </w14:solidFill>
                </w14:textFill>
              </w:rPr>
              <w:t>以及</w:t>
            </w:r>
            <w:r>
              <w:rPr>
                <w:rFonts w:hint="default" w:ascii="Times New Roman" w:hAnsi="Times New Roman" w:eastAsia="宋体" w:cs="Times New Roman"/>
                <w:color w:val="000000" w:themeColor="text1"/>
                <w:sz w:val="24"/>
                <w:szCs w:val="24"/>
                <w:u w:val="none"/>
                <w14:textFill>
                  <w14:solidFill>
                    <w14:schemeClr w14:val="tx1"/>
                  </w14:solidFill>
                </w14:textFill>
              </w:rPr>
              <w:t>污水处理设施废水渗漏对土壤及地下水环境造成污染。</w:t>
            </w:r>
          </w:p>
          <w:p w14:paraId="05594E7A">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sz w:val="24"/>
                <w:szCs w:val="24"/>
                <w:u w:val="none"/>
                <w14:textFill>
                  <w14:solidFill>
                    <w14:schemeClr w14:val="tx1"/>
                  </w14:solidFill>
                </w14:textFill>
              </w:rPr>
              <w:t>④</w:t>
            </w:r>
            <w:r>
              <w:rPr>
                <w:rFonts w:hint="eastAsia"/>
                <w:sz w:val="24"/>
                <w:szCs w:val="24"/>
                <w:lang w:val="en-GB"/>
              </w:rPr>
              <w:t>天然气输送阀门管道破损，局部气体浓度过高引起人员中毒窒息，遇明火可引发火灾，甚至造成爆炸事故</w:t>
            </w:r>
            <w:r>
              <w:rPr>
                <w:rFonts w:hint="eastAsia"/>
                <w:sz w:val="24"/>
                <w:szCs w:val="24"/>
                <w:lang w:val="en-GB" w:eastAsia="zh-CN"/>
              </w:rPr>
              <w:t>。</w:t>
            </w:r>
          </w:p>
          <w:p w14:paraId="0CD85B9B">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7.4环境风险分析</w:t>
            </w:r>
          </w:p>
          <w:p w14:paraId="3645A04B">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（1）生产原料泄露</w:t>
            </w:r>
          </w:p>
          <w:p w14:paraId="2F8DFFC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eastAsia"/>
                <w:color w:val="000000" w:themeColor="text1"/>
                <w:sz w:val="24"/>
                <w:u w:val="none"/>
                <w14:textFill>
                  <w14:solidFill>
                    <w14:schemeClr w14:val="tx1"/>
                  </w14:solidFill>
                </w14:textFill>
              </w:rPr>
            </w:pPr>
            <w:r>
              <w:rPr>
                <w:rFonts w:hint="eastAsia"/>
                <w:color w:val="000000" w:themeColor="text1"/>
                <w:sz w:val="24"/>
                <w:u w:val="none"/>
                <w14:textFill>
                  <w14:solidFill>
                    <w14:schemeClr w14:val="tx1"/>
                  </w14:solidFill>
                </w14:textFill>
              </w:rPr>
              <w:t>项目原料</w:t>
            </w:r>
            <w:r>
              <w:rPr>
                <w:rFonts w:hint="eastAsia" w:cs="Times New Roman"/>
                <w:color w:val="000000" w:themeColor="text1"/>
                <w:sz w:val="24"/>
                <w:szCs w:val="24"/>
                <w:u w:val="none"/>
                <w:lang w:val="en-US" w:eastAsia="zh-CN"/>
                <w14:textFill>
                  <w14:solidFill>
                    <w14:schemeClr w14:val="tx1"/>
                  </w14:solidFill>
                </w14:textFill>
              </w:rPr>
              <w:t>润滑油</w:t>
            </w:r>
            <w:r>
              <w:rPr>
                <w:rFonts w:hint="eastAsia"/>
                <w:color w:val="000000" w:themeColor="text1"/>
                <w:sz w:val="24"/>
                <w:u w:val="none"/>
                <w14:textFill>
                  <w14:solidFill>
                    <w14:schemeClr w14:val="tx1"/>
                  </w14:solidFill>
                </w14:textFill>
              </w:rPr>
              <w:t>为桶装，储存于仓库内，废润滑油储存于危废间</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14:textFill>
                  <w14:solidFill>
                    <w14:schemeClr w14:val="tx1"/>
                  </w14:solidFill>
                </w14:textFill>
              </w:rPr>
              <w:t>润滑油储存、转运过程如有泄露、抛洒、逸散等，若不及时清理，可随雨水冲刷流出厂外，对附近水体环境造成污染。</w:t>
            </w:r>
            <w:commentRangeStart w:id="102"/>
            <w:r>
              <w:rPr>
                <w:rFonts w:hint="eastAsia" w:cs="Times New Roman"/>
                <w:color w:val="000000" w:themeColor="text1"/>
                <w:sz w:val="24"/>
                <w:szCs w:val="24"/>
                <w:u w:val="none"/>
                <w:lang w:val="en-US" w:eastAsia="zh-CN"/>
                <w14:textFill>
                  <w14:solidFill>
                    <w14:schemeClr w14:val="tx1"/>
                  </w14:solidFill>
                </w14:textFill>
              </w:rPr>
              <w:t>润滑油</w:t>
            </w:r>
            <w:r>
              <w:rPr>
                <w:rFonts w:hint="eastAsia"/>
                <w:color w:val="000000" w:themeColor="text1"/>
                <w:sz w:val="24"/>
                <w:u w:val="none"/>
                <w14:textFill>
                  <w14:solidFill>
                    <w14:schemeClr w14:val="tx1"/>
                  </w14:solidFill>
                </w14:textFill>
              </w:rPr>
              <w:t>储存区四周设置围堰</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容积2m</w:t>
            </w:r>
            <w:r>
              <w:rPr>
                <w:rFonts w:hint="eastAsia"/>
                <w:color w:val="000000" w:themeColor="text1"/>
                <w:sz w:val="24"/>
                <w:u w:val="none"/>
                <w:vertAlign w:val="superscript"/>
                <w:lang w:val="en-US" w:eastAsia="zh-CN"/>
                <w14:textFill>
                  <w14:solidFill>
                    <w14:schemeClr w14:val="tx1"/>
                  </w14:solidFill>
                </w14:textFill>
              </w:rPr>
              <w:t>3</w:t>
            </w:r>
            <w:r>
              <w:rPr>
                <w:rFonts w:hint="eastAsia"/>
                <w:color w:val="000000" w:themeColor="text1"/>
                <w:sz w:val="24"/>
                <w:u w:val="none"/>
                <w:lang w:eastAsia="zh-CN"/>
                <w14:textFill>
                  <w14:solidFill>
                    <w14:schemeClr w14:val="tx1"/>
                  </w14:solidFill>
                </w14:textFill>
              </w:rPr>
              <w:t>）</w:t>
            </w:r>
            <w:commentRangeEnd w:id="102"/>
            <w:r>
              <w:commentReference w:id="102"/>
            </w:r>
            <w:r>
              <w:rPr>
                <w:rFonts w:hint="eastAsia"/>
                <w:color w:val="000000" w:themeColor="text1"/>
                <w:sz w:val="24"/>
                <w:u w:val="none"/>
                <w14:textFill>
                  <w14:solidFill>
                    <w14:schemeClr w14:val="tx1"/>
                  </w14:solidFill>
                </w14:textFill>
              </w:rPr>
              <w:t>，泄露物料及时收集后作为危废处理，危废间设置“六防”措施，经采取措施后预计对周围环境影不大。</w:t>
            </w:r>
          </w:p>
          <w:p w14:paraId="45CFD37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项目危废暂存间事故池设置</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参考《水体污染防控紧急措施设计导则》，事故储存设施总有效容积计算公式为：</w:t>
            </w:r>
          </w:p>
          <w:p w14:paraId="54A61015">
            <w:pPr>
              <w:keepNext w:val="0"/>
              <w:keepLines w:val="0"/>
              <w:pageBreakBefore w:val="0"/>
              <w:widowControl/>
              <w:kinsoku/>
              <w:wordWrap/>
              <w:overflowPunct/>
              <w:topLinePunct w:val="0"/>
              <w:autoSpaceDE/>
              <w:autoSpaceDN/>
              <w:bidi w:val="0"/>
              <w:spacing w:line="360" w:lineRule="auto"/>
              <w:ind w:firstLine="480" w:firstLineChars="200"/>
              <w:jc w:val="center"/>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V总=（V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max</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5</w:t>
            </w:r>
          </w:p>
          <w:p w14:paraId="1D154AC0">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式中：V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—收集系统范围内发生事故的一个罐组或一套装置的物料量m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（储存相同物料的罐组按一个最大储罐计，装置物料量按存留最大物料量的一台反应器或中间储罐计）；本项目</w:t>
            </w:r>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液体物料最大物</w:t>
            </w:r>
            <w:commentRangeStart w:id="103"/>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料储存量为</w:t>
            </w:r>
            <w:r>
              <w:rPr>
                <w:rFonts w:hint="eastAsia" w:cs="Times New Roman"/>
                <w:color w:val="000000" w:themeColor="text1"/>
                <w:kern w:val="0"/>
                <w:sz w:val="24"/>
                <w:szCs w:val="24"/>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commentRangeEnd w:id="103"/>
            <w:r>
              <w:commentReference w:id="103"/>
            </w:r>
          </w:p>
          <w:p w14:paraId="44B81142">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—发生事故的储罐或装置的消防水量，m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为0。</w:t>
            </w:r>
          </w:p>
          <w:p w14:paraId="60B069A8">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—发生事故时可以转输到其他设施的物料量，m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为0。</w:t>
            </w:r>
          </w:p>
          <w:p w14:paraId="386A4580">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—发生事故时仍必须进入该收集系统的生产废水量，m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为0。</w:t>
            </w:r>
          </w:p>
          <w:p w14:paraId="06E666C9">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5</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—发生事故时可能进入该收集系统的降雨量，m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5</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为0。</w:t>
            </w:r>
          </w:p>
          <w:p w14:paraId="1EC9112F">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u w:val="none"/>
                <w14:textFill>
                  <w14:solidFill>
                    <w14:schemeClr w14:val="tx1"/>
                  </w14:solidFill>
                </w14:textFill>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所需事故池容积为：V总=（</w:t>
            </w:r>
            <w:r>
              <w:rPr>
                <w:rFonts w:hint="eastAsia" w:cs="Times New Roman"/>
                <w:color w:val="000000" w:themeColor="text1"/>
                <w:kern w:val="0"/>
                <w:sz w:val="24"/>
                <w:szCs w:val="24"/>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-0）+</w:t>
            </w:r>
            <w:r>
              <w:rPr>
                <w:rFonts w:hint="eastAsia" w:cs="Times New Roman"/>
                <w:color w:val="000000" w:themeColor="text1"/>
                <w:kern w:val="0"/>
                <w:sz w:val="24"/>
                <w:szCs w:val="24"/>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r>
              <w:rPr>
                <w:rFonts w:hint="eastAsia" w:cs="Times New Roman"/>
                <w:color w:val="000000" w:themeColor="text1"/>
                <w:kern w:val="0"/>
                <w:sz w:val="24"/>
                <w:szCs w:val="24"/>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r>
              <w:rPr>
                <w:rFonts w:hint="eastAsia" w:cs="Times New Roman"/>
                <w:color w:val="000000" w:themeColor="text1"/>
                <w:kern w:val="0"/>
                <w:sz w:val="24"/>
                <w:szCs w:val="24"/>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。项目设计</w:t>
            </w:r>
            <w:r>
              <w:rPr>
                <w:rFonts w:hint="default"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座</w:t>
            </w:r>
            <w:r>
              <w:rPr>
                <w:rFonts w:hint="eastAsia" w:cs="Times New Roman"/>
                <w:color w:val="000000" w:themeColor="text1"/>
                <w:kern w:val="0"/>
                <w:sz w:val="24"/>
                <w:szCs w:val="24"/>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m</w:t>
            </w:r>
            <w:r>
              <w:rPr>
                <w:rFonts w:hint="default" w:ascii="Times New Roman" w:hAnsi="Times New Roman" w:eastAsia="宋体" w:cs="Times New Roman"/>
                <w:color w:val="000000" w:themeColor="text1"/>
                <w:kern w:val="0"/>
                <w:sz w:val="24"/>
                <w:szCs w:val="24"/>
                <w:u w:val="none"/>
                <w:vertAlign w:val="superscript"/>
                <w:lang w:bidi="ar"/>
                <w14:textFill>
                  <w14:solidFill>
                    <w14:schemeClr w14:val="tx1"/>
                  </w14:solidFill>
                </w14:textFill>
              </w:rPr>
              <w:t>3</w:t>
            </w:r>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事故水池，事故池建设应按照《危险废物贮存污染控制标准》（GB18597-2023）中的相关要求做好防渗措施；</w:t>
            </w:r>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应设置收集槽，以保证事故发生时，</w:t>
            </w:r>
            <w:r>
              <w:rPr>
                <w:rFonts w:hint="eastAsia" w:ascii="Times New Roman" w:hAnsi="Times New Roman" w:eastAsia="宋体" w:cs="Times New Roman"/>
                <w:color w:val="000000" w:themeColor="text1"/>
                <w:kern w:val="0"/>
                <w:sz w:val="24"/>
                <w:szCs w:val="24"/>
                <w:u w:val="none"/>
                <w:lang w:val="en-US" w:eastAsia="zh-CN" w:bidi="ar"/>
                <w14:textFill>
                  <w14:solidFill>
                    <w14:schemeClr w14:val="tx1"/>
                  </w14:solidFill>
                </w14:textFill>
              </w:rPr>
              <w:t>液体物料</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能够收集到事故</w:t>
            </w:r>
            <w:commentRangeStart w:id="104"/>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池内。</w:t>
            </w:r>
            <w:commentRangeEnd w:id="104"/>
            <w:r>
              <w:commentReference w:id="104"/>
            </w:r>
          </w:p>
          <w:p w14:paraId="54723584">
            <w:pPr>
              <w:adjustRightInd w:val="0"/>
              <w:snapToGrid w:val="0"/>
              <w:spacing w:line="360" w:lineRule="auto"/>
              <w:ind w:firstLine="480" w:firstLineChars="200"/>
              <w:rPr>
                <w:rFonts w:hint="eastAsia" w:eastAsia="宋体"/>
                <w:color w:val="000000"/>
                <w:sz w:val="24"/>
                <w:lang w:val="en-US" w:eastAsia="zh-CN"/>
              </w:rPr>
            </w:pPr>
            <w:r>
              <w:rPr>
                <w:rFonts w:hint="eastAsia"/>
                <w:color w:val="000000"/>
                <w:sz w:val="24"/>
              </w:rPr>
              <w:t>（2）</w:t>
            </w:r>
            <w:r>
              <w:rPr>
                <w:rFonts w:hint="eastAsia" w:ascii="宋体" w:hAnsi="宋体"/>
                <w:color w:val="000000"/>
                <w:sz w:val="24"/>
              </w:rPr>
              <w:t>天然气泄漏</w:t>
            </w:r>
          </w:p>
          <w:p w14:paraId="5AAA52EF">
            <w:pPr>
              <w:adjustRightInd w:val="0"/>
              <w:snapToGrid w:val="0"/>
              <w:spacing w:line="360" w:lineRule="auto"/>
              <w:ind w:firstLine="480" w:firstLineChars="200"/>
              <w:rPr>
                <w:color w:val="000000"/>
                <w:sz w:val="24"/>
              </w:rPr>
            </w:pPr>
            <w:r>
              <w:rPr>
                <w:rFonts w:hint="eastAsia" w:ascii="宋体" w:hAnsi="宋体"/>
                <w:color w:val="000000"/>
                <w:sz w:val="24"/>
              </w:rPr>
              <w:t>①泄漏天然气对人群健康危害影响</w:t>
            </w:r>
          </w:p>
          <w:p w14:paraId="54A32507">
            <w:pPr>
              <w:adjustRightInd w:val="0"/>
              <w:snapToGrid w:val="0"/>
              <w:spacing w:line="360" w:lineRule="auto"/>
              <w:ind w:firstLine="480" w:firstLineChars="200"/>
              <w:rPr>
                <w:color w:val="000000"/>
                <w:sz w:val="24"/>
              </w:rPr>
            </w:pPr>
            <w:r>
              <w:rPr>
                <w:rFonts w:hint="eastAsia" w:ascii="宋体" w:hAnsi="宋体"/>
                <w:color w:val="000000"/>
                <w:sz w:val="24"/>
              </w:rPr>
              <w:t>本项目的气源基本不含硫化氢，泄漏后主要是甲烷气体对周边环境的影响。甲烷的密度比空气的一半还小，稀释扩散很快，随着距泄漏点距离的增加，甲烷测试浓度下降非常快，一个泄漏点泄漏的甲烷对环境、人和动物的影响是局部影响。</w:t>
            </w:r>
          </w:p>
          <w:p w14:paraId="4DCB843E">
            <w:pPr>
              <w:adjustRightInd w:val="0"/>
              <w:snapToGrid w:val="0"/>
              <w:spacing w:line="360" w:lineRule="auto"/>
              <w:ind w:firstLine="480" w:firstLineChars="200"/>
              <w:rPr>
                <w:color w:val="000000"/>
                <w:sz w:val="24"/>
              </w:rPr>
            </w:pPr>
            <w:r>
              <w:rPr>
                <w:rFonts w:hint="eastAsia" w:ascii="宋体" w:hAnsi="宋体"/>
                <w:color w:val="000000"/>
                <w:sz w:val="24"/>
              </w:rPr>
              <w:t>根据预测，在事故条件下天然气泄漏后（泄漏时间为</w:t>
            </w:r>
            <w:r>
              <w:rPr>
                <w:rFonts w:hint="eastAsia"/>
                <w:color w:val="000000"/>
                <w:sz w:val="24"/>
              </w:rPr>
              <w:t>5min</w:t>
            </w:r>
            <w:r>
              <w:rPr>
                <w:rFonts w:hint="eastAsia" w:ascii="宋体" w:hAnsi="宋体"/>
                <w:color w:val="000000"/>
                <w:sz w:val="24"/>
              </w:rPr>
              <w:t>）甲烷的最大落地浓度约</w:t>
            </w:r>
            <w:r>
              <w:rPr>
                <w:rFonts w:hint="eastAsia"/>
                <w:color w:val="000000"/>
                <w:sz w:val="24"/>
              </w:rPr>
              <w:t>140mg/m</w:t>
            </w:r>
            <w:r>
              <w:rPr>
                <w:rFonts w:hint="eastAsia"/>
                <w:color w:val="000000"/>
                <w:sz w:val="24"/>
                <w:vertAlign w:val="superscript"/>
              </w:rPr>
              <w:t>3</w:t>
            </w:r>
            <w:r>
              <w:rPr>
                <w:rFonts w:hint="eastAsia" w:ascii="宋体" w:hAnsi="宋体"/>
                <w:color w:val="000000"/>
                <w:sz w:val="24"/>
              </w:rPr>
              <w:t>。远低于甲烷造成永久性损伤的最低限值</w:t>
            </w:r>
            <w:r>
              <w:rPr>
                <w:rFonts w:hint="eastAsia"/>
                <w:color w:val="000000"/>
                <w:sz w:val="24"/>
              </w:rPr>
              <w:t>374285.7mg/m</w:t>
            </w:r>
            <w:r>
              <w:rPr>
                <w:rFonts w:hint="eastAsia"/>
                <w:color w:val="000000"/>
                <w:sz w:val="24"/>
                <w:vertAlign w:val="superscript"/>
              </w:rPr>
              <w:t>3</w:t>
            </w:r>
            <w:r>
              <w:rPr>
                <w:rFonts w:hint="eastAsia" w:ascii="宋体" w:hAnsi="宋体"/>
                <w:color w:val="000000"/>
                <w:sz w:val="24"/>
              </w:rPr>
              <w:t>，不会造成人员窒息现象。同时，本项目配备天然气浓度超限报警装置，一旦发生气体泄露，可及时发现并进行处理，经分析，事故状态下，不会造成人员窒息现象。</w:t>
            </w:r>
          </w:p>
          <w:p w14:paraId="5F55CE96">
            <w:pPr>
              <w:adjustRightInd w:val="0"/>
              <w:snapToGrid w:val="0"/>
              <w:spacing w:line="360" w:lineRule="auto"/>
              <w:ind w:firstLine="480" w:firstLineChars="200"/>
              <w:rPr>
                <w:color w:val="000000"/>
                <w:sz w:val="24"/>
              </w:rPr>
            </w:pPr>
            <w:r>
              <w:rPr>
                <w:rFonts w:hint="eastAsia" w:ascii="宋体" w:hAnsi="宋体"/>
                <w:color w:val="000000"/>
                <w:sz w:val="24"/>
              </w:rPr>
              <w:t>②次生污染物对环境影响</w:t>
            </w:r>
          </w:p>
          <w:p w14:paraId="2DF3AAA2">
            <w:pPr>
              <w:adjustRightInd w:val="0"/>
              <w:snapToGrid w:val="0"/>
              <w:spacing w:line="360" w:lineRule="auto"/>
              <w:ind w:firstLine="480" w:firstLineChars="200"/>
              <w:rPr>
                <w:color w:val="000000"/>
                <w:sz w:val="24"/>
              </w:rPr>
            </w:pPr>
            <w:r>
              <w:rPr>
                <w:rFonts w:hint="eastAsia" w:ascii="宋体" w:hAnsi="宋体"/>
                <w:color w:val="000000"/>
                <w:sz w:val="24"/>
              </w:rPr>
              <w:t>在事故状态下，若发生火灾或者爆炸事故，天然气燃烧产生的污染物主要是二氧化碳、水，仅在事故刚发生时有少量的甲烷、乙烷等释放，且很快扩散，对环境空气产生的影响较小。</w:t>
            </w:r>
          </w:p>
          <w:p w14:paraId="4799E8A3">
            <w:pPr>
              <w:adjustRightInd w:val="0"/>
              <w:snapToGrid w:val="0"/>
              <w:spacing w:line="360" w:lineRule="auto"/>
              <w:ind w:firstLine="480" w:firstLineChars="200"/>
              <w:rPr>
                <w:color w:val="000000"/>
                <w:sz w:val="24"/>
              </w:rPr>
            </w:pPr>
            <w:r>
              <w:rPr>
                <w:rFonts w:hint="eastAsia" w:ascii="宋体" w:hAnsi="宋体"/>
                <w:color w:val="000000"/>
                <w:sz w:val="24"/>
              </w:rPr>
              <w:t>当项目发生火灾时，立即用干粉灭火器（主要是含磷酸铵盐）灭火。磷酸铵盐无毒、无害、不溶于水。因此，项目灭火后可将磷酸铵盐清扫收集用作绿化肥料。</w:t>
            </w:r>
          </w:p>
          <w:p w14:paraId="15B5B58E">
            <w:pPr>
              <w:adjustRightInd w:val="0"/>
              <w:snapToGrid w:val="0"/>
              <w:spacing w:line="360" w:lineRule="auto"/>
              <w:ind w:firstLine="480" w:firstLineChars="200"/>
              <w:rPr>
                <w:color w:val="000000"/>
                <w:sz w:val="24"/>
              </w:rPr>
            </w:pPr>
            <w:r>
              <w:rPr>
                <w:rFonts w:hint="eastAsia" w:ascii="宋体" w:hAnsi="宋体"/>
                <w:color w:val="000000"/>
                <w:sz w:val="24"/>
              </w:rPr>
              <w:t>③对环境敏感点的影响分析</w:t>
            </w:r>
          </w:p>
          <w:p w14:paraId="73151F82">
            <w:pPr>
              <w:adjustRightInd w:val="0"/>
              <w:snapToGrid w:val="0"/>
              <w:spacing w:line="360" w:lineRule="auto"/>
              <w:ind w:firstLine="480" w:firstLineChars="200"/>
              <w:rPr>
                <w:color w:val="000000"/>
                <w:sz w:val="24"/>
              </w:rPr>
            </w:pPr>
            <w:r>
              <w:rPr>
                <w:rFonts w:hint="eastAsia" w:ascii="宋体" w:hAnsi="宋体"/>
                <w:color w:val="000000"/>
                <w:sz w:val="24"/>
              </w:rPr>
              <w:t>天然气事故状态下，通过采取相应的风险防范措施和建立突发事故应急预案后，发生事故的概率较低，事故的影响也能降至可接受水平。</w:t>
            </w:r>
          </w:p>
          <w:p w14:paraId="38C964A0">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w:t>
            </w:r>
            <w:r>
              <w:rPr>
                <w:rFonts w:hint="eastAsia" w:cs="Times New Roman"/>
                <w:color w:val="auto"/>
                <w:sz w:val="24"/>
                <w:szCs w:val="24"/>
                <w:u w:val="none"/>
                <w:lang w:val="en-US" w:eastAsia="zh-CN"/>
              </w:rPr>
              <w:t>3</w:t>
            </w:r>
            <w:r>
              <w:rPr>
                <w:rFonts w:hint="default" w:ascii="Times New Roman" w:hAnsi="Times New Roman" w:eastAsia="宋体" w:cs="Times New Roman"/>
                <w:color w:val="auto"/>
                <w:sz w:val="24"/>
                <w:szCs w:val="24"/>
                <w:u w:val="none"/>
              </w:rPr>
              <w:t>）火灾事故分析</w:t>
            </w:r>
          </w:p>
          <w:p w14:paraId="3C449E2D">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①大气环境</w:t>
            </w:r>
          </w:p>
          <w:p w14:paraId="522C5F44">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本项目涉及的</w:t>
            </w:r>
            <w:r>
              <w:rPr>
                <w:rFonts w:hint="default" w:ascii="Times New Roman" w:hAnsi="Times New Roman" w:eastAsia="宋体" w:cs="Times New Roman"/>
                <w:color w:val="000000" w:themeColor="text1"/>
                <w:sz w:val="24"/>
                <w:szCs w:val="24"/>
                <w:u w:val="none"/>
                <w:lang w:val="en-GB" w:eastAsia="zh-CN"/>
                <w14:textFill>
                  <w14:solidFill>
                    <w14:schemeClr w14:val="tx1"/>
                  </w14:solidFill>
                </w14:textFill>
              </w:rPr>
              <w:t>润滑油、天然气</w:t>
            </w:r>
            <w:r>
              <w:rPr>
                <w:rFonts w:hint="default" w:ascii="Times New Roman" w:hAnsi="Times New Roman" w:eastAsia="宋体" w:cs="Times New Roman"/>
                <w:color w:val="auto"/>
                <w:sz w:val="24"/>
                <w:szCs w:val="24"/>
                <w:u w:val="none"/>
              </w:rPr>
              <w:t>等</w:t>
            </w:r>
            <w:r>
              <w:rPr>
                <w:rFonts w:hint="default" w:ascii="Times New Roman" w:hAnsi="Times New Roman" w:eastAsia="宋体" w:cs="Times New Roman"/>
                <w:bCs/>
                <w:color w:val="auto"/>
                <w:sz w:val="24"/>
                <w:szCs w:val="24"/>
                <w:u w:val="none"/>
              </w:rPr>
              <w:t>属于易燃物质、电气设备由于超负荷运转等因素，一旦车间管理不当，遇明火或自燃燃烧，其燃烧产物中一氧化碳、二氧化碳、氮氧化物和烟雾可能会对大气环境产生一定的影响。一旦发生火灾事故，随着大气的扩散作用，CO的浓度降低，大气环境可恢复到现状水平，预计本项目火灾不会对周围外界大气环境造成持续的影响。一旦发生事故，建设单位应及时采用正确方法处理所发生事故，应急处理人员穿戴全身专用防护服，佩戴氧气呼吸器对事故进行应急处理，尽量减轻对人员的影响。</w:t>
            </w:r>
          </w:p>
          <w:p w14:paraId="4D7AD94A">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②地表水环境</w:t>
            </w:r>
          </w:p>
          <w:p w14:paraId="2BB1165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发生小面积火灾情况，可采用干粉灭火器、消防沙灭火，不会产生消防废水；大面积火灾需使用消防水灭火时，产生大量消防废水，若收集不当将会对地表水产生不利影响。</w:t>
            </w:r>
          </w:p>
          <w:p w14:paraId="56495435">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bCs/>
                <w:color w:val="auto"/>
                <w:sz w:val="24"/>
                <w:szCs w:val="24"/>
                <w:u w:val="none"/>
              </w:rPr>
              <w:t>本项目厂区内存放有灭火器。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22E38BC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lang w:val="en-US" w:eastAsia="zh-CN"/>
              </w:rPr>
            </w:pPr>
            <w:r>
              <w:rPr>
                <w:rFonts w:hint="eastAsia" w:cs="Times New Roman"/>
                <w:color w:val="auto"/>
                <w:sz w:val="24"/>
                <w:szCs w:val="24"/>
                <w:u w:val="none"/>
                <w:lang w:eastAsia="zh-CN"/>
              </w:rPr>
              <w:t>（</w:t>
            </w:r>
            <w:r>
              <w:rPr>
                <w:rFonts w:hint="eastAsia" w:cs="Times New Roman"/>
                <w:color w:val="auto"/>
                <w:sz w:val="24"/>
                <w:szCs w:val="24"/>
                <w:u w:val="none"/>
                <w:lang w:val="en-US" w:eastAsia="zh-CN"/>
              </w:rPr>
              <w:t>4</w:t>
            </w:r>
            <w:r>
              <w:rPr>
                <w:rFonts w:hint="eastAsia" w:cs="Times New Roman"/>
                <w:color w:val="auto"/>
                <w:sz w:val="24"/>
                <w:szCs w:val="24"/>
                <w:u w:val="none"/>
                <w:lang w:eastAsia="zh-CN"/>
              </w:rPr>
              <w:t>）</w:t>
            </w:r>
            <w:r>
              <w:rPr>
                <w:rFonts w:hint="eastAsia" w:cs="Times New Roman"/>
                <w:color w:val="auto"/>
                <w:sz w:val="24"/>
                <w:szCs w:val="24"/>
                <w:u w:val="none"/>
                <w:lang w:val="en-US" w:eastAsia="zh-CN"/>
              </w:rPr>
              <w:t>废气处理设施出现故障</w:t>
            </w:r>
          </w:p>
          <w:p w14:paraId="3337D2D2">
            <w:pPr>
              <w:widowControl/>
              <w:adjustRightInd w:val="0"/>
              <w:snapToGrid w:val="0"/>
              <w:spacing w:line="360" w:lineRule="auto"/>
              <w:ind w:firstLine="480" w:firstLineChars="200"/>
              <w:rPr>
                <w:rFonts w:hint="eastAsia"/>
                <w:color w:val="000000"/>
                <w:sz w:val="24"/>
                <w:u w:val="none"/>
              </w:rPr>
            </w:pPr>
            <w:r>
              <w:rPr>
                <w:rFonts w:hint="eastAsia"/>
                <w:color w:val="000000"/>
                <w:sz w:val="24"/>
                <w:u w:val="none"/>
              </w:rPr>
              <w:t>当废气处理设施发生故障时，会造成大量未处达标的废气直接排入大气中，对环境空气造成较大影响。本项目周围大气环境具有一定的容量，废正常排放时对环境质量影响不大，一旦发生事故性排放在极端气象条件下会使大气排放口周围形成较高的污染物落地浓度，污染周围大气环境特别是会对居民的正常生活造成影响。</w:t>
            </w:r>
          </w:p>
          <w:p w14:paraId="3DFC1523">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w:t>
            </w:r>
            <w:r>
              <w:rPr>
                <w:rFonts w:hint="eastAsia" w:cs="Times New Roman"/>
                <w:color w:val="auto"/>
                <w:sz w:val="24"/>
                <w:szCs w:val="24"/>
                <w:u w:val="none"/>
                <w:lang w:val="en-US" w:eastAsia="zh-CN"/>
              </w:rPr>
              <w:t>5</w:t>
            </w:r>
            <w:r>
              <w:rPr>
                <w:rFonts w:hint="default" w:ascii="Times New Roman" w:hAnsi="Times New Roman" w:eastAsia="宋体" w:cs="Times New Roman"/>
                <w:color w:val="auto"/>
                <w:sz w:val="24"/>
                <w:szCs w:val="24"/>
                <w:u w:val="none"/>
              </w:rPr>
              <w:t>）污水处理设施出现故障</w:t>
            </w:r>
          </w:p>
          <w:p w14:paraId="5D9588F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本项目营运期生产废水产生浓度较高，经厂区污水处理站后进入市政污水管网，在污水处理站运行正常的情况下，项目废水可实现达标排放。但在运行过程中，若发生事故（停电等）、检修、超负荷溢流以及操作不当等，将导致污水处理站不能正常运行，可能造成废水外排，从而对地表水环境造成影响。</w:t>
            </w:r>
          </w:p>
          <w:p w14:paraId="7BF84D2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w:t>
            </w:r>
            <w:r>
              <w:rPr>
                <w:rFonts w:hint="eastAsia" w:cs="Times New Roman"/>
                <w:color w:val="auto"/>
                <w:sz w:val="24"/>
                <w:szCs w:val="24"/>
                <w:u w:val="none"/>
                <w:lang w:val="en-US" w:eastAsia="zh-CN"/>
              </w:rPr>
              <w:t>6</w:t>
            </w:r>
            <w:r>
              <w:rPr>
                <w:rFonts w:hint="default" w:ascii="Times New Roman" w:hAnsi="Times New Roman" w:eastAsia="宋体" w:cs="Times New Roman"/>
                <w:color w:val="auto"/>
                <w:sz w:val="24"/>
                <w:szCs w:val="24"/>
                <w:u w:val="none"/>
              </w:rPr>
              <w:t>）污水处理设施废水渗漏</w:t>
            </w:r>
          </w:p>
          <w:p w14:paraId="3DACB102">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非正常工况下，若污水处理站底部发生破裂，防渗系统被破坏，废水发生短时间泄露造成污染物下渗，将会对土壤及地下水环境造成污染。</w:t>
            </w:r>
          </w:p>
          <w:p w14:paraId="76C97BE2">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7.4环境风险防范措施及应急要求</w:t>
            </w:r>
          </w:p>
          <w:p w14:paraId="10219C2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7.4.1风险防范措施</w:t>
            </w:r>
          </w:p>
          <w:p w14:paraId="7AD6BC4A">
            <w:pPr>
              <w:adjustRightInd w:val="0"/>
              <w:snapToGrid w:val="0"/>
              <w:spacing w:line="360" w:lineRule="auto"/>
              <w:ind w:firstLine="480" w:firstLineChars="200"/>
              <w:rPr>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（1）液体物料泄露风险防范措施</w:t>
            </w:r>
          </w:p>
          <w:p w14:paraId="63CF0844">
            <w:pPr>
              <w:adjustRightInd w:val="0"/>
              <w:snapToGrid w:val="0"/>
              <w:spacing w:line="360" w:lineRule="auto"/>
              <w:ind w:firstLine="480" w:firstLineChars="200"/>
              <w:rPr>
                <w:rFonts w:hint="eastAsia" w:ascii="宋体" w:hAnsi="宋体"/>
                <w:color w:val="000000" w:themeColor="text1"/>
                <w:sz w:val="24"/>
                <w:u w:val="none"/>
                <w14:textFill>
                  <w14:solidFill>
                    <w14:schemeClr w14:val="tx1"/>
                  </w14:solidFill>
                </w14:textFill>
              </w:rPr>
            </w:pPr>
            <w:r>
              <w:rPr>
                <w:color w:val="000000" w:themeColor="text1"/>
                <w:sz w:val="24"/>
                <w:u w:val="none"/>
                <w14:textFill>
                  <w14:solidFill>
                    <w14:schemeClr w14:val="tx1"/>
                  </w14:solidFill>
                </w14:textFill>
              </w:rPr>
              <w:t>液体物料</w:t>
            </w:r>
            <w:r>
              <w:rPr>
                <w:rFonts w:hint="eastAsia"/>
                <w:color w:val="000000" w:themeColor="text1"/>
                <w:sz w:val="24"/>
                <w:u w:val="none"/>
                <w14:textFill>
                  <w14:solidFill>
                    <w14:schemeClr w14:val="tx1"/>
                  </w14:solidFill>
                </w14:textFill>
              </w:rPr>
              <w:t>（润滑油）</w:t>
            </w:r>
            <w:r>
              <w:rPr>
                <w:rFonts w:hint="eastAsia" w:ascii="宋体" w:hAnsi="宋体"/>
                <w:color w:val="000000" w:themeColor="text1"/>
                <w:sz w:val="24"/>
                <w:u w:val="none"/>
                <w14:textFill>
                  <w14:solidFill>
                    <w14:schemeClr w14:val="tx1"/>
                  </w14:solidFill>
                </w14:textFill>
              </w:rPr>
              <w:t>加强贮存使用管理，及时检查包装容器完好使用情况，严防出现泄漏事故。</w:t>
            </w:r>
            <w:commentRangeStart w:id="105"/>
            <w:r>
              <w:rPr>
                <w:rFonts w:hint="eastAsia"/>
                <w:color w:val="000000" w:themeColor="text1"/>
                <w:sz w:val="24"/>
                <w:u w:val="none"/>
                <w14:textFill>
                  <w14:solidFill>
                    <w14:schemeClr w14:val="tx1"/>
                  </w14:solidFill>
                </w14:textFill>
              </w:rPr>
              <w:t>润滑油储存区四周设置围堰（容积2m</w:t>
            </w:r>
            <w:r>
              <w:rPr>
                <w:rFonts w:hint="eastAsia"/>
                <w:color w:val="000000" w:themeColor="text1"/>
                <w:sz w:val="24"/>
                <w:u w:val="none"/>
                <w:vertAlign w:val="superscript"/>
                <w14:textFill>
                  <w14:solidFill>
                    <w14:schemeClr w14:val="tx1"/>
                  </w14:solidFill>
                </w14:textFill>
              </w:rPr>
              <w:t>3</w:t>
            </w:r>
            <w:r>
              <w:rPr>
                <w:rFonts w:hint="eastAsia"/>
                <w:color w:val="000000" w:themeColor="text1"/>
                <w:sz w:val="24"/>
                <w:u w:val="none"/>
                <w14:textFill>
                  <w14:solidFill>
                    <w14:schemeClr w14:val="tx1"/>
                  </w14:solidFill>
                </w14:textFill>
              </w:rPr>
              <w:t>），</w:t>
            </w:r>
            <w:r>
              <w:rPr>
                <w:rFonts w:hint="eastAsia"/>
                <w:color w:val="000000" w:themeColor="text1"/>
                <w:sz w:val="24"/>
                <w:u w:val="none"/>
                <w:lang w:val="en-US" w:eastAsia="zh-CN"/>
                <w14:textFill>
                  <w14:solidFill>
                    <w14:schemeClr w14:val="tx1"/>
                  </w14:solidFill>
                </w14:textFill>
              </w:rPr>
              <w:t>危废暂存间设置危废事故池</w:t>
            </w:r>
            <w:r>
              <w:rPr>
                <w:rFonts w:hint="eastAsia"/>
                <w:color w:val="000000" w:themeColor="text1"/>
                <w:sz w:val="24"/>
                <w:u w:val="none"/>
                <w14:textFill>
                  <w14:solidFill>
                    <w14:schemeClr w14:val="tx1"/>
                  </w14:solidFill>
                </w14:textFill>
              </w:rPr>
              <w:t>（容积</w:t>
            </w:r>
            <w:r>
              <w:rPr>
                <w:rFonts w:hint="eastAsia"/>
                <w:color w:val="000000" w:themeColor="text1"/>
                <w:sz w:val="24"/>
                <w:u w:val="none"/>
                <w:lang w:val="en-US" w:eastAsia="zh-CN"/>
                <w14:textFill>
                  <w14:solidFill>
                    <w14:schemeClr w14:val="tx1"/>
                  </w14:solidFill>
                </w14:textFill>
              </w:rPr>
              <w:t>1.0</w:t>
            </w:r>
            <w:r>
              <w:rPr>
                <w:rFonts w:hint="eastAsia"/>
                <w:color w:val="000000" w:themeColor="text1"/>
                <w:sz w:val="24"/>
                <w:u w:val="none"/>
                <w14:textFill>
                  <w14:solidFill>
                    <w14:schemeClr w14:val="tx1"/>
                  </w14:solidFill>
                </w14:textFill>
              </w:rPr>
              <w:t>m</w:t>
            </w:r>
            <w:r>
              <w:rPr>
                <w:rFonts w:hint="eastAsia"/>
                <w:color w:val="000000" w:themeColor="text1"/>
                <w:sz w:val="24"/>
                <w:u w:val="none"/>
                <w:vertAlign w:val="superscript"/>
                <w14:textFill>
                  <w14:solidFill>
                    <w14:schemeClr w14:val="tx1"/>
                  </w14:solidFill>
                </w14:textFill>
              </w:rPr>
              <w:t>3</w:t>
            </w:r>
            <w:r>
              <w:rPr>
                <w:rFonts w:hint="eastAsia"/>
                <w:color w:val="000000" w:themeColor="text1"/>
                <w:sz w:val="24"/>
                <w:u w:val="none"/>
                <w14:textFill>
                  <w14:solidFill>
                    <w14:schemeClr w14:val="tx1"/>
                  </w14:solidFill>
                </w14:textFill>
              </w:rPr>
              <w:t>）</w:t>
            </w:r>
            <w:r>
              <w:rPr>
                <w:rFonts w:hint="eastAsia"/>
                <w:color w:val="000000" w:themeColor="text1"/>
                <w:sz w:val="24"/>
                <w:u w:val="none"/>
                <w:lang w:eastAsia="zh-CN"/>
                <w14:textFill>
                  <w14:solidFill>
                    <w14:schemeClr w14:val="tx1"/>
                  </w14:solidFill>
                </w14:textFill>
              </w:rPr>
              <w:t>，</w:t>
            </w:r>
            <w:r>
              <w:rPr>
                <w:rFonts w:hint="eastAsia"/>
                <w:color w:val="000000" w:themeColor="text1"/>
                <w:sz w:val="24"/>
                <w:u w:val="none"/>
                <w14:textFill>
                  <w14:solidFill>
                    <w14:schemeClr w14:val="tx1"/>
                  </w14:solidFill>
                </w14:textFill>
              </w:rPr>
              <w:t>泄</w:t>
            </w:r>
            <w:commentRangeEnd w:id="105"/>
            <w:r>
              <w:commentReference w:id="105"/>
            </w:r>
            <w:r>
              <w:rPr>
                <w:rFonts w:hint="eastAsia"/>
                <w:color w:val="000000" w:themeColor="text1"/>
                <w:sz w:val="24"/>
                <w:u w:val="none"/>
                <w14:textFill>
                  <w14:solidFill>
                    <w14:schemeClr w14:val="tx1"/>
                  </w14:solidFill>
                </w14:textFill>
              </w:rPr>
              <w:t>露物料及时收集后作为危废处理，危废间设置“六防”措施</w:t>
            </w:r>
            <w:r>
              <w:rPr>
                <w:rFonts w:hint="eastAsia" w:ascii="宋体" w:hAnsi="宋体"/>
                <w:color w:val="000000" w:themeColor="text1"/>
                <w:sz w:val="24"/>
                <w:u w:val="none"/>
                <w14:textFill>
                  <w14:solidFill>
                    <w14:schemeClr w14:val="tx1"/>
                  </w14:solidFill>
                </w14:textFill>
              </w:rPr>
              <w:t>。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0F1A11B8">
            <w:pPr>
              <w:adjustRightInd w:val="0"/>
              <w:snapToGrid w:val="0"/>
              <w:spacing w:line="360" w:lineRule="auto"/>
              <w:ind w:firstLine="480" w:firstLineChars="200"/>
              <w:rPr>
                <w:color w:val="000000"/>
                <w:sz w:val="24"/>
              </w:rPr>
            </w:pPr>
            <w:r>
              <w:rPr>
                <w:rFonts w:ascii="宋体" w:hAnsi="宋体"/>
                <w:color w:val="000000"/>
                <w:sz w:val="24"/>
              </w:rPr>
              <w:t>（</w:t>
            </w:r>
            <w:r>
              <w:rPr>
                <w:rFonts w:hint="eastAsia"/>
                <w:color w:val="000000"/>
                <w:sz w:val="24"/>
              </w:rPr>
              <w:t>2</w:t>
            </w:r>
            <w:r>
              <w:rPr>
                <w:rFonts w:ascii="宋体" w:hAnsi="宋体"/>
                <w:color w:val="000000"/>
                <w:sz w:val="24"/>
              </w:rPr>
              <w:t>）天然气使用过程中风险防范措施</w:t>
            </w:r>
          </w:p>
          <w:p w14:paraId="373C0842">
            <w:pPr>
              <w:adjustRightInd w:val="0"/>
              <w:snapToGrid w:val="0"/>
              <w:spacing w:line="360" w:lineRule="auto"/>
              <w:ind w:firstLine="480" w:firstLineChars="200"/>
              <w:rPr>
                <w:color w:val="000000"/>
                <w:sz w:val="24"/>
              </w:rPr>
            </w:pPr>
            <w:r>
              <w:rPr>
                <w:rFonts w:hint="eastAsia" w:ascii="宋体" w:hAnsi="宋体"/>
                <w:color w:val="000000"/>
                <w:sz w:val="24"/>
              </w:rPr>
              <w:t>①</w:t>
            </w:r>
            <w:r>
              <w:rPr>
                <w:rFonts w:ascii="宋体" w:hAnsi="宋体"/>
                <w:color w:val="000000"/>
                <w:sz w:val="24"/>
              </w:rPr>
              <w:t>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08C8A892">
            <w:pPr>
              <w:adjustRightInd w:val="0"/>
              <w:snapToGrid w:val="0"/>
              <w:spacing w:line="360" w:lineRule="auto"/>
              <w:ind w:firstLine="480" w:firstLineChars="200"/>
              <w:rPr>
                <w:color w:val="000000"/>
                <w:sz w:val="24"/>
              </w:rPr>
            </w:pPr>
            <w:r>
              <w:rPr>
                <w:rFonts w:hint="eastAsia" w:ascii="宋体" w:hAnsi="宋体"/>
                <w:color w:val="000000"/>
                <w:sz w:val="24"/>
              </w:rPr>
              <w:t>②</w:t>
            </w:r>
            <w:r>
              <w:rPr>
                <w:rFonts w:ascii="宋体" w:hAnsi="宋体"/>
                <w:color w:val="000000"/>
                <w:sz w:val="24"/>
              </w:rPr>
              <w:t>加强天然气管道系统的管理与维修，使整个操作系统处于密闭化，严格防止跑、冒、滴、漏现象发生。对易发生泄漏的部位实行定期的巡检制度，及时发现问题，尽快解决。</w:t>
            </w:r>
          </w:p>
          <w:p w14:paraId="0AF0FE1C">
            <w:pPr>
              <w:adjustRightInd w:val="0"/>
              <w:snapToGrid w:val="0"/>
              <w:spacing w:line="360" w:lineRule="auto"/>
              <w:ind w:firstLine="480" w:firstLineChars="200"/>
              <w:rPr>
                <w:color w:val="000000"/>
                <w:sz w:val="24"/>
              </w:rPr>
            </w:pPr>
            <w:r>
              <w:rPr>
                <w:rFonts w:hint="eastAsia" w:ascii="宋体" w:hAnsi="宋体"/>
                <w:color w:val="000000"/>
                <w:sz w:val="24"/>
              </w:rPr>
              <w:t>③</w:t>
            </w:r>
            <w:r>
              <w:rPr>
                <w:rFonts w:ascii="宋体" w:hAnsi="宋体"/>
                <w:color w:val="000000"/>
                <w:sz w:val="24"/>
              </w:rPr>
              <w:t>严格执行防火、防爆、防雷击、防毒害等各项要求。</w:t>
            </w:r>
          </w:p>
          <w:p w14:paraId="20E35546">
            <w:pPr>
              <w:adjustRightInd w:val="0"/>
              <w:snapToGrid w:val="0"/>
              <w:spacing w:line="360" w:lineRule="auto"/>
              <w:ind w:firstLine="480" w:firstLineChars="200"/>
              <w:rPr>
                <w:color w:val="000000"/>
                <w:sz w:val="24"/>
              </w:rPr>
            </w:pPr>
            <w:r>
              <w:rPr>
                <w:rFonts w:hint="eastAsia" w:ascii="宋体" w:hAnsi="宋体"/>
                <w:color w:val="000000"/>
                <w:sz w:val="24"/>
              </w:rPr>
              <w:t>④</w:t>
            </w:r>
            <w:r>
              <w:rPr>
                <w:rFonts w:ascii="宋体" w:hAnsi="宋体"/>
                <w:color w:val="000000"/>
                <w:sz w:val="24"/>
              </w:rPr>
              <w:t>建立健全安全、环境管理体系及高效的安全生产机构，一旦发生事故，要做到快速、高效、安全处置。</w:t>
            </w:r>
          </w:p>
          <w:p w14:paraId="32F0A54A">
            <w:pPr>
              <w:adjustRightInd w:val="0"/>
              <w:snapToGrid w:val="0"/>
              <w:spacing w:line="360" w:lineRule="auto"/>
              <w:ind w:firstLine="480" w:firstLineChars="200"/>
              <w:rPr>
                <w:color w:val="000000"/>
                <w:sz w:val="24"/>
              </w:rPr>
            </w:pPr>
            <w:r>
              <w:rPr>
                <w:rFonts w:hint="eastAsia" w:ascii="宋体" w:hAnsi="宋体"/>
                <w:color w:val="000000"/>
                <w:sz w:val="24"/>
              </w:rPr>
              <w:t>⑤</w:t>
            </w:r>
            <w:r>
              <w:rPr>
                <w:rFonts w:ascii="宋体" w:hAnsi="宋体"/>
                <w:color w:val="000000"/>
                <w:sz w:val="24"/>
              </w:rPr>
              <w:t>厂内的电气设备严格按照防爆区划分配置。</w:t>
            </w:r>
          </w:p>
          <w:p w14:paraId="34B31074">
            <w:pPr>
              <w:adjustRightInd w:val="0"/>
              <w:snapToGrid w:val="0"/>
              <w:spacing w:line="360" w:lineRule="auto"/>
              <w:ind w:firstLine="480" w:firstLineChars="200"/>
              <w:rPr>
                <w:color w:val="000000"/>
                <w:sz w:val="24"/>
              </w:rPr>
            </w:pPr>
            <w:r>
              <w:rPr>
                <w:rFonts w:hint="eastAsia" w:ascii="宋体" w:hAnsi="宋体"/>
                <w:color w:val="000000"/>
                <w:sz w:val="24"/>
              </w:rPr>
              <w:t>⑥</w:t>
            </w:r>
            <w:r>
              <w:rPr>
                <w:rFonts w:ascii="宋体" w:hAnsi="宋体"/>
                <w:color w:val="000000"/>
                <w:sz w:val="24"/>
              </w:rPr>
              <w:t>车间严禁存放火种和易燃易爆物，远离热源。设置</w:t>
            </w:r>
            <w:r>
              <w:rPr>
                <w:color w:val="000000"/>
                <w:sz w:val="24"/>
              </w:rPr>
              <w:t>“</w:t>
            </w:r>
            <w:r>
              <w:rPr>
                <w:rFonts w:ascii="宋体" w:hAnsi="宋体"/>
                <w:color w:val="000000"/>
                <w:sz w:val="24"/>
              </w:rPr>
              <w:t>危险、禁止烟火</w:t>
            </w:r>
            <w:r>
              <w:rPr>
                <w:color w:val="000000"/>
                <w:sz w:val="24"/>
              </w:rPr>
              <w:t>”</w:t>
            </w:r>
            <w:r>
              <w:rPr>
                <w:rFonts w:ascii="宋体" w:hAnsi="宋体"/>
                <w:color w:val="000000"/>
                <w:sz w:val="24"/>
              </w:rPr>
              <w:t>等标志。备有一定数量灭火器材并保持有效状态以及防毒面具等气防设备。</w:t>
            </w:r>
          </w:p>
          <w:p w14:paraId="2D421A70">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ascii="宋体" w:hAnsi="宋体"/>
                <w:color w:val="000000"/>
                <w:sz w:val="24"/>
              </w:rPr>
            </w:pPr>
            <w:r>
              <w:rPr>
                <w:rFonts w:hint="eastAsia" w:ascii="宋体" w:hAnsi="宋体"/>
                <w:color w:val="000000"/>
                <w:sz w:val="24"/>
              </w:rPr>
              <w:t>⑦</w:t>
            </w:r>
            <w:r>
              <w:rPr>
                <w:rFonts w:ascii="宋体" w:hAnsi="宋体"/>
                <w:color w:val="000000"/>
                <w:sz w:val="24"/>
              </w:rPr>
              <w:t>对于天然气可能发生泄漏的生产场所或管网设立自动监测、报警、紧急切断及紧急停车系统。</w:t>
            </w:r>
          </w:p>
          <w:p w14:paraId="535E0D7E">
            <w:pPr>
              <w:keepNext w:val="0"/>
              <w:keepLines w:val="0"/>
              <w:pageBreakBefore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（3）火灾事故风险防范措施</w:t>
            </w:r>
          </w:p>
          <w:p w14:paraId="7FAC2986">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2015ACAD">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②建立健全安全、环境管理体系及高效的安全生产机构，一旦发生事故，要做到快速、高效、安全处置。</w:t>
            </w:r>
          </w:p>
          <w:p w14:paraId="67B58163">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③厂内的电气设备严格按照防爆区划分配置。</w:t>
            </w:r>
          </w:p>
          <w:p w14:paraId="6858CD06">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④如突发火灾，应立即采取急救措施，并及时向当地环保局等有关部门报告。一旦发生火灾事故，迅速按灭火作战预案紧急处理。</w:t>
            </w:r>
          </w:p>
          <w:p w14:paraId="28ABE9C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u w:val="none"/>
              </w:rPr>
            </w:pPr>
            <w:r>
              <w:rPr>
                <w:rFonts w:hint="default" w:ascii="Times New Roman" w:hAnsi="Times New Roman" w:eastAsia="宋体" w:cs="Times New Roman"/>
                <w:color w:val="auto"/>
                <w:sz w:val="24"/>
                <w:szCs w:val="24"/>
                <w:u w:val="none"/>
              </w:rPr>
              <w:t>⑤</w:t>
            </w:r>
            <w:r>
              <w:rPr>
                <w:rFonts w:hint="default" w:ascii="Times New Roman" w:hAnsi="Times New Roman" w:eastAsia="宋体" w:cs="Times New Roman"/>
                <w:bCs/>
                <w:color w:val="auto"/>
                <w:sz w:val="24"/>
                <w:szCs w:val="24"/>
                <w:u w:val="none"/>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31EFAC51">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（4）污水处理</w:t>
            </w:r>
            <w:r>
              <w:rPr>
                <w:rFonts w:hint="eastAsia" w:cs="Times New Roman"/>
                <w:color w:val="auto"/>
                <w:kern w:val="0"/>
                <w:sz w:val="24"/>
                <w:szCs w:val="24"/>
                <w:u w:val="none"/>
                <w:lang w:val="en-US" w:eastAsia="zh-CN"/>
              </w:rPr>
              <w:t>设施</w:t>
            </w:r>
            <w:r>
              <w:rPr>
                <w:rFonts w:hint="default" w:ascii="Times New Roman" w:hAnsi="Times New Roman" w:eastAsia="宋体" w:cs="Times New Roman"/>
                <w:color w:val="auto"/>
                <w:kern w:val="0"/>
                <w:sz w:val="24"/>
                <w:szCs w:val="24"/>
                <w:u w:val="none"/>
              </w:rPr>
              <w:t>事故风险防范措施</w:t>
            </w:r>
          </w:p>
          <w:p w14:paraId="6033222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在运行过程中，若发生事故（停电等）、检修、超负荷溢流以及操作不但等，将导致污水处理设施不能正常运行，可能造成废水外排，从而对地表水体造成影响。为防范废水事故排放，评价提出以下防范措施：</w:t>
            </w:r>
          </w:p>
          <w:p w14:paraId="7A12DD87">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①易发生故障的设备（泵类）配套备用设备，并对备用设备进行定期检查。</w:t>
            </w:r>
          </w:p>
          <w:p w14:paraId="0BA32FE3">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rPr>
              <w:t>②</w:t>
            </w:r>
            <w:r>
              <w:rPr>
                <w:rFonts w:hint="default" w:ascii="Times New Roman" w:hAnsi="Times New Roman" w:eastAsia="宋体" w:cs="Times New Roman"/>
                <w:color w:val="auto"/>
                <w:kern w:val="0"/>
                <w:sz w:val="24"/>
                <w:szCs w:val="24"/>
                <w:u w:val="none"/>
                <w:lang w:bidi="ar"/>
              </w:rPr>
              <w:t xml:space="preserve">参考《水体污染防控紧急措施设计导则》，事故储存设施总有效容积计算公式为： </w:t>
            </w:r>
          </w:p>
          <w:p w14:paraId="1BCB6F9E">
            <w:pPr>
              <w:keepNext w:val="0"/>
              <w:keepLines w:val="0"/>
              <w:pageBreakBefore w:val="0"/>
              <w:widowControl/>
              <w:kinsoku/>
              <w:wordWrap/>
              <w:overflowPunct/>
              <w:topLinePunct w:val="0"/>
              <w:autoSpaceDE/>
              <w:autoSpaceDN/>
              <w:bidi w:val="0"/>
              <w:spacing w:line="360" w:lineRule="auto"/>
              <w:ind w:firstLine="480" w:firstLineChars="20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V总=（V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max</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4"/>
                <w:szCs w:val="24"/>
                <w:u w:val="none"/>
                <w:lang w:bidi="ar"/>
                <w14:textFill>
                  <w14:solidFill>
                    <w14:schemeClr w14:val="tx1"/>
                  </w14:solidFill>
                </w14:textFill>
              </w:rPr>
              <w:t>+V</w:t>
            </w:r>
            <w:r>
              <w:rPr>
                <w:rFonts w:hint="default" w:ascii="Times New Roman" w:hAnsi="Times New Roman" w:eastAsia="宋体" w:cs="Times New Roman"/>
                <w:color w:val="000000" w:themeColor="text1"/>
                <w:kern w:val="0"/>
                <w:sz w:val="24"/>
                <w:szCs w:val="24"/>
                <w:u w:val="none"/>
                <w:vertAlign w:val="subscript"/>
                <w:lang w:bidi="ar"/>
                <w14:textFill>
                  <w14:solidFill>
                    <w14:schemeClr w14:val="tx1"/>
                  </w14:solidFill>
                </w14:textFill>
              </w:rPr>
              <w:t>5</w:t>
            </w:r>
          </w:p>
          <w:p w14:paraId="1F242683">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式中：V</w:t>
            </w:r>
            <w:r>
              <w:rPr>
                <w:rFonts w:hint="default" w:ascii="Times New Roman" w:hAnsi="Times New Roman" w:eastAsia="宋体" w:cs="Times New Roman"/>
                <w:color w:val="auto"/>
                <w:kern w:val="0"/>
                <w:sz w:val="24"/>
                <w:szCs w:val="24"/>
                <w:u w:val="none"/>
                <w:vertAlign w:val="subscript"/>
                <w:lang w:bidi="ar"/>
              </w:rPr>
              <w:t>1</w:t>
            </w:r>
            <w:r>
              <w:rPr>
                <w:rFonts w:hint="default" w:ascii="Times New Roman" w:hAnsi="Times New Roman" w:eastAsia="宋体" w:cs="Times New Roman"/>
                <w:color w:val="auto"/>
                <w:kern w:val="0"/>
                <w:sz w:val="24"/>
                <w:szCs w:val="24"/>
                <w:u w:val="none"/>
                <w:lang w:bidi="ar"/>
              </w:rPr>
              <w:t>—收集系统范围内发生事故的一个罐组或一套装置的物料量m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（储存相同物料的罐组按一个最大储罐计，装置物料量按存留最大物料量的一台反应器或中间储罐计）；本项目液体物料最大物料储存量为</w:t>
            </w:r>
            <w:r>
              <w:rPr>
                <w:rFonts w:hint="eastAsia" w:cs="Times New Roman"/>
                <w:color w:val="auto"/>
                <w:kern w:val="0"/>
                <w:sz w:val="24"/>
                <w:szCs w:val="24"/>
                <w:u w:val="none"/>
                <w:lang w:val="en-US" w:eastAsia="zh-CN" w:bidi="ar"/>
              </w:rPr>
              <w:t>0.5</w:t>
            </w:r>
            <w:r>
              <w:rPr>
                <w:rFonts w:hint="default" w:ascii="Times New Roman" w:hAnsi="Times New Roman" w:eastAsia="宋体" w:cs="Times New Roman"/>
                <w:color w:val="auto"/>
                <w:kern w:val="0"/>
                <w:sz w:val="24"/>
                <w:szCs w:val="24"/>
                <w:u w:val="none"/>
                <w:lang w:bidi="ar"/>
              </w:rPr>
              <w:t>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p>
          <w:p w14:paraId="45B28E51">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V</w:t>
            </w:r>
            <w:r>
              <w:rPr>
                <w:rFonts w:hint="default" w:ascii="Times New Roman" w:hAnsi="Times New Roman" w:eastAsia="宋体" w:cs="Times New Roman"/>
                <w:color w:val="auto"/>
                <w:kern w:val="0"/>
                <w:sz w:val="24"/>
                <w:szCs w:val="24"/>
                <w:u w:val="none"/>
                <w:vertAlign w:val="subscript"/>
                <w:lang w:bidi="ar"/>
              </w:rPr>
              <w:t>2</w:t>
            </w:r>
            <w:r>
              <w:rPr>
                <w:rFonts w:hint="default" w:ascii="Times New Roman" w:hAnsi="Times New Roman" w:eastAsia="宋体" w:cs="Times New Roman"/>
                <w:color w:val="auto"/>
                <w:kern w:val="0"/>
                <w:sz w:val="24"/>
                <w:szCs w:val="24"/>
                <w:u w:val="none"/>
                <w:lang w:bidi="ar"/>
              </w:rPr>
              <w:t>—发生事故的储罐或装置的消防水量，m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p>
          <w:p w14:paraId="369E465D">
            <w:pPr>
              <w:keepNext w:val="0"/>
              <w:keepLines w:val="0"/>
              <w:pageBreakBefore w:val="0"/>
              <w:widowControl/>
              <w:kinsoku/>
              <w:wordWrap/>
              <w:overflowPunct/>
              <w:topLinePunct w:val="0"/>
              <w:autoSpaceDE/>
              <w:autoSpaceDN/>
              <w:bidi w:val="0"/>
              <w:spacing w:line="360" w:lineRule="auto"/>
              <w:ind w:firstLine="480" w:firstLineChars="200"/>
              <w:jc w:val="center"/>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V2=∑Q</w:t>
            </w:r>
            <w:r>
              <w:rPr>
                <w:rFonts w:hint="default" w:ascii="Times New Roman" w:hAnsi="Times New Roman" w:eastAsia="宋体" w:cs="Times New Roman"/>
                <w:color w:val="auto"/>
                <w:kern w:val="0"/>
                <w:sz w:val="24"/>
                <w:szCs w:val="24"/>
                <w:u w:val="none"/>
                <w:vertAlign w:val="subscript"/>
                <w:lang w:bidi="ar"/>
              </w:rPr>
              <w:t>消</w:t>
            </w:r>
            <w:r>
              <w:rPr>
                <w:rFonts w:hint="default" w:ascii="Times New Roman" w:hAnsi="Times New Roman" w:eastAsia="宋体" w:cs="Times New Roman"/>
                <w:color w:val="auto"/>
                <w:kern w:val="0"/>
                <w:sz w:val="24"/>
                <w:szCs w:val="24"/>
                <w:u w:val="none"/>
                <w:lang w:bidi="ar"/>
              </w:rPr>
              <w:t>t</w:t>
            </w:r>
            <w:r>
              <w:rPr>
                <w:rFonts w:hint="default" w:ascii="Times New Roman" w:hAnsi="Times New Roman" w:eastAsia="宋体" w:cs="Times New Roman"/>
                <w:color w:val="auto"/>
                <w:kern w:val="0"/>
                <w:sz w:val="24"/>
                <w:szCs w:val="24"/>
                <w:u w:val="none"/>
                <w:vertAlign w:val="subscript"/>
                <w:lang w:bidi="ar"/>
              </w:rPr>
              <w:t>消</w:t>
            </w:r>
          </w:p>
          <w:p w14:paraId="50D7071D">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Q</w:t>
            </w:r>
            <w:r>
              <w:rPr>
                <w:rFonts w:hint="default" w:ascii="Times New Roman" w:hAnsi="Times New Roman" w:eastAsia="宋体" w:cs="Times New Roman"/>
                <w:color w:val="auto"/>
                <w:kern w:val="0"/>
                <w:sz w:val="24"/>
                <w:szCs w:val="24"/>
                <w:u w:val="none"/>
                <w:vertAlign w:val="subscript"/>
                <w:lang w:bidi="ar"/>
              </w:rPr>
              <w:t>消</w:t>
            </w:r>
            <w:r>
              <w:rPr>
                <w:rFonts w:hint="default" w:ascii="Times New Roman" w:hAnsi="Times New Roman" w:eastAsia="宋体" w:cs="Times New Roman"/>
                <w:color w:val="auto"/>
                <w:kern w:val="0"/>
                <w:sz w:val="24"/>
                <w:szCs w:val="24"/>
                <w:u w:val="none"/>
                <w:lang w:bidi="ar"/>
              </w:rPr>
              <w:t>—发生事故时的储罐或装置同时使用的消防设施给水流量，m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/h；综合考虑灭火喷淋消防给水量，取10L/s；</w:t>
            </w:r>
          </w:p>
          <w:p w14:paraId="5DFF97FB">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t</w:t>
            </w:r>
            <w:r>
              <w:rPr>
                <w:rFonts w:hint="default" w:ascii="Times New Roman" w:hAnsi="Times New Roman" w:eastAsia="宋体" w:cs="Times New Roman"/>
                <w:color w:val="auto"/>
                <w:kern w:val="0"/>
                <w:sz w:val="24"/>
                <w:szCs w:val="24"/>
                <w:u w:val="none"/>
                <w:vertAlign w:val="subscript"/>
                <w:lang w:bidi="ar"/>
              </w:rPr>
              <w:t>消</w:t>
            </w:r>
            <w:r>
              <w:rPr>
                <w:rFonts w:hint="default" w:ascii="Times New Roman" w:hAnsi="Times New Roman" w:eastAsia="宋体" w:cs="Times New Roman"/>
                <w:color w:val="auto"/>
                <w:kern w:val="0"/>
                <w:sz w:val="24"/>
                <w:szCs w:val="24"/>
                <w:u w:val="none"/>
                <w:lang w:bidi="ar"/>
              </w:rPr>
              <w:t>—消防设施对应的设计消防历时（h），取2.0h；</w:t>
            </w:r>
          </w:p>
          <w:p w14:paraId="02914E41">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经计算，消防用水量为72m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p>
          <w:p w14:paraId="76507347">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V3—发生事故时可以转输到其他设施的物料量，m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；不考虑，V3为0。</w:t>
            </w:r>
          </w:p>
          <w:p w14:paraId="33A39539">
            <w:pPr>
              <w:widowControl/>
              <w:spacing w:line="360" w:lineRule="auto"/>
              <w:ind w:firstLine="480" w:firstLineChars="200"/>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V4—发生事故时仍必须进入该收集系统的生产废水量，m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；按项目一个周期事故停车计最大一次事故污水量。根据《化学工业污水处理与回用设计规范》，“污水处理场宜设非正常情况下超过进水指标的事故污水储存池，储存池容积可按8h~12h平均时流量计。”</w:t>
            </w:r>
            <w:r>
              <w:rPr>
                <w:color w:val="000000"/>
                <w:kern w:val="0"/>
                <w:sz w:val="24"/>
                <w:u w:val="none"/>
                <w:lang w:bidi="ar"/>
              </w:rPr>
              <w:t>项目</w:t>
            </w:r>
            <w:r>
              <w:rPr>
                <w:rFonts w:hint="eastAsia"/>
                <w:color w:val="000000"/>
                <w:kern w:val="0"/>
                <w:sz w:val="24"/>
                <w:u w:val="none"/>
                <w:lang w:bidi="ar"/>
              </w:rPr>
              <w:t>生产工序</w:t>
            </w:r>
            <w:r>
              <w:rPr>
                <w:color w:val="000000"/>
                <w:kern w:val="0"/>
                <w:sz w:val="24"/>
                <w:u w:val="none"/>
                <w:lang w:bidi="ar"/>
              </w:rPr>
              <w:t>为</w:t>
            </w:r>
            <w:r>
              <w:rPr>
                <w:rFonts w:hint="eastAsia"/>
                <w:color w:val="000000"/>
                <w:kern w:val="0"/>
                <w:sz w:val="24"/>
                <w:u w:val="none"/>
                <w:lang w:val="en-US" w:eastAsia="zh-CN" w:bidi="ar"/>
              </w:rPr>
              <w:t>非</w:t>
            </w:r>
            <w:r>
              <w:rPr>
                <w:color w:val="000000"/>
                <w:kern w:val="0"/>
                <w:sz w:val="24"/>
                <w:u w:val="none"/>
                <w:lang w:bidi="ar"/>
              </w:rPr>
              <w:t>连续操作（按</w:t>
            </w:r>
            <w:r>
              <w:rPr>
                <w:rFonts w:hint="eastAsia"/>
                <w:color w:val="000000"/>
                <w:kern w:val="0"/>
                <w:sz w:val="24"/>
                <w:u w:val="none"/>
                <w:lang w:bidi="ar"/>
              </w:rPr>
              <w:t>8</w:t>
            </w:r>
            <w:r>
              <w:rPr>
                <w:color w:val="000000"/>
                <w:kern w:val="0"/>
                <w:sz w:val="24"/>
                <w:u w:val="none"/>
                <w:lang w:bidi="ar"/>
              </w:rPr>
              <w:t>h计）。</w:t>
            </w:r>
            <w:r>
              <w:rPr>
                <w:rFonts w:hint="eastAsia"/>
                <w:color w:val="000000"/>
                <w:kern w:val="0"/>
                <w:sz w:val="24"/>
                <w:u w:val="none"/>
                <w:lang w:val="en-US" w:eastAsia="zh-CN" w:bidi="ar"/>
              </w:rPr>
              <w:t>本项目</w:t>
            </w:r>
            <w:commentRangeStart w:id="106"/>
            <w:r>
              <w:rPr>
                <w:rFonts w:hint="eastAsia"/>
                <w:color w:val="000000"/>
                <w:kern w:val="0"/>
                <w:sz w:val="24"/>
                <w:u w:val="none"/>
                <w:lang w:val="en-US" w:eastAsia="zh-CN" w:bidi="ar"/>
              </w:rPr>
              <w:t>生产废水产生量为</w:t>
            </w:r>
            <w:r>
              <w:rPr>
                <w:rFonts w:hint="eastAsia" w:ascii="Times" w:hAnsi="Times" w:eastAsia="Times" w:cs="Times"/>
                <w:color w:val="000000" w:themeColor="text1"/>
                <w:kern w:val="0"/>
                <w:sz w:val="24"/>
                <w:lang w:val="en-US" w:eastAsia="zh-CN" w:bidi="ar"/>
                <w14:textFill>
                  <w14:solidFill>
                    <w14:schemeClr w14:val="tx1"/>
                  </w14:solidFill>
                </w14:textFill>
              </w:rPr>
              <w:t>26.319</w:t>
            </w:r>
            <w:r>
              <w:rPr>
                <w:rFonts w:hint="eastAsia"/>
                <w:color w:val="000000"/>
                <w:kern w:val="0"/>
                <w:sz w:val="24"/>
                <w:u w:val="none"/>
                <w:lang w:val="en-US" w:eastAsia="zh-CN" w:bidi="ar"/>
              </w:rPr>
              <w:t>m</w:t>
            </w:r>
            <w:r>
              <w:rPr>
                <w:rFonts w:hint="eastAsia"/>
                <w:color w:val="000000"/>
                <w:kern w:val="0"/>
                <w:sz w:val="24"/>
                <w:u w:val="none"/>
                <w:vertAlign w:val="superscript"/>
                <w:lang w:val="en-US" w:eastAsia="zh-CN" w:bidi="ar"/>
              </w:rPr>
              <w:t>3</w:t>
            </w:r>
            <w:r>
              <w:rPr>
                <w:rFonts w:hint="eastAsia"/>
                <w:color w:val="000000"/>
                <w:kern w:val="0"/>
                <w:sz w:val="24"/>
                <w:u w:val="none"/>
                <w:lang w:val="en-US" w:eastAsia="zh-CN" w:bidi="ar"/>
              </w:rPr>
              <w:t>/d，</w:t>
            </w:r>
            <w:commentRangeEnd w:id="106"/>
            <w:r>
              <w:commentReference w:id="106"/>
            </w:r>
            <w:r>
              <w:rPr>
                <w:rFonts w:hint="eastAsia"/>
                <w:color w:val="000000"/>
                <w:kern w:val="0"/>
                <w:sz w:val="24"/>
                <w:u w:val="none"/>
                <w:lang w:val="en-US" w:eastAsia="zh-CN" w:bidi="ar"/>
              </w:rPr>
              <w:t>单次最大排水量为</w:t>
            </w:r>
            <w:r>
              <w:rPr>
                <w:rFonts w:hint="eastAsia" w:ascii="Times" w:hAnsi="Times" w:eastAsia="Times" w:cs="Times"/>
                <w:color w:val="000000" w:themeColor="text1"/>
                <w:kern w:val="0"/>
                <w:sz w:val="24"/>
                <w:lang w:val="en-US" w:eastAsia="zh-CN" w:bidi="ar"/>
                <w14:textFill>
                  <w14:solidFill>
                    <w14:schemeClr w14:val="tx1"/>
                  </w14:solidFill>
                </w14:textFill>
              </w:rPr>
              <w:t>26.319</w:t>
            </w:r>
            <w:r>
              <w:rPr>
                <w:rFonts w:hint="eastAsia"/>
                <w:color w:val="000000"/>
                <w:kern w:val="0"/>
                <w:sz w:val="24"/>
                <w:u w:val="none"/>
                <w:lang w:val="en-US" w:eastAsia="zh-CN" w:bidi="ar"/>
              </w:rPr>
              <w:t>m</w:t>
            </w:r>
            <w:r>
              <w:rPr>
                <w:rFonts w:hint="eastAsia"/>
                <w:color w:val="000000"/>
                <w:kern w:val="0"/>
                <w:sz w:val="24"/>
                <w:u w:val="none"/>
                <w:vertAlign w:val="superscript"/>
                <w:lang w:val="en-US" w:eastAsia="zh-CN" w:bidi="ar"/>
              </w:rPr>
              <w:t>3</w:t>
            </w:r>
            <w:r>
              <w:rPr>
                <w:rFonts w:hint="eastAsia"/>
                <w:color w:val="000000"/>
                <w:kern w:val="0"/>
                <w:sz w:val="24"/>
                <w:u w:val="none"/>
                <w:lang w:val="en-US" w:eastAsia="zh-CN" w:bidi="ar"/>
              </w:rPr>
              <w:t>，V4</w:t>
            </w:r>
            <w:r>
              <w:rPr>
                <w:color w:val="000000"/>
                <w:kern w:val="0"/>
                <w:sz w:val="24"/>
                <w:u w:val="none"/>
                <w:lang w:bidi="ar"/>
              </w:rPr>
              <w:t>取</w:t>
            </w:r>
            <w:r>
              <w:rPr>
                <w:rFonts w:hint="eastAsia" w:ascii="Times" w:hAnsi="Times" w:eastAsia="Times" w:cs="Times"/>
                <w:color w:val="000000" w:themeColor="text1"/>
                <w:kern w:val="0"/>
                <w:sz w:val="24"/>
                <w:lang w:val="en-US" w:eastAsia="zh-CN" w:bidi="ar"/>
                <w14:textFill>
                  <w14:solidFill>
                    <w14:schemeClr w14:val="tx1"/>
                  </w14:solidFill>
                </w14:textFill>
              </w:rPr>
              <w:t>26.319</w:t>
            </w:r>
            <w:r>
              <w:rPr>
                <w:color w:val="000000"/>
                <w:kern w:val="0"/>
                <w:sz w:val="24"/>
                <w:u w:val="none"/>
                <w:lang w:bidi="ar"/>
              </w:rPr>
              <w:t>m</w:t>
            </w:r>
            <w:r>
              <w:rPr>
                <w:color w:val="000000"/>
                <w:kern w:val="0"/>
                <w:sz w:val="24"/>
                <w:u w:val="none"/>
                <w:vertAlign w:val="superscript"/>
                <w:lang w:bidi="ar"/>
              </w:rPr>
              <w:t>3</w:t>
            </w:r>
            <w:r>
              <w:rPr>
                <w:color w:val="000000"/>
                <w:kern w:val="0"/>
                <w:sz w:val="24"/>
                <w:u w:val="none"/>
                <w:lang w:bidi="ar"/>
              </w:rPr>
              <w:t>；</w:t>
            </w:r>
          </w:p>
          <w:p w14:paraId="0F303D4B">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V5—发生事故时可能进入该收集系统的降雨量，m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p>
          <w:p w14:paraId="1543FD5A">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项目所在地设计暴雨强度：</w:t>
            </w:r>
          </w:p>
          <w:p w14:paraId="6FCABE60">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drawing>
                <wp:anchor distT="0" distB="0" distL="114300" distR="114300" simplePos="0" relativeHeight="251663360" behindDoc="0" locked="0" layoutInCell="1" allowOverlap="1">
                  <wp:simplePos x="0" y="0"/>
                  <wp:positionH relativeFrom="column">
                    <wp:posOffset>1848485</wp:posOffset>
                  </wp:positionH>
                  <wp:positionV relativeFrom="paragraph">
                    <wp:posOffset>41910</wp:posOffset>
                  </wp:positionV>
                  <wp:extent cx="1815465" cy="476885"/>
                  <wp:effectExtent l="0" t="0" r="13335" b="18415"/>
                  <wp:wrapTopAndBottom/>
                  <wp:docPr id="1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
                          <pic:cNvPicPr>
                            <a:picLocks noChangeAspect="1"/>
                          </pic:cNvPicPr>
                        </pic:nvPicPr>
                        <pic:blipFill>
                          <a:blip r:embed="rId28"/>
                          <a:stretch>
                            <a:fillRect/>
                          </a:stretch>
                        </pic:blipFill>
                        <pic:spPr>
                          <a:xfrm>
                            <a:off x="0" y="0"/>
                            <a:ext cx="1815465" cy="476885"/>
                          </a:xfrm>
                          <a:prstGeom prst="rect">
                            <a:avLst/>
                          </a:prstGeom>
                          <a:noFill/>
                          <a:ln>
                            <a:noFill/>
                          </a:ln>
                        </pic:spPr>
                      </pic:pic>
                    </a:graphicData>
                  </a:graphic>
                </wp:anchor>
              </w:drawing>
            </w:r>
            <w:r>
              <w:rPr>
                <w:rFonts w:hint="default" w:ascii="Times New Roman" w:hAnsi="Times New Roman" w:eastAsia="宋体" w:cs="Times New Roman"/>
                <w:color w:val="auto"/>
                <w:kern w:val="0"/>
                <w:sz w:val="24"/>
                <w:szCs w:val="24"/>
                <w:u w:val="none"/>
                <w:lang w:bidi="ar"/>
              </w:rPr>
              <w:t>q—设计暴雨强度（L/s•公顷）；</w:t>
            </w:r>
          </w:p>
          <w:p w14:paraId="5FA77441">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P—重现期（年），取2年；</w:t>
            </w:r>
          </w:p>
          <w:p w14:paraId="032A17CF">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t—降雨历时，取15min；</w:t>
            </w:r>
          </w:p>
          <w:p w14:paraId="0A061B45">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经计算，暴雨强度为237.32L/s•公顷；结合项目平面布置图，</w:t>
            </w:r>
            <w:commentRangeStart w:id="107"/>
            <w:r>
              <w:rPr>
                <w:rFonts w:hint="default" w:ascii="Times New Roman" w:hAnsi="Times New Roman" w:eastAsia="宋体" w:cs="Times New Roman"/>
                <w:color w:val="auto"/>
                <w:kern w:val="0"/>
                <w:sz w:val="24"/>
                <w:szCs w:val="24"/>
                <w:u w:val="none"/>
                <w:lang w:bidi="ar"/>
              </w:rPr>
              <w:t>项目初期雨水收集面积约为</w:t>
            </w:r>
            <w:r>
              <w:rPr>
                <w:rFonts w:hint="eastAsia" w:cs="Times New Roman"/>
                <w:color w:val="auto"/>
                <w:kern w:val="0"/>
                <w:sz w:val="24"/>
                <w:szCs w:val="24"/>
                <w:u w:val="none"/>
                <w:lang w:val="en-US" w:eastAsia="zh-CN" w:bidi="ar"/>
              </w:rPr>
              <w:t>17206.22</w:t>
            </w:r>
            <w:r>
              <w:rPr>
                <w:rFonts w:hint="default" w:ascii="Times New Roman" w:hAnsi="Times New Roman" w:eastAsia="宋体" w:cs="Times New Roman"/>
                <w:color w:val="auto"/>
                <w:kern w:val="0"/>
                <w:sz w:val="24"/>
                <w:szCs w:val="24"/>
                <w:u w:val="none"/>
                <w:lang w:bidi="ar"/>
              </w:rPr>
              <w:t>m</w:t>
            </w:r>
            <w:r>
              <w:rPr>
                <w:rFonts w:hint="default" w:ascii="Times New Roman" w:hAnsi="Times New Roman" w:eastAsia="宋体" w:cs="Times New Roman"/>
                <w:color w:val="auto"/>
                <w:kern w:val="0"/>
                <w:sz w:val="24"/>
                <w:szCs w:val="24"/>
                <w:u w:val="none"/>
                <w:vertAlign w:val="superscript"/>
                <w:lang w:bidi="ar"/>
              </w:rPr>
              <w:t>2</w:t>
            </w:r>
            <w:r>
              <w:rPr>
                <w:rFonts w:hint="default" w:ascii="Times New Roman" w:hAnsi="Times New Roman" w:eastAsia="宋体" w:cs="Times New Roman"/>
                <w:color w:val="auto"/>
                <w:kern w:val="0"/>
                <w:sz w:val="24"/>
                <w:szCs w:val="24"/>
                <w:u w:val="none"/>
                <w:lang w:bidi="ar"/>
              </w:rPr>
              <w:t>，径流系数取0.9，则V5为</w:t>
            </w:r>
            <w:r>
              <w:rPr>
                <w:rFonts w:hint="eastAsia" w:cs="Times New Roman"/>
                <w:color w:val="auto"/>
                <w:kern w:val="0"/>
                <w:sz w:val="24"/>
                <w:szCs w:val="24"/>
                <w:u w:val="none"/>
                <w:lang w:val="en-US" w:eastAsia="zh-CN" w:bidi="ar"/>
              </w:rPr>
              <w:t>367.504</w:t>
            </w:r>
            <w:r>
              <w:rPr>
                <w:rFonts w:hint="default" w:ascii="Times New Roman" w:hAnsi="Times New Roman" w:eastAsia="宋体" w:cs="Times New Roman"/>
                <w:color w:val="auto"/>
                <w:kern w:val="0"/>
                <w:sz w:val="24"/>
                <w:szCs w:val="24"/>
                <w:u w:val="none"/>
                <w:lang w:bidi="ar"/>
              </w:rPr>
              <w:t>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commentRangeEnd w:id="107"/>
            <w:r>
              <w:commentReference w:id="107"/>
            </w:r>
          </w:p>
          <w:p w14:paraId="4D0BCC66">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kern w:val="0"/>
                <w:sz w:val="24"/>
                <w:szCs w:val="24"/>
                <w:u w:val="none"/>
                <w:lang w:bidi="ar"/>
              </w:rPr>
              <w:t>所需事故池容积为：V总=（</w:t>
            </w:r>
            <w:r>
              <w:rPr>
                <w:rFonts w:hint="eastAsia" w:cs="Times New Roman"/>
                <w:color w:val="auto"/>
                <w:kern w:val="0"/>
                <w:sz w:val="24"/>
                <w:szCs w:val="24"/>
                <w:u w:val="none"/>
                <w:lang w:val="en-US" w:eastAsia="zh-CN" w:bidi="ar"/>
              </w:rPr>
              <w:t>0.5</w:t>
            </w:r>
            <w:r>
              <w:rPr>
                <w:rFonts w:hint="default" w:ascii="Times New Roman" w:hAnsi="Times New Roman" w:eastAsia="宋体" w:cs="Times New Roman"/>
                <w:color w:val="auto"/>
                <w:kern w:val="0"/>
                <w:sz w:val="24"/>
                <w:szCs w:val="24"/>
                <w:u w:val="none"/>
                <w:lang w:bidi="ar"/>
              </w:rPr>
              <w:t>+72-0）+</w:t>
            </w:r>
            <w:r>
              <w:rPr>
                <w:rFonts w:hint="eastAsia" w:ascii="Times" w:hAnsi="Times" w:eastAsia="Times" w:cs="Times"/>
                <w:color w:val="000000" w:themeColor="text1"/>
                <w:kern w:val="0"/>
                <w:sz w:val="24"/>
                <w:lang w:val="en-US" w:eastAsia="zh-CN" w:bidi="ar"/>
                <w14:textFill>
                  <w14:solidFill>
                    <w14:schemeClr w14:val="tx1"/>
                  </w14:solidFill>
                </w14:textFill>
              </w:rPr>
              <w:t>26.319</w:t>
            </w:r>
            <w:r>
              <w:rPr>
                <w:rFonts w:hint="default" w:ascii="Times New Roman" w:hAnsi="Times New Roman" w:eastAsia="宋体" w:cs="Times New Roman"/>
                <w:color w:val="auto"/>
                <w:kern w:val="0"/>
                <w:sz w:val="24"/>
                <w:szCs w:val="24"/>
                <w:u w:val="none"/>
                <w:lang w:bidi="ar"/>
              </w:rPr>
              <w:t>+</w:t>
            </w:r>
            <w:r>
              <w:rPr>
                <w:rFonts w:hint="eastAsia" w:cs="Times New Roman"/>
                <w:color w:val="auto"/>
                <w:kern w:val="0"/>
                <w:sz w:val="24"/>
                <w:szCs w:val="24"/>
                <w:u w:val="none"/>
                <w:lang w:val="en-US" w:eastAsia="zh-CN" w:bidi="ar"/>
              </w:rPr>
              <w:t>67.28</w:t>
            </w:r>
            <w:r>
              <w:rPr>
                <w:rFonts w:hint="default" w:ascii="Times New Roman" w:hAnsi="Times New Roman" w:eastAsia="宋体" w:cs="Times New Roman"/>
                <w:color w:val="auto"/>
                <w:kern w:val="0"/>
                <w:sz w:val="24"/>
                <w:szCs w:val="24"/>
                <w:u w:val="none"/>
                <w:lang w:bidi="ar"/>
              </w:rPr>
              <w:t>=</w:t>
            </w:r>
            <w:r>
              <w:rPr>
                <w:rFonts w:hint="eastAsia" w:cs="Times New Roman"/>
                <w:color w:val="auto"/>
                <w:kern w:val="0"/>
                <w:sz w:val="24"/>
                <w:szCs w:val="24"/>
                <w:u w:val="none"/>
                <w:lang w:val="en-US" w:eastAsia="zh-CN" w:bidi="ar"/>
              </w:rPr>
              <w:t>66.323</w:t>
            </w:r>
            <w:r>
              <w:rPr>
                <w:rFonts w:hint="default" w:ascii="Times New Roman" w:hAnsi="Times New Roman" w:eastAsia="宋体" w:cs="Times New Roman"/>
                <w:color w:val="auto"/>
                <w:kern w:val="0"/>
                <w:sz w:val="24"/>
                <w:szCs w:val="24"/>
                <w:u w:val="none"/>
                <w:lang w:bidi="ar"/>
              </w:rPr>
              <w:t>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w:t>
            </w:r>
            <w:commentRangeStart w:id="108"/>
            <w:r>
              <w:rPr>
                <w:rFonts w:hint="default" w:ascii="Times New Roman" w:hAnsi="Times New Roman" w:eastAsia="宋体" w:cs="Times New Roman"/>
                <w:color w:val="auto"/>
                <w:kern w:val="0"/>
                <w:sz w:val="24"/>
                <w:szCs w:val="24"/>
                <w:u w:val="none"/>
                <w:lang w:bidi="ar"/>
              </w:rPr>
              <w:t>项目设计</w:t>
            </w:r>
            <w:r>
              <w:rPr>
                <w:rFonts w:hint="default" w:ascii="Times New Roman" w:hAnsi="Times New Roman" w:eastAsia="宋体" w:cs="Times New Roman"/>
                <w:color w:val="auto"/>
                <w:kern w:val="0"/>
                <w:sz w:val="24"/>
                <w:szCs w:val="24"/>
                <w:u w:val="none"/>
                <w:lang w:val="en-US" w:eastAsia="zh-CN" w:bidi="ar"/>
              </w:rPr>
              <w:t>1</w:t>
            </w:r>
            <w:r>
              <w:rPr>
                <w:rFonts w:hint="default" w:ascii="Times New Roman" w:hAnsi="Times New Roman" w:eastAsia="宋体" w:cs="Times New Roman"/>
                <w:color w:val="auto"/>
                <w:kern w:val="0"/>
                <w:sz w:val="24"/>
                <w:szCs w:val="24"/>
                <w:u w:val="none"/>
                <w:lang w:bidi="ar"/>
              </w:rPr>
              <w:t>座</w:t>
            </w:r>
            <w:r>
              <w:rPr>
                <w:rFonts w:hint="eastAsia" w:cs="Times New Roman"/>
                <w:color w:val="auto"/>
                <w:kern w:val="0"/>
                <w:sz w:val="24"/>
                <w:szCs w:val="24"/>
                <w:u w:val="none"/>
                <w:lang w:val="en-US" w:eastAsia="zh-CN" w:bidi="ar"/>
              </w:rPr>
              <w:t>50</w:t>
            </w:r>
            <w:r>
              <w:rPr>
                <w:rFonts w:hint="default" w:ascii="Times New Roman" w:hAnsi="Times New Roman" w:eastAsia="宋体" w:cs="Times New Roman"/>
                <w:color w:val="auto"/>
                <w:kern w:val="0"/>
                <w:sz w:val="24"/>
                <w:szCs w:val="24"/>
                <w:u w:val="none"/>
                <w:lang w:val="en-US" w:eastAsia="zh-CN" w:bidi="ar"/>
              </w:rPr>
              <w:t>0</w:t>
            </w:r>
            <w:r>
              <w:rPr>
                <w:rFonts w:hint="default" w:ascii="Times New Roman" w:hAnsi="Times New Roman" w:eastAsia="宋体" w:cs="Times New Roman"/>
                <w:color w:val="auto"/>
                <w:kern w:val="0"/>
                <w:sz w:val="24"/>
                <w:szCs w:val="24"/>
                <w:u w:val="none"/>
                <w:lang w:bidi="ar"/>
              </w:rPr>
              <w:t>m</w:t>
            </w:r>
            <w:r>
              <w:rPr>
                <w:rFonts w:hint="default" w:ascii="Times New Roman" w:hAnsi="Times New Roman" w:eastAsia="宋体" w:cs="Times New Roman"/>
                <w:color w:val="auto"/>
                <w:kern w:val="0"/>
                <w:sz w:val="24"/>
                <w:szCs w:val="24"/>
                <w:u w:val="none"/>
                <w:vertAlign w:val="superscript"/>
                <w:lang w:bidi="ar"/>
              </w:rPr>
              <w:t>3</w:t>
            </w:r>
            <w:r>
              <w:rPr>
                <w:rFonts w:hint="default" w:ascii="Times New Roman" w:hAnsi="Times New Roman" w:eastAsia="宋体" w:cs="Times New Roman"/>
                <w:color w:val="auto"/>
                <w:kern w:val="0"/>
                <w:sz w:val="24"/>
                <w:szCs w:val="24"/>
                <w:u w:val="none"/>
                <w:lang w:bidi="ar"/>
              </w:rPr>
              <w:t>事故水池，</w:t>
            </w:r>
            <w:commentRangeEnd w:id="108"/>
            <w:r>
              <w:commentReference w:id="108"/>
            </w:r>
            <w:r>
              <w:rPr>
                <w:rFonts w:hint="default" w:ascii="Times New Roman" w:hAnsi="Times New Roman" w:eastAsia="宋体" w:cs="Times New Roman"/>
                <w:color w:val="auto"/>
                <w:kern w:val="0"/>
                <w:sz w:val="24"/>
                <w:szCs w:val="24"/>
                <w:u w:val="none"/>
                <w:lang w:bidi="ar"/>
              </w:rPr>
              <w:t>事故池建设应按照《危险废物贮存污染控制标准》（GB18597-2023）中的相关要求做好防渗措施；生产车间和污水站应设置收集槽，以保证事故发生时，废水能够收集到事故池内。</w:t>
            </w:r>
          </w:p>
          <w:p w14:paraId="4ACE4D96">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kern w:val="0"/>
                <w:sz w:val="24"/>
                <w:szCs w:val="24"/>
                <w:u w:val="none"/>
                <w:lang w:bidi="ar"/>
              </w:rPr>
            </w:pPr>
            <w:r>
              <w:rPr>
                <w:rFonts w:hint="default" w:ascii="Times New Roman" w:hAnsi="Times New Roman" w:eastAsia="宋体" w:cs="Times New Roman"/>
                <w:color w:val="auto"/>
                <w:kern w:val="0"/>
                <w:sz w:val="24"/>
                <w:szCs w:val="24"/>
                <w:u w:val="none"/>
                <w:lang w:bidi="ar"/>
              </w:rPr>
              <w:t>当事故发生启用消防水系统时，应打开消防水导排系统，将消防废水引入事故池，将被污染的消防废水控制在厂区内。待事故结束后检测其水质，并咨询有关专家意见，将废水在厂区内收集处理，处理达标后再排入镇平县第二污水处理厂处理。</w:t>
            </w:r>
          </w:p>
          <w:p w14:paraId="79653377">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kern w:val="0"/>
                <w:sz w:val="24"/>
                <w:szCs w:val="24"/>
                <w:u w:val="none"/>
              </w:rPr>
            </w:pPr>
            <w:r>
              <w:rPr>
                <w:rFonts w:hint="default" w:ascii="Times New Roman" w:hAnsi="Times New Roman" w:eastAsia="宋体" w:cs="Times New Roman"/>
                <w:color w:val="auto"/>
                <w:kern w:val="0"/>
                <w:sz w:val="24"/>
                <w:szCs w:val="24"/>
                <w:u w:val="none"/>
              </w:rPr>
              <w:t>③污水处理设施制定严格的操作规范和管理制度，工作人员上岗前进行职业技能培训。</w:t>
            </w:r>
          </w:p>
          <w:p w14:paraId="5D86E6A8">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7.4.2风险应急要求</w:t>
            </w:r>
          </w:p>
          <w:p w14:paraId="244E9294">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（1）最早发现者应迅速报警。接警后迅速组织撤离泄漏污染区人员至安全区，并进行隔离，严格限制出入。切断火源、电源，并迅速通知应急救援中心采取相应救援措施。</w:t>
            </w:r>
          </w:p>
          <w:p w14:paraId="4991167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2）值班人员应尽可能的查明泄漏点、佩戴空气呼吸器、穿防毒服，进入现场采取堵漏措施，尽可能的降低事故程度。防止流入下水道、防洪沟等限制性空间。应急救援组和专业救援队伍到现场后，工作人员尽可能详细的向他们汇报现场情况。</w:t>
            </w:r>
          </w:p>
          <w:p w14:paraId="4239C6FF">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（3）若发生小量泄漏：用消防砂或其他惰性材料吸收。</w:t>
            </w:r>
          </w:p>
          <w:p w14:paraId="1E87EA09">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（4）若泄漏量大时，用泡沫覆盖，降低蒸汽灾害。喷雾状水或泡沫冷却和稀释蒸汽，保护现场人员。</w:t>
            </w:r>
          </w:p>
          <w:p w14:paraId="7BC3FB9E">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（5）事故不可控时，启动公司应急救援预案，本环评要求企业定期进行事故演练。</w:t>
            </w:r>
          </w:p>
          <w:p w14:paraId="0906880C">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（6）禁止使用金属器具敲打所泄漏管线和设备，避免二次事故的发生。</w:t>
            </w:r>
          </w:p>
          <w:p w14:paraId="5C8FB015">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（7）现场禁止吸烟，进食饮水。工作完毕后，沐浴更衣。</w:t>
            </w:r>
          </w:p>
          <w:p w14:paraId="7D6A0B94">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7.4.3风险应急预案</w:t>
            </w:r>
          </w:p>
          <w:p w14:paraId="6B7E47F5">
            <w:pPr>
              <w:keepNext w:val="0"/>
              <w:keepLines w:val="0"/>
              <w:pageBreakBefore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根据国家环保局（90）环管字第057号文《关于对重大环境污染事故隐患进行风险评价的通知》的要求，通过对污染事故的风险评价，各有关企业单位应加强安全生产管理，制定重大环境事故发生的应急预案，消除事故隐患的实施及突发性事故应急办法等。本项目应根据生产特点和事故隐患分析，制定突发事故应急预案，见下表。</w:t>
            </w:r>
          </w:p>
          <w:p w14:paraId="5BB69AA9">
            <w:pPr>
              <w:pStyle w:val="19"/>
              <w:ind w:firstLine="482"/>
              <w:jc w:val="center"/>
              <w:rPr>
                <w:rFonts w:hint="default" w:ascii="Times New Roman" w:hAnsi="Times New Roman" w:eastAsia="宋体" w:cs="Times New Roman"/>
                <w:b/>
                <w:bCs/>
                <w:color w:val="auto"/>
                <w:sz w:val="24"/>
                <w:szCs w:val="24"/>
                <w:u w:val="none"/>
              </w:rPr>
            </w:pPr>
            <w:r>
              <w:rPr>
                <w:rFonts w:hint="default" w:ascii="Times New Roman" w:hAnsi="Times New Roman" w:eastAsia="宋体" w:cs="Times New Roman"/>
                <w:b/>
                <w:bCs/>
                <w:color w:val="auto"/>
                <w:sz w:val="24"/>
                <w:szCs w:val="24"/>
                <w:u w:val="none"/>
              </w:rPr>
              <w:t>表4-</w:t>
            </w:r>
            <w:r>
              <w:rPr>
                <w:rFonts w:hint="eastAsia" w:ascii="Times New Roman" w:hAnsi="Times New Roman" w:cs="Times New Roman"/>
                <w:b/>
                <w:bCs/>
                <w:color w:val="auto"/>
                <w:sz w:val="24"/>
                <w:szCs w:val="24"/>
                <w:u w:val="none"/>
                <w:lang w:val="en-US" w:eastAsia="zh-CN"/>
              </w:rPr>
              <w:t>28</w:t>
            </w:r>
            <w:r>
              <w:rPr>
                <w:rFonts w:hint="default" w:ascii="Times New Roman" w:hAnsi="Times New Roman" w:eastAsia="宋体" w:cs="Times New Roman"/>
                <w:b/>
                <w:bCs/>
                <w:color w:val="auto"/>
                <w:sz w:val="24"/>
                <w:szCs w:val="24"/>
                <w:u w:val="none"/>
              </w:rPr>
              <w:t xml:space="preserve">  应急预案内容表</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2281"/>
              <w:gridCol w:w="6193"/>
            </w:tblGrid>
            <w:tr w14:paraId="58D8D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76B1543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序号</w:t>
                  </w:r>
                </w:p>
              </w:tc>
              <w:tc>
                <w:tcPr>
                  <w:tcW w:w="1230" w:type="pct"/>
                  <w:noWrap w:val="0"/>
                  <w:vAlign w:val="center"/>
                </w:tcPr>
                <w:p w14:paraId="6EE67F5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项目</w:t>
                  </w:r>
                </w:p>
              </w:tc>
              <w:tc>
                <w:tcPr>
                  <w:tcW w:w="3339" w:type="pct"/>
                  <w:noWrap w:val="0"/>
                  <w:vAlign w:val="center"/>
                </w:tcPr>
                <w:p w14:paraId="28B618A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内容及要求</w:t>
                  </w:r>
                </w:p>
              </w:tc>
            </w:tr>
            <w:tr w14:paraId="33EC8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C5DA1B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w:t>
                  </w:r>
                </w:p>
              </w:tc>
              <w:tc>
                <w:tcPr>
                  <w:tcW w:w="1230" w:type="pct"/>
                  <w:noWrap w:val="0"/>
                  <w:vAlign w:val="center"/>
                </w:tcPr>
                <w:p w14:paraId="06B3BE94">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应急计划区</w:t>
                  </w:r>
                </w:p>
              </w:tc>
              <w:tc>
                <w:tcPr>
                  <w:tcW w:w="3339" w:type="pct"/>
                  <w:noWrap w:val="0"/>
                  <w:vAlign w:val="center"/>
                </w:tcPr>
                <w:p w14:paraId="699217C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危险目标：危废暂存间、环境保护目标</w:t>
                  </w:r>
                </w:p>
              </w:tc>
            </w:tr>
            <w:tr w14:paraId="6BA4B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6B5E071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2</w:t>
                  </w:r>
                </w:p>
              </w:tc>
              <w:tc>
                <w:tcPr>
                  <w:tcW w:w="1230" w:type="pct"/>
                  <w:noWrap w:val="0"/>
                  <w:vAlign w:val="center"/>
                </w:tcPr>
                <w:p w14:paraId="68AC974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应急组织机构、人员</w:t>
                  </w:r>
                </w:p>
              </w:tc>
              <w:tc>
                <w:tcPr>
                  <w:tcW w:w="3339" w:type="pct"/>
                  <w:noWrap w:val="0"/>
                  <w:vAlign w:val="center"/>
                </w:tcPr>
                <w:p w14:paraId="1E9D3FD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工厂、地区应急组织机构、人员</w:t>
                  </w:r>
                </w:p>
              </w:tc>
            </w:tr>
            <w:tr w14:paraId="69A57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7A27BF2A">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3</w:t>
                  </w:r>
                </w:p>
              </w:tc>
              <w:tc>
                <w:tcPr>
                  <w:tcW w:w="1230" w:type="pct"/>
                  <w:noWrap w:val="0"/>
                  <w:vAlign w:val="center"/>
                </w:tcPr>
                <w:p w14:paraId="2C2A737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预案分级响应条件</w:t>
                  </w:r>
                </w:p>
              </w:tc>
              <w:tc>
                <w:tcPr>
                  <w:tcW w:w="3339" w:type="pct"/>
                  <w:noWrap w:val="0"/>
                  <w:vAlign w:val="center"/>
                </w:tcPr>
                <w:p w14:paraId="0E2FCB3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规定预案的级别及分级响应程序</w:t>
                  </w:r>
                </w:p>
              </w:tc>
            </w:tr>
            <w:tr w14:paraId="5CC1B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36424C3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4</w:t>
                  </w:r>
                </w:p>
              </w:tc>
              <w:tc>
                <w:tcPr>
                  <w:tcW w:w="1230" w:type="pct"/>
                  <w:noWrap w:val="0"/>
                  <w:vAlign w:val="center"/>
                </w:tcPr>
                <w:p w14:paraId="71FBA2E7">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应急救援保障</w:t>
                  </w:r>
                </w:p>
              </w:tc>
              <w:tc>
                <w:tcPr>
                  <w:tcW w:w="3339" w:type="pct"/>
                  <w:noWrap w:val="0"/>
                  <w:vAlign w:val="center"/>
                </w:tcPr>
                <w:p w14:paraId="78402DA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应急设施、设备与器材等</w:t>
                  </w:r>
                </w:p>
              </w:tc>
            </w:tr>
            <w:tr w14:paraId="09CEC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04E2022">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5</w:t>
                  </w:r>
                </w:p>
              </w:tc>
              <w:tc>
                <w:tcPr>
                  <w:tcW w:w="1230" w:type="pct"/>
                  <w:noWrap w:val="0"/>
                  <w:vAlign w:val="center"/>
                </w:tcPr>
                <w:p w14:paraId="517CD64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报警、通讯联络方式</w:t>
                  </w:r>
                </w:p>
              </w:tc>
              <w:tc>
                <w:tcPr>
                  <w:tcW w:w="3339" w:type="pct"/>
                  <w:noWrap w:val="0"/>
                  <w:vAlign w:val="center"/>
                </w:tcPr>
                <w:p w14:paraId="24D4B0B8">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规定应急状态下的报警通讯方式，通知方式和交通保障、管制</w:t>
                  </w:r>
                </w:p>
              </w:tc>
            </w:tr>
            <w:tr w14:paraId="73202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5FF1AD9D">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6</w:t>
                  </w:r>
                </w:p>
              </w:tc>
              <w:tc>
                <w:tcPr>
                  <w:tcW w:w="1230" w:type="pct"/>
                  <w:noWrap w:val="0"/>
                  <w:vAlign w:val="center"/>
                </w:tcPr>
                <w:p w14:paraId="33A17CD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应急环境监测、抢险、救援及控制措施</w:t>
                  </w:r>
                </w:p>
              </w:tc>
              <w:tc>
                <w:tcPr>
                  <w:tcW w:w="3339" w:type="pct"/>
                  <w:noWrap w:val="0"/>
                  <w:vAlign w:val="center"/>
                </w:tcPr>
                <w:p w14:paraId="0469C3B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由专业队伍负责对事故现场进行侦查监测，对事故性质、参数与后果进行评估，为指挥部门提供决策依据</w:t>
                  </w:r>
                </w:p>
              </w:tc>
            </w:tr>
            <w:tr w14:paraId="0ADCE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0930073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7</w:t>
                  </w:r>
                </w:p>
              </w:tc>
              <w:tc>
                <w:tcPr>
                  <w:tcW w:w="1230" w:type="pct"/>
                  <w:noWrap w:val="0"/>
                  <w:vAlign w:val="center"/>
                </w:tcPr>
                <w:p w14:paraId="2D07C2C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应急检测、防护措施、清除措施和器材</w:t>
                  </w:r>
                </w:p>
              </w:tc>
              <w:tc>
                <w:tcPr>
                  <w:tcW w:w="3339" w:type="pct"/>
                  <w:noWrap w:val="0"/>
                  <w:vAlign w:val="center"/>
                </w:tcPr>
                <w:p w14:paraId="589C3F4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事故现场、邻近区域、控制防火区域、控制和清除污染措施及相应设备</w:t>
                  </w:r>
                </w:p>
              </w:tc>
            </w:tr>
            <w:tr w14:paraId="0B6E0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3C0EE56">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8</w:t>
                  </w:r>
                </w:p>
              </w:tc>
              <w:tc>
                <w:tcPr>
                  <w:tcW w:w="1230" w:type="pct"/>
                  <w:noWrap w:val="0"/>
                  <w:vAlign w:val="center"/>
                </w:tcPr>
                <w:p w14:paraId="4FC0C06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人员紧急撤离、疏散，应急剂量控制、撤离组织计划</w:t>
                  </w:r>
                </w:p>
              </w:tc>
              <w:tc>
                <w:tcPr>
                  <w:tcW w:w="3339" w:type="pct"/>
                  <w:noWrap w:val="0"/>
                  <w:vAlign w:val="center"/>
                </w:tcPr>
                <w:p w14:paraId="183DAEFC">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事故现场、工厂邻近区、受事故影响的区域人员及公众对毒物应急剂量控制规定，撤离组织计划及救护，医疗救护与公众健康</w:t>
                  </w:r>
                </w:p>
              </w:tc>
            </w:tr>
            <w:tr w14:paraId="6954D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3C3083C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9</w:t>
                  </w:r>
                </w:p>
              </w:tc>
              <w:tc>
                <w:tcPr>
                  <w:tcW w:w="1230" w:type="pct"/>
                  <w:noWrap w:val="0"/>
                  <w:vAlign w:val="center"/>
                </w:tcPr>
                <w:p w14:paraId="2C77DD19">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事故应急救援关闭程序与恢复措施</w:t>
                  </w:r>
                </w:p>
              </w:tc>
              <w:tc>
                <w:tcPr>
                  <w:tcW w:w="3339" w:type="pct"/>
                  <w:noWrap w:val="0"/>
                  <w:vAlign w:val="center"/>
                </w:tcPr>
                <w:p w14:paraId="7A3D3CE3">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规定应急状态终止程序；事故现场善后处理，恢复措施；邻近区域解除事故警戒及善后恢复措施</w:t>
                  </w:r>
                </w:p>
              </w:tc>
            </w:tr>
            <w:tr w14:paraId="35AE3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79387AB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10</w:t>
                  </w:r>
                </w:p>
              </w:tc>
              <w:tc>
                <w:tcPr>
                  <w:tcW w:w="1230" w:type="pct"/>
                  <w:noWrap w:val="0"/>
                  <w:vAlign w:val="center"/>
                </w:tcPr>
                <w:p w14:paraId="5129E1E0">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应急培训计划</w:t>
                  </w:r>
                </w:p>
              </w:tc>
              <w:tc>
                <w:tcPr>
                  <w:tcW w:w="3339" w:type="pct"/>
                  <w:noWrap w:val="0"/>
                  <w:vAlign w:val="center"/>
                </w:tcPr>
                <w:p w14:paraId="19854B9F">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应急计划制定后，平时安排人员培训与演练</w:t>
                  </w:r>
                </w:p>
              </w:tc>
            </w:tr>
            <w:tr w14:paraId="3186B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noWrap w:val="0"/>
                  <w:vAlign w:val="center"/>
                </w:tcPr>
                <w:p w14:paraId="4C7ADD75">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11</w:t>
                  </w:r>
                </w:p>
              </w:tc>
              <w:tc>
                <w:tcPr>
                  <w:tcW w:w="1230" w:type="pct"/>
                  <w:noWrap w:val="0"/>
                  <w:vAlign w:val="center"/>
                </w:tcPr>
                <w:p w14:paraId="234AC35E">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公众教育和信息</w:t>
                  </w:r>
                </w:p>
              </w:tc>
              <w:tc>
                <w:tcPr>
                  <w:tcW w:w="3339" w:type="pct"/>
                  <w:noWrap w:val="0"/>
                  <w:vAlign w:val="center"/>
                </w:tcPr>
                <w:p w14:paraId="1DFEA011">
                  <w:pPr>
                    <w:keepNext w:val="0"/>
                    <w:keepLines w:val="0"/>
                    <w:pageBreakBefore w:val="0"/>
                    <w:widowControl w:val="0"/>
                    <w:kinsoku/>
                    <w:wordWrap/>
                    <w:overflowPunct/>
                    <w:topLinePunct w:val="0"/>
                    <w:autoSpaceDE/>
                    <w:autoSpaceDN/>
                    <w:bidi w:val="0"/>
                    <w:adjustRightInd/>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对工厂邻近地区开展公众教育、培训和发布有关信息</w:t>
                  </w:r>
                </w:p>
              </w:tc>
            </w:tr>
          </w:tbl>
          <w:p w14:paraId="1D7A249C">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7.5分析结论</w:t>
            </w:r>
          </w:p>
          <w:p w14:paraId="496E778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rPr>
              <w:t>综上所述，本项目营运期涉及的主要风险物质为</w:t>
            </w:r>
            <w:r>
              <w:rPr>
                <w:rFonts w:hint="eastAsia" w:cs="Times New Roman"/>
                <w:color w:val="auto"/>
                <w:sz w:val="24"/>
                <w:szCs w:val="24"/>
                <w:u w:val="none"/>
                <w:lang w:val="en-US" w:eastAsia="zh-CN"/>
              </w:rPr>
              <w:t>天然气、</w:t>
            </w:r>
            <w:r>
              <w:rPr>
                <w:rFonts w:hint="default" w:ascii="Times New Roman" w:hAnsi="Times New Roman" w:eastAsia="宋体" w:cs="Times New Roman"/>
                <w:color w:val="auto"/>
                <w:sz w:val="24"/>
                <w:szCs w:val="24"/>
                <w:u w:val="none"/>
              </w:rPr>
              <w:t>润滑油</w:t>
            </w:r>
            <w:r>
              <w:rPr>
                <w:rFonts w:hint="eastAsia" w:cs="Times New Roman"/>
                <w:color w:val="auto"/>
                <w:sz w:val="24"/>
                <w:szCs w:val="24"/>
                <w:u w:val="none"/>
                <w:lang w:val="en-US" w:eastAsia="zh-CN"/>
              </w:rPr>
              <w:t>等</w:t>
            </w:r>
            <w:r>
              <w:rPr>
                <w:rFonts w:hint="default" w:ascii="Times New Roman" w:hAnsi="Times New Roman" w:eastAsia="宋体" w:cs="Times New Roman"/>
                <w:color w:val="auto"/>
                <w:sz w:val="24"/>
                <w:szCs w:val="24"/>
                <w:u w:val="none"/>
              </w:rPr>
              <w:t>，在落实本次环评提出的风险防范措施后，其发生事故的概率降低，环境危害较小，环境风险影响可以接受。</w:t>
            </w:r>
          </w:p>
          <w:p w14:paraId="70149A0E">
            <w:pPr>
              <w:tabs>
                <w:tab w:val="left" w:pos="1081"/>
              </w:tabs>
              <w:adjustRightInd w:val="0"/>
              <w:snapToGrid w:val="0"/>
              <w:ind w:firstLine="482" w:firstLineChars="200"/>
              <w:jc w:val="center"/>
              <w:rPr>
                <w:rFonts w:hint="default" w:ascii="Times New Roman" w:hAnsi="Times New Roman" w:eastAsia="宋体" w:cs="Times New Roman"/>
                <w:b/>
                <w:bCs/>
                <w:color w:val="auto"/>
                <w:sz w:val="24"/>
                <w:szCs w:val="24"/>
                <w:u w:val="none"/>
                <w:lang w:val="en-GB"/>
              </w:rPr>
            </w:pPr>
            <w:r>
              <w:rPr>
                <w:rFonts w:hint="default" w:ascii="Times New Roman" w:hAnsi="Times New Roman" w:eastAsia="宋体" w:cs="Times New Roman"/>
                <w:b/>
                <w:bCs/>
                <w:color w:val="auto"/>
                <w:sz w:val="24"/>
                <w:szCs w:val="24"/>
                <w:u w:val="none"/>
                <w:lang w:val="en-GB"/>
              </w:rPr>
              <w:t>表4-</w:t>
            </w:r>
            <w:r>
              <w:rPr>
                <w:rFonts w:hint="eastAsia" w:cs="Times New Roman"/>
                <w:b/>
                <w:bCs/>
                <w:color w:val="auto"/>
                <w:sz w:val="24"/>
                <w:szCs w:val="24"/>
                <w:u w:val="none"/>
                <w:lang w:val="en-US" w:eastAsia="zh-CN"/>
              </w:rPr>
              <w:t>29</w:t>
            </w:r>
            <w:r>
              <w:rPr>
                <w:rFonts w:hint="default" w:ascii="Times New Roman" w:hAnsi="Times New Roman" w:eastAsia="宋体" w:cs="Times New Roman"/>
                <w:b/>
                <w:bCs/>
                <w:color w:val="auto"/>
                <w:sz w:val="24"/>
                <w:szCs w:val="24"/>
                <w:u w:val="none"/>
                <w:lang w:val="en-GB"/>
              </w:rPr>
              <w:t xml:space="preserve">  环境风险简单分析内容表</w:t>
            </w:r>
          </w:p>
          <w:tbl>
            <w:tblPr>
              <w:tblStyle w:val="20"/>
              <w:tblW w:w="499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02"/>
              <w:gridCol w:w="1530"/>
              <w:gridCol w:w="2518"/>
              <w:gridCol w:w="892"/>
              <w:gridCol w:w="2729"/>
            </w:tblGrid>
            <w:tr w14:paraId="10CB59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78F067B6">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8"/>
                      <w:sz w:val="21"/>
                      <w:szCs w:val="21"/>
                      <w:highlight w:val="none"/>
                      <w:u w:val="none"/>
                    </w:rPr>
                    <w:t>项</w:t>
                  </w:r>
                  <w:r>
                    <w:rPr>
                      <w:rFonts w:hint="default" w:ascii="Times New Roman" w:hAnsi="Times New Roman" w:eastAsia="宋体" w:cs="Times New Roman"/>
                      <w:color w:val="auto"/>
                      <w:spacing w:val="6"/>
                      <w:sz w:val="21"/>
                      <w:szCs w:val="21"/>
                      <w:highlight w:val="none"/>
                      <w:u w:val="none"/>
                    </w:rPr>
                    <w:t>目名称</w:t>
                  </w:r>
                </w:p>
              </w:tc>
              <w:tc>
                <w:tcPr>
                  <w:tcW w:w="4135" w:type="pct"/>
                  <w:gridSpan w:val="4"/>
                  <w:noWrap w:val="0"/>
                  <w:vAlign w:val="center"/>
                </w:tcPr>
                <w:p w14:paraId="7EDC45FD">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上口香智能化中央厨房项目</w:t>
                  </w:r>
                </w:p>
              </w:tc>
            </w:tr>
            <w:tr w14:paraId="5CE286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20C78BAB">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9"/>
                      <w:sz w:val="21"/>
                      <w:szCs w:val="21"/>
                      <w:highlight w:val="none"/>
                      <w:u w:val="none"/>
                    </w:rPr>
                    <w:t>建</w:t>
                  </w:r>
                  <w:r>
                    <w:rPr>
                      <w:rFonts w:hint="default" w:ascii="Times New Roman" w:hAnsi="Times New Roman" w:eastAsia="宋体" w:cs="Times New Roman"/>
                      <w:color w:val="auto"/>
                      <w:spacing w:val="6"/>
                      <w:sz w:val="21"/>
                      <w:szCs w:val="21"/>
                      <w:highlight w:val="none"/>
                      <w:u w:val="none"/>
                    </w:rPr>
                    <w:t>设地点</w:t>
                  </w:r>
                </w:p>
              </w:tc>
              <w:tc>
                <w:tcPr>
                  <w:tcW w:w="4135" w:type="pct"/>
                  <w:gridSpan w:val="4"/>
                  <w:noWrap w:val="0"/>
                  <w:vAlign w:val="center"/>
                </w:tcPr>
                <w:p w14:paraId="3EE22639">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南阳市镇平县乡村振兴创业园4号楼1楼南</w:t>
                  </w:r>
                </w:p>
              </w:tc>
            </w:tr>
            <w:tr w14:paraId="2E55FD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654D3D35">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8"/>
                      <w:sz w:val="21"/>
                      <w:szCs w:val="21"/>
                      <w:highlight w:val="none"/>
                      <w:u w:val="none"/>
                    </w:rPr>
                    <w:t>地</w:t>
                  </w:r>
                  <w:r>
                    <w:rPr>
                      <w:rFonts w:hint="default" w:ascii="Times New Roman" w:hAnsi="Times New Roman" w:eastAsia="宋体" w:cs="Times New Roman"/>
                      <w:color w:val="auto"/>
                      <w:spacing w:val="7"/>
                      <w:sz w:val="21"/>
                      <w:szCs w:val="21"/>
                      <w:highlight w:val="none"/>
                      <w:u w:val="none"/>
                    </w:rPr>
                    <w:t>理坐标</w:t>
                  </w:r>
                </w:p>
              </w:tc>
              <w:tc>
                <w:tcPr>
                  <w:tcW w:w="825" w:type="pct"/>
                  <w:noWrap w:val="0"/>
                  <w:vAlign w:val="center"/>
                </w:tcPr>
                <w:p w14:paraId="3532F6B6">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4"/>
                      <w:sz w:val="21"/>
                      <w:szCs w:val="21"/>
                      <w:highlight w:val="none"/>
                      <w:u w:val="none"/>
                    </w:rPr>
                    <w:t>经</w:t>
                  </w:r>
                  <w:r>
                    <w:rPr>
                      <w:rFonts w:hint="default" w:ascii="Times New Roman" w:hAnsi="Times New Roman" w:eastAsia="宋体" w:cs="Times New Roman"/>
                      <w:color w:val="auto"/>
                      <w:spacing w:val="3"/>
                      <w:sz w:val="21"/>
                      <w:szCs w:val="21"/>
                      <w:highlight w:val="none"/>
                      <w:u w:val="none"/>
                    </w:rPr>
                    <w:t>度</w:t>
                  </w:r>
                </w:p>
              </w:tc>
              <w:tc>
                <w:tcPr>
                  <w:tcW w:w="1358" w:type="pct"/>
                  <w:noWrap w:val="0"/>
                  <w:vAlign w:val="center"/>
                </w:tcPr>
                <w:p w14:paraId="788851AF">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112度</w:t>
                  </w:r>
                  <w:r>
                    <w:rPr>
                      <w:rFonts w:hint="default" w:ascii="Times New Roman" w:hAnsi="Times New Roman" w:eastAsia="宋体" w:cs="Times New Roman"/>
                      <w:color w:val="auto"/>
                      <w:sz w:val="21"/>
                      <w:szCs w:val="21"/>
                      <w:highlight w:val="none"/>
                      <w:u w:val="none"/>
                      <w:lang w:val="en-US" w:eastAsia="zh-CN"/>
                    </w:rPr>
                    <w:t>12</w:t>
                  </w:r>
                  <w:r>
                    <w:rPr>
                      <w:rFonts w:hint="default" w:ascii="Times New Roman" w:hAnsi="Times New Roman" w:eastAsia="宋体" w:cs="Times New Roman"/>
                      <w:color w:val="auto"/>
                      <w:sz w:val="21"/>
                      <w:szCs w:val="21"/>
                      <w:highlight w:val="none"/>
                      <w:u w:val="none"/>
                    </w:rPr>
                    <w:t>分</w:t>
                  </w:r>
                  <w:r>
                    <w:rPr>
                      <w:rFonts w:hint="default" w:ascii="Times New Roman" w:hAnsi="Times New Roman" w:eastAsia="宋体" w:cs="Times New Roman"/>
                      <w:color w:val="auto"/>
                      <w:sz w:val="21"/>
                      <w:szCs w:val="21"/>
                      <w:highlight w:val="none"/>
                      <w:u w:val="none"/>
                      <w:lang w:val="en-US" w:eastAsia="zh-CN"/>
                    </w:rPr>
                    <w:t>32.912</w:t>
                  </w:r>
                  <w:r>
                    <w:rPr>
                      <w:rFonts w:hint="default" w:ascii="Times New Roman" w:hAnsi="Times New Roman" w:eastAsia="宋体" w:cs="Times New Roman"/>
                      <w:color w:val="auto"/>
                      <w:sz w:val="21"/>
                      <w:szCs w:val="21"/>
                      <w:highlight w:val="none"/>
                      <w:u w:val="none"/>
                    </w:rPr>
                    <w:t>秒</w:t>
                  </w:r>
                </w:p>
              </w:tc>
              <w:tc>
                <w:tcPr>
                  <w:tcW w:w="481" w:type="pct"/>
                  <w:noWrap w:val="0"/>
                  <w:vAlign w:val="center"/>
                </w:tcPr>
                <w:p w14:paraId="608F9EC7">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4"/>
                      <w:sz w:val="21"/>
                      <w:szCs w:val="21"/>
                      <w:highlight w:val="none"/>
                      <w:u w:val="none"/>
                    </w:rPr>
                    <w:t>纬度</w:t>
                  </w:r>
                </w:p>
              </w:tc>
              <w:tc>
                <w:tcPr>
                  <w:tcW w:w="1470" w:type="pct"/>
                  <w:noWrap w:val="0"/>
                  <w:vAlign w:val="center"/>
                </w:tcPr>
                <w:p w14:paraId="59E3C5FD">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3</w:t>
                  </w:r>
                  <w:r>
                    <w:rPr>
                      <w:rFonts w:hint="default" w:ascii="Times New Roman" w:hAnsi="Times New Roman" w:eastAsia="宋体" w:cs="Times New Roman"/>
                      <w:color w:val="auto"/>
                      <w:sz w:val="21"/>
                      <w:szCs w:val="21"/>
                      <w:highlight w:val="none"/>
                      <w:u w:val="none"/>
                      <w:lang w:val="en-US" w:eastAsia="zh-CN"/>
                    </w:rPr>
                    <w:t>3</w:t>
                  </w:r>
                  <w:r>
                    <w:rPr>
                      <w:rFonts w:hint="default" w:ascii="Times New Roman" w:hAnsi="Times New Roman" w:eastAsia="宋体" w:cs="Times New Roman"/>
                      <w:color w:val="auto"/>
                      <w:sz w:val="21"/>
                      <w:szCs w:val="21"/>
                      <w:highlight w:val="none"/>
                      <w:u w:val="none"/>
                    </w:rPr>
                    <w:t>度</w:t>
                  </w:r>
                  <w:r>
                    <w:rPr>
                      <w:rFonts w:hint="default" w:ascii="Times New Roman" w:hAnsi="Times New Roman" w:eastAsia="宋体" w:cs="Times New Roman"/>
                      <w:color w:val="auto"/>
                      <w:sz w:val="21"/>
                      <w:szCs w:val="21"/>
                      <w:highlight w:val="none"/>
                      <w:u w:val="none"/>
                      <w:lang w:val="en-US" w:eastAsia="zh-CN"/>
                    </w:rPr>
                    <w:t>03</w:t>
                  </w:r>
                  <w:r>
                    <w:rPr>
                      <w:rFonts w:hint="default" w:ascii="Times New Roman" w:hAnsi="Times New Roman" w:eastAsia="宋体" w:cs="Times New Roman"/>
                      <w:color w:val="auto"/>
                      <w:sz w:val="21"/>
                      <w:szCs w:val="21"/>
                      <w:highlight w:val="none"/>
                      <w:u w:val="none"/>
                    </w:rPr>
                    <w:t>分</w:t>
                  </w:r>
                  <w:r>
                    <w:rPr>
                      <w:rFonts w:hint="default" w:ascii="Times New Roman" w:hAnsi="Times New Roman" w:eastAsia="宋体" w:cs="Times New Roman"/>
                      <w:color w:val="auto"/>
                      <w:sz w:val="21"/>
                      <w:szCs w:val="21"/>
                      <w:highlight w:val="none"/>
                      <w:u w:val="none"/>
                      <w:lang w:val="en-US" w:eastAsia="zh-CN"/>
                    </w:rPr>
                    <w:t>41.717</w:t>
                  </w:r>
                  <w:r>
                    <w:rPr>
                      <w:rFonts w:hint="default" w:ascii="Times New Roman" w:hAnsi="Times New Roman" w:eastAsia="宋体" w:cs="Times New Roman"/>
                      <w:color w:val="auto"/>
                      <w:sz w:val="21"/>
                      <w:szCs w:val="21"/>
                      <w:highlight w:val="none"/>
                      <w:u w:val="none"/>
                    </w:rPr>
                    <w:t>秒</w:t>
                  </w:r>
                </w:p>
              </w:tc>
            </w:tr>
            <w:tr w14:paraId="424F29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771E2244">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8"/>
                      <w:sz w:val="21"/>
                      <w:szCs w:val="21"/>
                      <w:highlight w:val="none"/>
                      <w:u w:val="none"/>
                    </w:rPr>
                    <w:t>主要危险</w:t>
                  </w:r>
                  <w:r>
                    <w:rPr>
                      <w:rFonts w:hint="default" w:ascii="Times New Roman" w:hAnsi="Times New Roman" w:eastAsia="宋体" w:cs="Times New Roman"/>
                      <w:color w:val="auto"/>
                      <w:spacing w:val="7"/>
                      <w:sz w:val="21"/>
                      <w:szCs w:val="21"/>
                      <w:highlight w:val="none"/>
                      <w:u w:val="none"/>
                    </w:rPr>
                    <w:t>物质及分布</w:t>
                  </w:r>
                </w:p>
              </w:tc>
              <w:tc>
                <w:tcPr>
                  <w:tcW w:w="4135" w:type="pct"/>
                  <w:gridSpan w:val="4"/>
                  <w:noWrap w:val="0"/>
                  <w:vAlign w:val="center"/>
                </w:tcPr>
                <w:p w14:paraId="59C45207">
                  <w:pPr>
                    <w:keepNext w:val="0"/>
                    <w:keepLines w:val="0"/>
                    <w:pageBreakBefore w:val="0"/>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GB" w:eastAsia="zh-CN"/>
                    </w:rPr>
                    <w:t>润滑油、天然气</w:t>
                  </w:r>
                  <w:r>
                    <w:rPr>
                      <w:rFonts w:hint="default" w:ascii="Times New Roman" w:hAnsi="Times New Roman" w:eastAsia="宋体" w:cs="Times New Roman"/>
                      <w:color w:val="auto"/>
                      <w:sz w:val="21"/>
                      <w:szCs w:val="21"/>
                      <w:highlight w:val="none"/>
                      <w:u w:val="none"/>
                    </w:rPr>
                    <w:t>等物料储存和使用，如遇</w:t>
                  </w:r>
                  <w:r>
                    <w:rPr>
                      <w:rFonts w:hint="default" w:ascii="Times New Roman" w:hAnsi="Times New Roman" w:eastAsia="宋体" w:cs="Times New Roman"/>
                      <w:color w:val="auto"/>
                      <w:sz w:val="21"/>
                      <w:szCs w:val="21"/>
                      <w:highlight w:val="none"/>
                      <w:u w:val="none"/>
                      <w:lang w:val="en-GB"/>
                    </w:rPr>
                    <w:t>易燃物质或明火等可能引起火灾</w:t>
                  </w: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val="en-US" w:eastAsia="zh-CN"/>
                    </w:rPr>
                    <w:t>废水治理设施污泥、废润滑油及润滑油桶</w:t>
                  </w:r>
                  <w:r>
                    <w:rPr>
                      <w:rFonts w:hint="default" w:ascii="Times New Roman" w:hAnsi="Times New Roman" w:eastAsia="宋体" w:cs="Times New Roman"/>
                      <w:color w:val="auto"/>
                      <w:sz w:val="21"/>
                      <w:szCs w:val="21"/>
                      <w:highlight w:val="none"/>
                      <w:u w:val="none"/>
                    </w:rPr>
                    <w:t>等危险废物的储存对周边地表水、土壤、地下水环境造成的风险影响</w:t>
                  </w:r>
                  <w:r>
                    <w:rPr>
                      <w:rFonts w:hint="eastAsia"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rPr>
                    <w:t>污水处理设施事故排放对地表水、地下水影响</w:t>
                  </w:r>
                  <w:r>
                    <w:rPr>
                      <w:rFonts w:hint="default" w:ascii="Times New Roman" w:hAnsi="Times New Roman" w:eastAsia="宋体" w:cs="Times New Roman"/>
                      <w:color w:val="auto"/>
                      <w:sz w:val="21"/>
                      <w:szCs w:val="21"/>
                      <w:highlight w:val="none"/>
                      <w:u w:val="none"/>
                      <w:lang w:val="en-US" w:eastAsia="zh-CN"/>
                    </w:rPr>
                    <w:t>以及</w:t>
                  </w:r>
                  <w:r>
                    <w:rPr>
                      <w:rFonts w:hint="default" w:ascii="Times New Roman" w:hAnsi="Times New Roman" w:eastAsia="宋体" w:cs="Times New Roman"/>
                      <w:color w:val="auto"/>
                      <w:sz w:val="21"/>
                      <w:szCs w:val="21"/>
                      <w:highlight w:val="none"/>
                      <w:u w:val="none"/>
                    </w:rPr>
                    <w:t>污水处理设施废水渗漏对土壤及地下水环境造成污染</w:t>
                  </w:r>
                  <w:r>
                    <w:rPr>
                      <w:rFonts w:hint="eastAsia" w:ascii="Times New Roman" w:hAnsi="Times New Roman" w:eastAsia="宋体" w:cs="Times New Roman"/>
                      <w:color w:val="auto"/>
                      <w:sz w:val="21"/>
                      <w:szCs w:val="21"/>
                      <w:highlight w:val="none"/>
                      <w:u w:val="none"/>
                      <w:lang w:eastAsia="zh-CN"/>
                    </w:rPr>
                    <w:t>；</w:t>
                  </w:r>
                  <w:r>
                    <w:rPr>
                      <w:rFonts w:hint="default" w:ascii="Times New Roman" w:hAnsi="Times New Roman" w:eastAsia="宋体" w:cs="Times New Roman"/>
                      <w:color w:val="auto"/>
                      <w:sz w:val="21"/>
                      <w:szCs w:val="21"/>
                      <w:highlight w:val="none"/>
                      <w:u w:val="none"/>
                      <w:lang w:val="en-GB"/>
                    </w:rPr>
                    <w:t>天然气输送阀门管道破损，局部气体浓度过高引起人员中毒窒息，遇明火可引发火灾，甚至造成爆炸事故</w:t>
                  </w:r>
                  <w:r>
                    <w:rPr>
                      <w:rFonts w:hint="default" w:ascii="Times New Roman" w:hAnsi="Times New Roman" w:eastAsia="宋体" w:cs="Times New Roman"/>
                      <w:color w:val="auto"/>
                      <w:sz w:val="21"/>
                      <w:szCs w:val="21"/>
                      <w:highlight w:val="none"/>
                      <w:u w:val="none"/>
                      <w:lang w:val="en-GB" w:eastAsia="zh-CN"/>
                    </w:rPr>
                    <w:t>。</w:t>
                  </w:r>
                </w:p>
              </w:tc>
            </w:tr>
            <w:tr w14:paraId="5260B1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39B89035">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pacing w:val="9"/>
                      <w:sz w:val="21"/>
                      <w:szCs w:val="21"/>
                      <w:highlight w:val="none"/>
                      <w:u w:val="none"/>
                    </w:rPr>
                    <w:t>环</w:t>
                  </w:r>
                  <w:r>
                    <w:rPr>
                      <w:rFonts w:hint="default" w:ascii="Times New Roman" w:hAnsi="Times New Roman" w:eastAsia="宋体" w:cs="Times New Roman"/>
                      <w:color w:val="auto"/>
                      <w:spacing w:val="8"/>
                      <w:sz w:val="21"/>
                      <w:szCs w:val="21"/>
                      <w:highlight w:val="none"/>
                      <w:u w:val="none"/>
                    </w:rPr>
                    <w:t>境影响途径</w:t>
                  </w:r>
                  <w:r>
                    <w:rPr>
                      <w:rFonts w:hint="default" w:ascii="Times New Roman" w:hAnsi="Times New Roman" w:eastAsia="宋体" w:cs="Times New Roman"/>
                      <w:color w:val="auto"/>
                      <w:spacing w:val="15"/>
                      <w:sz w:val="21"/>
                      <w:szCs w:val="21"/>
                      <w:highlight w:val="none"/>
                      <w:u w:val="none"/>
                    </w:rPr>
                    <w:t>及危害后果(</w:t>
                  </w:r>
                  <w:r>
                    <w:rPr>
                      <w:rFonts w:hint="default" w:ascii="Times New Roman" w:hAnsi="Times New Roman" w:eastAsia="宋体" w:cs="Times New Roman"/>
                      <w:color w:val="auto"/>
                      <w:spacing w:val="14"/>
                      <w:sz w:val="21"/>
                      <w:szCs w:val="21"/>
                      <w:highlight w:val="none"/>
                      <w:u w:val="none"/>
                    </w:rPr>
                    <w:t>大</w:t>
                  </w:r>
                  <w:r>
                    <w:rPr>
                      <w:rFonts w:hint="default" w:ascii="Times New Roman" w:hAnsi="Times New Roman" w:eastAsia="宋体" w:cs="Times New Roman"/>
                      <w:color w:val="auto"/>
                      <w:spacing w:val="1"/>
                      <w:sz w:val="21"/>
                      <w:szCs w:val="21"/>
                      <w:highlight w:val="none"/>
                      <w:u w:val="none"/>
                    </w:rPr>
                    <w:t>气、地表</w:t>
                  </w:r>
                  <w:r>
                    <w:rPr>
                      <w:rFonts w:hint="default" w:ascii="Times New Roman" w:hAnsi="Times New Roman" w:eastAsia="宋体" w:cs="Times New Roman"/>
                      <w:color w:val="auto"/>
                      <w:sz w:val="21"/>
                      <w:szCs w:val="21"/>
                      <w:highlight w:val="none"/>
                      <w:u w:val="none"/>
                    </w:rPr>
                    <w:t>水、地</w:t>
                  </w:r>
                  <w:r>
                    <w:rPr>
                      <w:rFonts w:hint="default" w:ascii="Times New Roman" w:hAnsi="Times New Roman" w:eastAsia="宋体" w:cs="Times New Roman"/>
                      <w:color w:val="auto"/>
                      <w:spacing w:val="7"/>
                      <w:sz w:val="21"/>
                      <w:szCs w:val="21"/>
                      <w:highlight w:val="none"/>
                      <w:u w:val="none"/>
                    </w:rPr>
                    <w:t>下</w:t>
                  </w:r>
                  <w:r>
                    <w:rPr>
                      <w:rFonts w:hint="default" w:ascii="Times New Roman" w:hAnsi="Times New Roman" w:eastAsia="宋体" w:cs="Times New Roman"/>
                      <w:color w:val="auto"/>
                      <w:spacing w:val="6"/>
                      <w:sz w:val="21"/>
                      <w:szCs w:val="21"/>
                      <w:highlight w:val="none"/>
                      <w:u w:val="none"/>
                    </w:rPr>
                    <w:t>水、土壤等)</w:t>
                  </w:r>
                </w:p>
              </w:tc>
              <w:tc>
                <w:tcPr>
                  <w:tcW w:w="4135" w:type="pct"/>
                  <w:gridSpan w:val="4"/>
                  <w:noWrap w:val="0"/>
                  <w:vAlign w:val="center"/>
                </w:tcPr>
                <w:p w14:paraId="6595B461">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（1）生产原料泄露</w:t>
                  </w:r>
                </w:p>
                <w:p w14:paraId="42D32994">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14:textFill>
                        <w14:solidFill>
                          <w14:schemeClr w14:val="tx1"/>
                        </w14:solidFill>
                      </w14:textFill>
                    </w:rPr>
                    <w:t>项目原料</w:t>
                  </w:r>
                  <w:r>
                    <w:rPr>
                      <w:rFonts w:hint="eastAsia" w:cs="Times New Roman"/>
                      <w:color w:val="000000" w:themeColor="text1"/>
                      <w:sz w:val="21"/>
                      <w:szCs w:val="21"/>
                      <w:u w:val="none"/>
                      <w:lang w:val="en-US" w:eastAsia="zh-CN"/>
                      <w14:textFill>
                        <w14:solidFill>
                          <w14:schemeClr w14:val="tx1"/>
                        </w14:solidFill>
                      </w14:textFill>
                    </w:rPr>
                    <w:t>润滑油</w:t>
                  </w:r>
                  <w:r>
                    <w:rPr>
                      <w:rFonts w:hint="eastAsia"/>
                      <w:color w:val="000000" w:themeColor="text1"/>
                      <w:sz w:val="21"/>
                      <w:szCs w:val="21"/>
                      <w:u w:val="none"/>
                      <w14:textFill>
                        <w14:solidFill>
                          <w14:schemeClr w14:val="tx1"/>
                        </w14:solidFill>
                      </w14:textFill>
                    </w:rPr>
                    <w:t>为桶装，储存于仓库内，废润滑油储存于危废间</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润滑油储存、转运过程如有泄露、抛洒、逸散等，若不及时清理，可随雨水冲刷流出厂外，对附近水体环境造成污染。</w:t>
                  </w:r>
                  <w:r>
                    <w:rPr>
                      <w:rFonts w:hint="eastAsia" w:cs="Times New Roman"/>
                      <w:color w:val="000000" w:themeColor="text1"/>
                      <w:sz w:val="21"/>
                      <w:szCs w:val="21"/>
                      <w:u w:val="none"/>
                      <w:lang w:val="en-US" w:eastAsia="zh-CN"/>
                      <w14:textFill>
                        <w14:solidFill>
                          <w14:schemeClr w14:val="tx1"/>
                        </w14:solidFill>
                      </w14:textFill>
                    </w:rPr>
                    <w:t>润滑油</w:t>
                  </w:r>
                  <w:r>
                    <w:rPr>
                      <w:rFonts w:hint="eastAsia"/>
                      <w:color w:val="000000" w:themeColor="text1"/>
                      <w:sz w:val="21"/>
                      <w:szCs w:val="21"/>
                      <w:u w:val="none"/>
                      <w14:textFill>
                        <w14:solidFill>
                          <w14:schemeClr w14:val="tx1"/>
                        </w14:solidFill>
                      </w14:textFill>
                    </w:rPr>
                    <w:t>储存区四周设置围堰</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lang w:val="en-US" w:eastAsia="zh-CN"/>
                      <w14:textFill>
                        <w14:solidFill>
                          <w14:schemeClr w14:val="tx1"/>
                        </w14:solidFill>
                      </w14:textFill>
                    </w:rPr>
                    <w:t>容积2m</w:t>
                  </w:r>
                  <w:r>
                    <w:rPr>
                      <w:rFonts w:hint="eastAsia"/>
                      <w:color w:val="000000" w:themeColor="text1"/>
                      <w:sz w:val="21"/>
                      <w:szCs w:val="21"/>
                      <w:u w:val="none"/>
                      <w:vertAlign w:val="superscript"/>
                      <w:lang w:val="en-US" w:eastAsia="zh-CN"/>
                      <w14:textFill>
                        <w14:solidFill>
                          <w14:schemeClr w14:val="tx1"/>
                        </w14:solidFill>
                      </w14:textFill>
                    </w:rPr>
                    <w:t>3</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，泄露物料及时收集后作为危废处理，危废间设置“六防”措施，经采取措施后预计对周围环境影不大。</w:t>
                  </w:r>
                </w:p>
                <w:p w14:paraId="09318190">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项目危废暂存间事故池设置</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参考《水体污染防控紧急措施设计导则》，事故储存设施总有效容积计算公式为：</w:t>
                  </w:r>
                </w:p>
                <w:p w14:paraId="44F3D1CD">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V总=（V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max</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5</w:t>
                  </w:r>
                </w:p>
                <w:p w14:paraId="2877CA3D">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式中：V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—收集系统范围内发生事故的一个罐组或一套装置的物料量m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（储存相同物料的罐组按一个最大储罐计，装置物料量按存留最大物料量的一台反应器或中间储罐计）；本项目</w:t>
                  </w:r>
                  <w:r>
                    <w:rPr>
                      <w:rFonts w:hint="eastAsia"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液体物料最大物料储存量为</w:t>
                  </w:r>
                  <w:r>
                    <w:rPr>
                      <w:rFonts w:hint="eastAsia" w:cs="Times New Roman"/>
                      <w:color w:val="000000" w:themeColor="text1"/>
                      <w:kern w:val="0"/>
                      <w:sz w:val="21"/>
                      <w:szCs w:val="21"/>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p>
                <w:p w14:paraId="6E70C8C5">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—发生事故的储罐或装置的消防水量，m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为0。</w:t>
                  </w:r>
                </w:p>
                <w:p w14:paraId="55282FC6">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—发生事故时可以转输到其他设施的物料量，m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为0。</w:t>
                  </w:r>
                </w:p>
                <w:p w14:paraId="72B4AFC9">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—发生事故时仍必须进入该收集系统的生产废水量，m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为0。</w:t>
                  </w:r>
                </w:p>
                <w:p w14:paraId="162E2829">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5</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—发生事故时可能进入该收集系统的降雨量，m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；不考虑，V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5</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为0。</w:t>
                  </w:r>
                </w:p>
                <w:p w14:paraId="26CFFCD6">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所需事故池容积为：V总=（</w:t>
                  </w:r>
                  <w:r>
                    <w:rPr>
                      <w:rFonts w:hint="eastAsia" w:cs="Times New Roman"/>
                      <w:color w:val="000000" w:themeColor="text1"/>
                      <w:kern w:val="0"/>
                      <w:sz w:val="21"/>
                      <w:szCs w:val="21"/>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eastAsia"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-0）+</w:t>
                  </w:r>
                  <w:r>
                    <w:rPr>
                      <w:rFonts w:hint="eastAsia" w:cs="Times New Roman"/>
                      <w:color w:val="000000" w:themeColor="text1"/>
                      <w:kern w:val="0"/>
                      <w:sz w:val="21"/>
                      <w:szCs w:val="21"/>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eastAsia" w:cs="Times New Roman"/>
                      <w:color w:val="000000" w:themeColor="text1"/>
                      <w:kern w:val="0"/>
                      <w:sz w:val="21"/>
                      <w:szCs w:val="21"/>
                      <w:u w:val="none"/>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eastAsia" w:cs="Times New Roman"/>
                      <w:color w:val="000000" w:themeColor="text1"/>
                      <w:kern w:val="0"/>
                      <w:sz w:val="21"/>
                      <w:szCs w:val="21"/>
                      <w:u w:val="none"/>
                      <w:lang w:val="en-US" w:eastAsia="zh-CN" w:bidi="ar"/>
                      <w14:textFill>
                        <w14:solidFill>
                          <w14:schemeClr w14:val="tx1"/>
                        </w14:solidFill>
                      </w14:textFill>
                    </w:rPr>
                    <w:t>0.5</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。项目设计</w:t>
                  </w: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座</w:t>
                  </w:r>
                  <w:r>
                    <w:rPr>
                      <w:rFonts w:hint="eastAsia" w:cs="Times New Roman"/>
                      <w:color w:val="000000" w:themeColor="text1"/>
                      <w:kern w:val="0"/>
                      <w:sz w:val="21"/>
                      <w:szCs w:val="21"/>
                      <w:u w:val="none"/>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m</w:t>
                  </w:r>
                  <w:r>
                    <w:rPr>
                      <w:rFonts w:hint="default" w:ascii="Times New Roman" w:hAnsi="Times New Roman" w:eastAsia="宋体" w:cs="Times New Roman"/>
                      <w:color w:val="000000" w:themeColor="text1"/>
                      <w:kern w:val="0"/>
                      <w:sz w:val="21"/>
                      <w:szCs w:val="21"/>
                      <w:u w:val="none"/>
                      <w:vertAlign w:val="superscript"/>
                      <w:lang w:bidi="ar"/>
                      <w14:textFill>
                        <w14:solidFill>
                          <w14:schemeClr w14:val="tx1"/>
                        </w14:solidFill>
                      </w14:textFill>
                    </w:rPr>
                    <w:t>3</w:t>
                  </w:r>
                  <w:r>
                    <w:rPr>
                      <w:rFonts w:hint="eastAsia"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事故水池，事故池建设应按照《危险废物贮存污染控制标准》（GB18597-2023）中的相关要求做好防渗措施；</w:t>
                  </w:r>
                  <w:r>
                    <w:rPr>
                      <w:rFonts w:hint="eastAsia"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危废暂存间</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应设置收集槽，以保证事故发生时，</w:t>
                  </w:r>
                  <w:r>
                    <w:rPr>
                      <w:rFonts w:hint="eastAsia"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液体物料</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能够收集到事故池内。</w:t>
                  </w:r>
                </w:p>
                <w:p w14:paraId="1D99AE1D">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eastAsia" w:eastAsia="宋体"/>
                      <w:color w:val="000000"/>
                      <w:sz w:val="21"/>
                      <w:szCs w:val="21"/>
                      <w:lang w:val="en-US" w:eastAsia="zh-CN"/>
                    </w:rPr>
                  </w:pPr>
                  <w:r>
                    <w:rPr>
                      <w:rFonts w:hint="eastAsia"/>
                      <w:color w:val="000000"/>
                      <w:sz w:val="21"/>
                      <w:szCs w:val="21"/>
                    </w:rPr>
                    <w:t>（2）</w:t>
                  </w:r>
                  <w:r>
                    <w:rPr>
                      <w:rFonts w:hint="eastAsia" w:ascii="宋体" w:hAnsi="宋体"/>
                      <w:color w:val="000000"/>
                      <w:sz w:val="21"/>
                      <w:szCs w:val="21"/>
                    </w:rPr>
                    <w:t>天然气泄漏</w:t>
                  </w:r>
                </w:p>
                <w:p w14:paraId="58E17BA1">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①泄漏天然气对人群健康危害影响</w:t>
                  </w:r>
                </w:p>
                <w:p w14:paraId="56FD665C">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本项目的气源基本不含硫化氢，泄漏后主要是甲烷气体对周边环境的影响。甲烷的密度比空气的一半还小，稀释扩散很快，随着距泄漏点距离的增加，甲烷测试浓度下降非常快，一个泄漏点泄漏的甲烷对环境、人和动物的影响是局部影响。</w:t>
                  </w:r>
                </w:p>
                <w:p w14:paraId="00E5B0D5">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根据预测，在事故条件下天然气泄漏后（泄漏时间为</w:t>
                  </w:r>
                  <w:r>
                    <w:rPr>
                      <w:rFonts w:hint="eastAsia"/>
                      <w:color w:val="000000"/>
                      <w:sz w:val="21"/>
                      <w:szCs w:val="21"/>
                    </w:rPr>
                    <w:t>5min</w:t>
                  </w:r>
                  <w:r>
                    <w:rPr>
                      <w:rFonts w:hint="eastAsia" w:ascii="宋体" w:hAnsi="宋体"/>
                      <w:color w:val="000000"/>
                      <w:sz w:val="21"/>
                      <w:szCs w:val="21"/>
                    </w:rPr>
                    <w:t>）甲烷的最大落地浓度约</w:t>
                  </w:r>
                  <w:r>
                    <w:rPr>
                      <w:rFonts w:hint="eastAsia"/>
                      <w:color w:val="000000"/>
                      <w:sz w:val="21"/>
                      <w:szCs w:val="21"/>
                    </w:rPr>
                    <w:t>140mg/m</w:t>
                  </w:r>
                  <w:r>
                    <w:rPr>
                      <w:rFonts w:hint="eastAsia"/>
                      <w:color w:val="000000"/>
                      <w:sz w:val="21"/>
                      <w:szCs w:val="21"/>
                      <w:vertAlign w:val="superscript"/>
                    </w:rPr>
                    <w:t>3</w:t>
                  </w:r>
                  <w:r>
                    <w:rPr>
                      <w:rFonts w:hint="eastAsia" w:ascii="宋体" w:hAnsi="宋体"/>
                      <w:color w:val="000000"/>
                      <w:sz w:val="21"/>
                      <w:szCs w:val="21"/>
                    </w:rPr>
                    <w:t>。远低于甲烷造成永久性损伤的最低限值</w:t>
                  </w:r>
                  <w:r>
                    <w:rPr>
                      <w:rFonts w:hint="eastAsia"/>
                      <w:color w:val="000000"/>
                      <w:sz w:val="21"/>
                      <w:szCs w:val="21"/>
                    </w:rPr>
                    <w:t>374285.7mg/m</w:t>
                  </w:r>
                  <w:r>
                    <w:rPr>
                      <w:rFonts w:hint="eastAsia"/>
                      <w:color w:val="000000"/>
                      <w:sz w:val="21"/>
                      <w:szCs w:val="21"/>
                      <w:vertAlign w:val="superscript"/>
                    </w:rPr>
                    <w:t>3</w:t>
                  </w:r>
                  <w:r>
                    <w:rPr>
                      <w:rFonts w:hint="eastAsia" w:ascii="宋体" w:hAnsi="宋体"/>
                      <w:color w:val="000000"/>
                      <w:sz w:val="21"/>
                      <w:szCs w:val="21"/>
                    </w:rPr>
                    <w:t>，不会造成人员窒息现象。同时，本项目配备天然气浓度超限报警装置，一旦发生气体泄露，可及时发现并进行处理，经分析，事故状态下，不会造成人员窒息现象。</w:t>
                  </w:r>
                </w:p>
                <w:p w14:paraId="53DB59DE">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②次生污染物对环境影响</w:t>
                  </w:r>
                </w:p>
                <w:p w14:paraId="49679592">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在事故状态下，若发生火灾或者爆炸事故，天然气燃烧产生的污染物主要是二氧化碳、水，仅在事故刚发生时有少量的甲烷、乙烷等释放，且很快扩散，对环境空气产生的影响较小。</w:t>
                  </w:r>
                </w:p>
                <w:p w14:paraId="7237B4D7">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当项目发生火灾时，立即用干粉灭火器（主要是含磷酸铵盐）灭火。磷酸铵盐无毒、无害、不溶于水。因此，项目灭火后可将磷酸铵盐清扫收集用作绿化肥料。</w:t>
                  </w:r>
                </w:p>
                <w:p w14:paraId="5DD3A7D7">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③对环境敏感点的影响分析</w:t>
                  </w:r>
                </w:p>
                <w:p w14:paraId="46E1C44A">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天然气事故状态下，通过采取相应的风险防范措施和建立突发事故应急预案后，发生事故的概率较低，事故的影响也能降至可接受水平。</w:t>
                  </w:r>
                </w:p>
                <w:p w14:paraId="2BA6C247">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w:t>
                  </w:r>
                  <w:r>
                    <w:rPr>
                      <w:rFonts w:hint="eastAsia" w:cs="Times New Roman"/>
                      <w:color w:val="auto"/>
                      <w:sz w:val="21"/>
                      <w:szCs w:val="21"/>
                      <w:u w:val="none"/>
                      <w:lang w:val="en-US" w:eastAsia="zh-CN"/>
                    </w:rPr>
                    <w:t>3</w:t>
                  </w:r>
                  <w:r>
                    <w:rPr>
                      <w:rFonts w:hint="default" w:ascii="Times New Roman" w:hAnsi="Times New Roman" w:eastAsia="宋体" w:cs="Times New Roman"/>
                      <w:color w:val="auto"/>
                      <w:sz w:val="21"/>
                      <w:szCs w:val="21"/>
                      <w:u w:val="none"/>
                    </w:rPr>
                    <w:t>）火灾事故分析</w:t>
                  </w:r>
                </w:p>
                <w:p w14:paraId="6B4BC985">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①大气环境</w:t>
                  </w:r>
                </w:p>
                <w:p w14:paraId="50588CAC">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本项目涉及的</w:t>
                  </w:r>
                  <w:r>
                    <w:rPr>
                      <w:rFonts w:hint="default" w:ascii="Times New Roman" w:hAnsi="Times New Roman" w:eastAsia="宋体" w:cs="Times New Roman"/>
                      <w:color w:val="000000" w:themeColor="text1"/>
                      <w:sz w:val="21"/>
                      <w:szCs w:val="21"/>
                      <w:u w:val="none"/>
                      <w:lang w:val="en-GB" w:eastAsia="zh-CN"/>
                      <w14:textFill>
                        <w14:solidFill>
                          <w14:schemeClr w14:val="tx1"/>
                        </w14:solidFill>
                      </w14:textFill>
                    </w:rPr>
                    <w:t>润滑油、天然气</w:t>
                  </w:r>
                  <w:r>
                    <w:rPr>
                      <w:rFonts w:hint="default" w:ascii="Times New Roman" w:hAnsi="Times New Roman" w:eastAsia="宋体" w:cs="Times New Roman"/>
                      <w:color w:val="auto"/>
                      <w:sz w:val="21"/>
                      <w:szCs w:val="21"/>
                      <w:u w:val="none"/>
                    </w:rPr>
                    <w:t>等</w:t>
                  </w:r>
                  <w:r>
                    <w:rPr>
                      <w:rFonts w:hint="default" w:ascii="Times New Roman" w:hAnsi="Times New Roman" w:eastAsia="宋体" w:cs="Times New Roman"/>
                      <w:bCs/>
                      <w:color w:val="auto"/>
                      <w:sz w:val="21"/>
                      <w:szCs w:val="21"/>
                      <w:u w:val="none"/>
                    </w:rPr>
                    <w:t>属于易燃物质、电气设备由于超负荷运转等因素，一旦车间管理不当，遇明火或自燃燃烧，其燃烧产物中一氧化碳、二氧化碳、氮氧化物和烟雾可能会对大气环境产生一定的影响。一旦发生火灾事故，随着大气的扩散作用，CO的浓度降低，大气环境可恢复到现状水平，预计本项目火灾不会对周围外界大气环境造成持续的影响。一旦发生事故，建设单位应及时采用正确方法处理所发生事故，应急处理人员穿戴全身专用防护服，佩戴氧气呼吸器对事故进行应急处理，尽量减轻对人员的影响。</w:t>
                  </w:r>
                </w:p>
                <w:p w14:paraId="09F1B136">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②地表水环境</w:t>
                  </w:r>
                </w:p>
                <w:p w14:paraId="50206E6A">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发生小面积火灾情况，可采用干粉灭火器、消防沙灭火，不会产生消防废水；大面积火灾需使用消防水灭火时，产生大量消防废水，若收集不当将会对地表水产生不利影响。</w:t>
                  </w:r>
                </w:p>
                <w:p w14:paraId="49ADFE60">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bCs/>
                      <w:color w:val="auto"/>
                      <w:sz w:val="21"/>
                      <w:szCs w:val="21"/>
                      <w:u w:val="none"/>
                    </w:rPr>
                    <w:t>本项目厂区内存放有灭火器。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7A7F34B7">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lang w:val="en-US" w:eastAsia="zh-CN"/>
                    </w:rPr>
                  </w:pPr>
                  <w:r>
                    <w:rPr>
                      <w:rFonts w:hint="eastAsia" w:cs="Times New Roman"/>
                      <w:color w:val="auto"/>
                      <w:sz w:val="21"/>
                      <w:szCs w:val="21"/>
                      <w:u w:val="none"/>
                      <w:lang w:eastAsia="zh-CN"/>
                    </w:rPr>
                    <w:t>（</w:t>
                  </w:r>
                  <w:r>
                    <w:rPr>
                      <w:rFonts w:hint="eastAsia" w:cs="Times New Roman"/>
                      <w:color w:val="auto"/>
                      <w:sz w:val="21"/>
                      <w:szCs w:val="21"/>
                      <w:u w:val="none"/>
                      <w:lang w:val="en-US" w:eastAsia="zh-CN"/>
                    </w:rPr>
                    <w:t>4</w:t>
                  </w:r>
                  <w:r>
                    <w:rPr>
                      <w:rFonts w:hint="eastAsia" w:cs="Times New Roman"/>
                      <w:color w:val="auto"/>
                      <w:sz w:val="21"/>
                      <w:szCs w:val="21"/>
                      <w:u w:val="none"/>
                      <w:lang w:eastAsia="zh-CN"/>
                    </w:rPr>
                    <w:t>）</w:t>
                  </w:r>
                  <w:r>
                    <w:rPr>
                      <w:rFonts w:hint="eastAsia" w:cs="Times New Roman"/>
                      <w:color w:val="auto"/>
                      <w:sz w:val="21"/>
                      <w:szCs w:val="21"/>
                      <w:u w:val="none"/>
                      <w:lang w:val="en-US" w:eastAsia="zh-CN"/>
                    </w:rPr>
                    <w:t>废气处理设施出现故障</w:t>
                  </w:r>
                </w:p>
                <w:p w14:paraId="58D2B459">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eastAsia"/>
                      <w:color w:val="000000"/>
                      <w:sz w:val="21"/>
                      <w:szCs w:val="21"/>
                      <w:u w:val="none"/>
                    </w:rPr>
                  </w:pPr>
                  <w:r>
                    <w:rPr>
                      <w:rFonts w:hint="eastAsia"/>
                      <w:color w:val="000000"/>
                      <w:sz w:val="21"/>
                      <w:szCs w:val="21"/>
                      <w:u w:val="none"/>
                    </w:rPr>
                    <w:t>当废气处理设施发生故障时，会造成大量未处达标的废气直接排入大气中，对环境空气造成较大影响。本项目周围大气环境具有一定的容量，废正常排放时对环境质量影响不大，一旦发生事故性排放在极端气象条件下会使大气排放口周围形成较高的污染物落地浓度，污染周围大气环境特别是会对居民的正常生活造成影响。</w:t>
                  </w:r>
                </w:p>
                <w:p w14:paraId="4D34258F">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w:t>
                  </w:r>
                  <w:r>
                    <w:rPr>
                      <w:rFonts w:hint="eastAsia" w:cs="Times New Roman"/>
                      <w:color w:val="auto"/>
                      <w:sz w:val="21"/>
                      <w:szCs w:val="21"/>
                      <w:u w:val="none"/>
                      <w:lang w:val="en-US" w:eastAsia="zh-CN"/>
                    </w:rPr>
                    <w:t>5</w:t>
                  </w:r>
                  <w:r>
                    <w:rPr>
                      <w:rFonts w:hint="default" w:ascii="Times New Roman" w:hAnsi="Times New Roman" w:eastAsia="宋体" w:cs="Times New Roman"/>
                      <w:color w:val="auto"/>
                      <w:sz w:val="21"/>
                      <w:szCs w:val="21"/>
                      <w:u w:val="none"/>
                    </w:rPr>
                    <w:t>）污水处理设施出现故障</w:t>
                  </w:r>
                </w:p>
                <w:p w14:paraId="5DF4DD3F">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本项目营运期生产废水产生浓度较高，经厂区污水处理站后进入市政污水管网，在污水处理站运行正常的情况下，项目废水可实现达标排放。但在运行过程中，若发生事故（停电等）、检修、超负荷溢流以及操作不当等，将导致污水处理站不能正常运行，可能造成废水外排，从而对地表水环境造成影响。</w:t>
                  </w:r>
                </w:p>
                <w:p w14:paraId="5BC7409D">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w:t>
                  </w:r>
                  <w:r>
                    <w:rPr>
                      <w:rFonts w:hint="eastAsia" w:cs="Times New Roman"/>
                      <w:color w:val="auto"/>
                      <w:sz w:val="21"/>
                      <w:szCs w:val="21"/>
                      <w:u w:val="none"/>
                      <w:lang w:val="en-US" w:eastAsia="zh-CN"/>
                    </w:rPr>
                    <w:t>6</w:t>
                  </w:r>
                  <w:r>
                    <w:rPr>
                      <w:rFonts w:hint="default" w:ascii="Times New Roman" w:hAnsi="Times New Roman" w:eastAsia="宋体" w:cs="Times New Roman"/>
                      <w:color w:val="auto"/>
                      <w:sz w:val="21"/>
                      <w:szCs w:val="21"/>
                      <w:u w:val="none"/>
                    </w:rPr>
                    <w:t>）污水处理设施废水渗漏</w:t>
                  </w:r>
                </w:p>
                <w:p w14:paraId="547C5FE1">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u w:val="none"/>
                    </w:rPr>
                    <w:t>非正常工况下，若污水处理站底部发生破裂，防渗系统被破坏，废水发生短时间泄露造成污染物下渗，将会对土壤及地下水环境造成污染。</w:t>
                  </w:r>
                </w:p>
              </w:tc>
            </w:tr>
            <w:tr w14:paraId="15DF48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4" w:type="pct"/>
                  <w:noWrap w:val="0"/>
                  <w:vAlign w:val="center"/>
                </w:tcPr>
                <w:p w14:paraId="67968700">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u w:val="none"/>
                    </w:rPr>
                  </w:pPr>
                  <w:commentRangeStart w:id="109"/>
                  <w:r>
                    <w:rPr>
                      <w:rFonts w:hint="default" w:ascii="Times New Roman" w:hAnsi="Times New Roman" w:eastAsia="宋体" w:cs="Times New Roman"/>
                      <w:color w:val="auto"/>
                      <w:spacing w:val="8"/>
                      <w:sz w:val="21"/>
                      <w:szCs w:val="21"/>
                      <w:highlight w:val="none"/>
                      <w:u w:val="none"/>
                    </w:rPr>
                    <w:t>风险防范措施</w:t>
                  </w:r>
                  <w:r>
                    <w:rPr>
                      <w:rFonts w:hint="default" w:ascii="Times New Roman" w:hAnsi="Times New Roman" w:eastAsia="宋体" w:cs="Times New Roman"/>
                      <w:color w:val="auto"/>
                      <w:spacing w:val="7"/>
                      <w:sz w:val="21"/>
                      <w:szCs w:val="21"/>
                      <w:highlight w:val="none"/>
                      <w:u w:val="none"/>
                    </w:rPr>
                    <w:t>及要求</w:t>
                  </w:r>
                  <w:commentRangeEnd w:id="109"/>
                  <w:r>
                    <w:commentReference w:id="109"/>
                  </w:r>
                </w:p>
              </w:tc>
              <w:tc>
                <w:tcPr>
                  <w:tcW w:w="4135" w:type="pct"/>
                  <w:gridSpan w:val="4"/>
                  <w:noWrap w:val="0"/>
                  <w:vAlign w:val="center"/>
                </w:tcPr>
                <w:p w14:paraId="24B7F985">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（1）液体物料泄露风险防范措施</w:t>
                  </w:r>
                </w:p>
                <w:p w14:paraId="496E8089">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液体物料</w:t>
                  </w:r>
                  <w:r>
                    <w:rPr>
                      <w:rFonts w:hint="eastAsia"/>
                      <w:color w:val="000000" w:themeColor="text1"/>
                      <w:sz w:val="21"/>
                      <w:szCs w:val="21"/>
                      <w:u w:val="none"/>
                      <w14:textFill>
                        <w14:solidFill>
                          <w14:schemeClr w14:val="tx1"/>
                        </w14:solidFill>
                      </w14:textFill>
                    </w:rPr>
                    <w:t>（润滑油）</w:t>
                  </w:r>
                  <w:r>
                    <w:rPr>
                      <w:rFonts w:hint="eastAsia" w:ascii="宋体" w:hAnsi="宋体"/>
                      <w:color w:val="000000" w:themeColor="text1"/>
                      <w:sz w:val="21"/>
                      <w:szCs w:val="21"/>
                      <w:u w:val="none"/>
                      <w14:textFill>
                        <w14:solidFill>
                          <w14:schemeClr w14:val="tx1"/>
                        </w14:solidFill>
                      </w14:textFill>
                    </w:rPr>
                    <w:t>加强贮存使用管理，及时检查包装容器完好使用情况，严防出现泄漏事故。</w:t>
                  </w:r>
                  <w:r>
                    <w:rPr>
                      <w:rFonts w:hint="eastAsia"/>
                      <w:color w:val="000000" w:themeColor="text1"/>
                      <w:sz w:val="21"/>
                      <w:szCs w:val="21"/>
                      <w:u w:val="none"/>
                      <w14:textFill>
                        <w14:solidFill>
                          <w14:schemeClr w14:val="tx1"/>
                        </w14:solidFill>
                      </w14:textFill>
                    </w:rPr>
                    <w:t>润滑油储存区四周设置围堰（容积2m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r>
                    <w:rPr>
                      <w:rFonts w:hint="eastAsia"/>
                      <w:color w:val="000000" w:themeColor="text1"/>
                      <w:sz w:val="21"/>
                      <w:szCs w:val="21"/>
                      <w:u w:val="none"/>
                      <w:lang w:val="en-US" w:eastAsia="zh-CN"/>
                      <w14:textFill>
                        <w14:solidFill>
                          <w14:schemeClr w14:val="tx1"/>
                        </w14:solidFill>
                      </w14:textFill>
                    </w:rPr>
                    <w:t>危废暂存间设置危废事故池</w:t>
                  </w:r>
                  <w:r>
                    <w:rPr>
                      <w:rFonts w:hint="eastAsia"/>
                      <w:color w:val="000000" w:themeColor="text1"/>
                      <w:sz w:val="21"/>
                      <w:szCs w:val="21"/>
                      <w:u w:val="none"/>
                      <w14:textFill>
                        <w14:solidFill>
                          <w14:schemeClr w14:val="tx1"/>
                        </w14:solidFill>
                      </w14:textFill>
                    </w:rPr>
                    <w:t>（容积</w:t>
                  </w:r>
                  <w:r>
                    <w:rPr>
                      <w:rFonts w:hint="eastAsia"/>
                      <w:color w:val="000000" w:themeColor="text1"/>
                      <w:sz w:val="21"/>
                      <w:szCs w:val="21"/>
                      <w:u w:val="none"/>
                      <w:lang w:val="en-US" w:eastAsia="zh-CN"/>
                      <w14:textFill>
                        <w14:solidFill>
                          <w14:schemeClr w14:val="tx1"/>
                        </w14:solidFill>
                      </w14:textFill>
                    </w:rPr>
                    <w:t>1.0</w:t>
                  </w:r>
                  <w:r>
                    <w:rPr>
                      <w:rFonts w:hint="eastAsia"/>
                      <w:color w:val="000000" w:themeColor="text1"/>
                      <w:sz w:val="21"/>
                      <w:szCs w:val="21"/>
                      <w:u w:val="none"/>
                      <w14:textFill>
                        <w14:solidFill>
                          <w14:schemeClr w14:val="tx1"/>
                        </w14:solidFill>
                      </w14:textFill>
                    </w:rPr>
                    <w:t>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泄露物料及时收集后作为危废处理，危废间设置“六防”措施</w:t>
                  </w:r>
                  <w:r>
                    <w:rPr>
                      <w:rFonts w:hint="eastAsia" w:ascii="宋体" w:hAnsi="宋体"/>
                      <w:color w:val="000000" w:themeColor="text1"/>
                      <w:sz w:val="21"/>
                      <w:szCs w:val="21"/>
                      <w:u w:val="none"/>
                      <w14:textFill>
                        <w14:solidFill>
                          <w14:schemeClr w14:val="tx1"/>
                        </w14:solidFill>
                      </w14:textFill>
                    </w:rPr>
                    <w:t>。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58CBDD5C">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ascii="宋体" w:hAnsi="宋体"/>
                      <w:color w:val="000000"/>
                      <w:sz w:val="21"/>
                      <w:szCs w:val="21"/>
                    </w:rPr>
                    <w:t>（</w:t>
                  </w:r>
                  <w:r>
                    <w:rPr>
                      <w:rFonts w:hint="eastAsia"/>
                      <w:color w:val="000000"/>
                      <w:sz w:val="21"/>
                      <w:szCs w:val="21"/>
                    </w:rPr>
                    <w:t>2</w:t>
                  </w:r>
                  <w:r>
                    <w:rPr>
                      <w:rFonts w:ascii="宋体" w:hAnsi="宋体"/>
                      <w:color w:val="000000"/>
                      <w:sz w:val="21"/>
                      <w:szCs w:val="21"/>
                    </w:rPr>
                    <w:t>）天然气使用过程中风险防范措施</w:t>
                  </w:r>
                </w:p>
                <w:p w14:paraId="46B1FE72">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①</w:t>
                  </w:r>
                  <w:r>
                    <w:rPr>
                      <w:rFonts w:ascii="宋体" w:hAnsi="宋体"/>
                      <w:color w:val="000000"/>
                      <w:sz w:val="21"/>
                      <w:szCs w:val="21"/>
                    </w:rPr>
                    <w:t>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769D6444">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②</w:t>
                  </w:r>
                  <w:r>
                    <w:rPr>
                      <w:rFonts w:ascii="宋体" w:hAnsi="宋体"/>
                      <w:color w:val="000000"/>
                      <w:sz w:val="21"/>
                      <w:szCs w:val="21"/>
                    </w:rPr>
                    <w:t>加强天然气管道系统的管理与维修，使整个操作系统处于密闭化，严格防止跑、冒、滴、漏现象发生。对易发生泄漏的部位实行定期的巡检制度，及时发现问题，尽快解决。</w:t>
                  </w:r>
                </w:p>
                <w:p w14:paraId="6707AD71">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③</w:t>
                  </w:r>
                  <w:r>
                    <w:rPr>
                      <w:rFonts w:ascii="宋体" w:hAnsi="宋体"/>
                      <w:color w:val="000000"/>
                      <w:sz w:val="21"/>
                      <w:szCs w:val="21"/>
                    </w:rPr>
                    <w:t>严格执行防火、防爆、防雷击、防毒害等各项要求。</w:t>
                  </w:r>
                </w:p>
                <w:p w14:paraId="60E97BF6">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④</w:t>
                  </w:r>
                  <w:r>
                    <w:rPr>
                      <w:rFonts w:ascii="宋体" w:hAnsi="宋体"/>
                      <w:color w:val="000000"/>
                      <w:sz w:val="21"/>
                      <w:szCs w:val="21"/>
                    </w:rPr>
                    <w:t>建立健全安全、环境管理体系及高效的安全生产机构，一旦发生事故，要做到快速、高效、安全处置。</w:t>
                  </w:r>
                </w:p>
                <w:p w14:paraId="68B4903A">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⑤</w:t>
                  </w:r>
                  <w:r>
                    <w:rPr>
                      <w:rFonts w:ascii="宋体" w:hAnsi="宋体"/>
                      <w:color w:val="000000"/>
                      <w:sz w:val="21"/>
                      <w:szCs w:val="21"/>
                    </w:rPr>
                    <w:t>厂内的电气设备严格按照防爆区划分配置。</w:t>
                  </w:r>
                </w:p>
                <w:p w14:paraId="75E61CF0">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⑥</w:t>
                  </w:r>
                  <w:r>
                    <w:rPr>
                      <w:rFonts w:ascii="宋体" w:hAnsi="宋体"/>
                      <w:color w:val="000000"/>
                      <w:sz w:val="21"/>
                      <w:szCs w:val="21"/>
                    </w:rPr>
                    <w:t>车间严禁存放火种和易燃易爆物，远离热源。设置</w:t>
                  </w:r>
                  <w:r>
                    <w:rPr>
                      <w:color w:val="000000"/>
                      <w:sz w:val="21"/>
                      <w:szCs w:val="21"/>
                    </w:rPr>
                    <w:t>“</w:t>
                  </w:r>
                  <w:r>
                    <w:rPr>
                      <w:rFonts w:ascii="宋体" w:hAnsi="宋体"/>
                      <w:color w:val="000000"/>
                      <w:sz w:val="21"/>
                      <w:szCs w:val="21"/>
                    </w:rPr>
                    <w:t>危险、禁止烟火</w:t>
                  </w:r>
                  <w:r>
                    <w:rPr>
                      <w:color w:val="000000"/>
                      <w:sz w:val="21"/>
                      <w:szCs w:val="21"/>
                    </w:rPr>
                    <w:t>”</w:t>
                  </w:r>
                  <w:r>
                    <w:rPr>
                      <w:rFonts w:ascii="宋体" w:hAnsi="宋体"/>
                      <w:color w:val="000000"/>
                      <w:sz w:val="21"/>
                      <w:szCs w:val="21"/>
                    </w:rPr>
                    <w:t>等标志。备有一定数量灭火器材并保持有效状态以及防毒面具等气防设备。</w:t>
                  </w:r>
                </w:p>
                <w:p w14:paraId="78A63DF4">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both"/>
                    <w:textAlignment w:val="auto"/>
                    <w:rPr>
                      <w:rFonts w:ascii="宋体" w:hAnsi="宋体"/>
                      <w:color w:val="000000"/>
                      <w:sz w:val="21"/>
                      <w:szCs w:val="21"/>
                    </w:rPr>
                  </w:pPr>
                  <w:r>
                    <w:rPr>
                      <w:rFonts w:hint="eastAsia" w:ascii="宋体" w:hAnsi="宋体"/>
                      <w:color w:val="000000"/>
                      <w:sz w:val="21"/>
                      <w:szCs w:val="21"/>
                    </w:rPr>
                    <w:t>⑦</w:t>
                  </w:r>
                  <w:r>
                    <w:rPr>
                      <w:rFonts w:ascii="宋体" w:hAnsi="宋体"/>
                      <w:color w:val="000000"/>
                      <w:sz w:val="21"/>
                      <w:szCs w:val="21"/>
                    </w:rPr>
                    <w:t>对于天然气可能发生泄漏的生产场所或管网设立自动监测、报警、紧急切断及紧急停车系统。</w:t>
                  </w:r>
                </w:p>
                <w:p w14:paraId="54929887">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（3）火灾事故风险防范措施</w:t>
                  </w:r>
                </w:p>
                <w:p w14:paraId="6EDA588B">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0BC35948">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②建立健全安全、环境管理体系及高效的安全生产机构，一旦发生事故，要做到快速、高效、安全处置。</w:t>
                  </w:r>
                </w:p>
                <w:p w14:paraId="198CA9E5">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③厂内的电气设备严格按照防爆区划分配置。</w:t>
                  </w:r>
                </w:p>
                <w:p w14:paraId="42972B36">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④如突发火灾，应立即采取急救措施，并及时向当地环保局等有关部门报告。一旦发生火灾事故，迅速按灭火作战预案紧急处理。</w:t>
                  </w:r>
                </w:p>
                <w:p w14:paraId="4FC98905">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color w:val="auto"/>
                      <w:sz w:val="21"/>
                      <w:szCs w:val="21"/>
                      <w:u w:val="none"/>
                    </w:rPr>
                    <w:t>⑤</w:t>
                  </w:r>
                  <w:r>
                    <w:rPr>
                      <w:rFonts w:hint="default" w:ascii="Times New Roman" w:hAnsi="Times New Roman" w:eastAsia="宋体" w:cs="Times New Roman"/>
                      <w:bCs/>
                      <w:color w:val="auto"/>
                      <w:sz w:val="21"/>
                      <w:szCs w:val="21"/>
                      <w:u w:val="none"/>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361A8D41">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（4）污水处理</w:t>
                  </w:r>
                  <w:r>
                    <w:rPr>
                      <w:rFonts w:hint="eastAsia" w:cs="Times New Roman"/>
                      <w:color w:val="auto"/>
                      <w:kern w:val="0"/>
                      <w:sz w:val="21"/>
                      <w:szCs w:val="21"/>
                      <w:u w:val="none"/>
                      <w:lang w:val="en-US" w:eastAsia="zh-CN"/>
                    </w:rPr>
                    <w:t>设施</w:t>
                  </w:r>
                  <w:r>
                    <w:rPr>
                      <w:rFonts w:hint="default" w:ascii="Times New Roman" w:hAnsi="Times New Roman" w:eastAsia="宋体" w:cs="Times New Roman"/>
                      <w:color w:val="auto"/>
                      <w:kern w:val="0"/>
                      <w:sz w:val="21"/>
                      <w:szCs w:val="21"/>
                      <w:u w:val="none"/>
                    </w:rPr>
                    <w:t>事故风险防范措施</w:t>
                  </w:r>
                </w:p>
                <w:p w14:paraId="79699FBD">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在运行过程中，若发生事故（停电等）、检修、超负荷溢流以及操作不但等，将导致污水处理设施不能正常运行，可能造成废水外排，从而对地表水体造成影响。为防范废水事故排放，评价提出以下防范措施：</w:t>
                  </w:r>
                </w:p>
                <w:p w14:paraId="3F411737">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①易发生故障的设备（泵类）配套备用设备，并对备用设备进行定期检查。</w:t>
                  </w:r>
                </w:p>
                <w:p w14:paraId="0D4B5B9D">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rPr>
                    <w:t>②</w:t>
                  </w:r>
                  <w:r>
                    <w:rPr>
                      <w:rFonts w:hint="default" w:ascii="Times New Roman" w:hAnsi="Times New Roman" w:eastAsia="宋体" w:cs="Times New Roman"/>
                      <w:color w:val="auto"/>
                      <w:kern w:val="0"/>
                      <w:sz w:val="21"/>
                      <w:szCs w:val="21"/>
                      <w:u w:val="none"/>
                      <w:lang w:bidi="ar"/>
                    </w:rPr>
                    <w:t xml:space="preserve">参考《水体污染防控紧急措施设计导则》，事故储存设施总有效容积计算公式为： </w:t>
                  </w:r>
                </w:p>
                <w:p w14:paraId="732D9A38">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V总=（V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max</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5</w:t>
                  </w:r>
                </w:p>
                <w:p w14:paraId="6D8DD8A8">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式中：V</w:t>
                  </w:r>
                  <w:r>
                    <w:rPr>
                      <w:rFonts w:hint="default" w:ascii="Times New Roman" w:hAnsi="Times New Roman" w:eastAsia="宋体" w:cs="Times New Roman"/>
                      <w:color w:val="auto"/>
                      <w:kern w:val="0"/>
                      <w:sz w:val="21"/>
                      <w:szCs w:val="21"/>
                      <w:u w:val="none"/>
                      <w:vertAlign w:val="subscript"/>
                      <w:lang w:bidi="ar"/>
                    </w:rPr>
                    <w:t>1</w:t>
                  </w:r>
                  <w:r>
                    <w:rPr>
                      <w:rFonts w:hint="default" w:ascii="Times New Roman" w:hAnsi="Times New Roman" w:eastAsia="宋体" w:cs="Times New Roman"/>
                      <w:color w:val="auto"/>
                      <w:kern w:val="0"/>
                      <w:sz w:val="21"/>
                      <w:szCs w:val="21"/>
                      <w:u w:val="none"/>
                      <w:lang w:bidi="ar"/>
                    </w:rPr>
                    <w:t>—收集系统范围内发生事故的一个罐组或一套装置的物料量m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（储存相同物料的罐组按一个最大储罐计，装置物料量按存留最大物料量的一台反应器或中间储罐计）；本项目液体物料最大物料储存量为</w:t>
                  </w:r>
                  <w:r>
                    <w:rPr>
                      <w:rFonts w:hint="eastAsia" w:cs="Times New Roman"/>
                      <w:color w:val="auto"/>
                      <w:kern w:val="0"/>
                      <w:sz w:val="21"/>
                      <w:szCs w:val="21"/>
                      <w:u w:val="none"/>
                      <w:lang w:val="en-US" w:eastAsia="zh-CN" w:bidi="ar"/>
                    </w:rPr>
                    <w:t>0.5</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7B4D75F6">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w:t>
                  </w:r>
                  <w:r>
                    <w:rPr>
                      <w:rFonts w:hint="default" w:ascii="Times New Roman" w:hAnsi="Times New Roman" w:eastAsia="宋体" w:cs="Times New Roman"/>
                      <w:color w:val="auto"/>
                      <w:kern w:val="0"/>
                      <w:sz w:val="21"/>
                      <w:szCs w:val="21"/>
                      <w:u w:val="none"/>
                      <w:vertAlign w:val="subscript"/>
                      <w:lang w:bidi="ar"/>
                    </w:rPr>
                    <w:t>2</w:t>
                  </w:r>
                  <w:r>
                    <w:rPr>
                      <w:rFonts w:hint="default" w:ascii="Times New Roman" w:hAnsi="Times New Roman" w:eastAsia="宋体" w:cs="Times New Roman"/>
                      <w:color w:val="auto"/>
                      <w:kern w:val="0"/>
                      <w:sz w:val="21"/>
                      <w:szCs w:val="21"/>
                      <w:u w:val="none"/>
                      <w:lang w:bidi="ar"/>
                    </w:rPr>
                    <w:t>—发生事故的储罐或装置的消防水量，m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0A772153">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V2=∑Q</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t</w:t>
                  </w:r>
                  <w:r>
                    <w:rPr>
                      <w:rFonts w:hint="default" w:ascii="Times New Roman" w:hAnsi="Times New Roman" w:eastAsia="宋体" w:cs="Times New Roman"/>
                      <w:color w:val="auto"/>
                      <w:kern w:val="0"/>
                      <w:sz w:val="21"/>
                      <w:szCs w:val="21"/>
                      <w:u w:val="none"/>
                      <w:vertAlign w:val="subscript"/>
                      <w:lang w:bidi="ar"/>
                    </w:rPr>
                    <w:t>消</w:t>
                  </w:r>
                </w:p>
                <w:p w14:paraId="2E229455">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Q</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—发生事故时的储罐或装置同时使用的消防设施给水流量，m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/h；综合考虑灭火喷淋消防给水量，取10L/s；</w:t>
                  </w:r>
                </w:p>
                <w:p w14:paraId="53737324">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t</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—消防设施对应的设计消防历时（h），取2.0h；</w:t>
                  </w:r>
                </w:p>
                <w:p w14:paraId="095C2EF7">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经计算，消防用水量为72m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6554975B">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V3—发生事故时可以转输到其他设施的物料量，m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；不考虑，V3为0。</w:t>
                  </w:r>
                </w:p>
                <w:p w14:paraId="3C60D5ED">
                  <w:pPr>
                    <w:keepNext w:val="0"/>
                    <w:keepLines w:val="0"/>
                    <w:pageBreakBefore w:val="0"/>
                    <w:widowControl/>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V4—发生事故时仍必须进入该收集系统的生产废水量，m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；按项目一个周期事故停车计最大一次事故污水量。根据《化学工业污水处理与回用设计规范》，“污水处理场宜设非正常情况下超过进水指标的事故污水储存池，储存池容积可按8h~12h平均时流量计。”</w:t>
                  </w:r>
                  <w:r>
                    <w:rPr>
                      <w:color w:val="000000"/>
                      <w:kern w:val="0"/>
                      <w:sz w:val="21"/>
                      <w:szCs w:val="21"/>
                      <w:u w:val="none"/>
                      <w:lang w:bidi="ar"/>
                    </w:rPr>
                    <w:t>项目</w:t>
                  </w:r>
                  <w:r>
                    <w:rPr>
                      <w:rFonts w:hint="eastAsia"/>
                      <w:color w:val="000000"/>
                      <w:kern w:val="0"/>
                      <w:sz w:val="21"/>
                      <w:szCs w:val="21"/>
                      <w:u w:val="none"/>
                      <w:lang w:bidi="ar"/>
                    </w:rPr>
                    <w:t>生产工序</w:t>
                  </w:r>
                  <w:r>
                    <w:rPr>
                      <w:color w:val="000000"/>
                      <w:kern w:val="0"/>
                      <w:sz w:val="21"/>
                      <w:szCs w:val="21"/>
                      <w:u w:val="none"/>
                      <w:lang w:bidi="ar"/>
                    </w:rPr>
                    <w:t>为</w:t>
                  </w:r>
                  <w:r>
                    <w:rPr>
                      <w:rFonts w:hint="eastAsia"/>
                      <w:color w:val="000000"/>
                      <w:kern w:val="0"/>
                      <w:sz w:val="21"/>
                      <w:szCs w:val="21"/>
                      <w:u w:val="none"/>
                      <w:lang w:val="en-US" w:eastAsia="zh-CN" w:bidi="ar"/>
                    </w:rPr>
                    <w:t>非</w:t>
                  </w:r>
                  <w:r>
                    <w:rPr>
                      <w:color w:val="000000"/>
                      <w:kern w:val="0"/>
                      <w:sz w:val="21"/>
                      <w:szCs w:val="21"/>
                      <w:u w:val="none"/>
                      <w:lang w:bidi="ar"/>
                    </w:rPr>
                    <w:t>连续操作（按</w:t>
                  </w:r>
                  <w:r>
                    <w:rPr>
                      <w:rFonts w:hint="eastAsia"/>
                      <w:color w:val="000000"/>
                      <w:kern w:val="0"/>
                      <w:sz w:val="21"/>
                      <w:szCs w:val="21"/>
                      <w:u w:val="none"/>
                      <w:lang w:bidi="ar"/>
                    </w:rPr>
                    <w:t>8</w:t>
                  </w:r>
                  <w:r>
                    <w:rPr>
                      <w:color w:val="000000"/>
                      <w:kern w:val="0"/>
                      <w:sz w:val="21"/>
                      <w:szCs w:val="21"/>
                      <w:u w:val="none"/>
                      <w:lang w:bidi="ar"/>
                    </w:rPr>
                    <w:t>h计）。</w:t>
                  </w:r>
                  <w:r>
                    <w:rPr>
                      <w:rFonts w:hint="eastAsia"/>
                      <w:color w:val="000000"/>
                      <w:kern w:val="0"/>
                      <w:sz w:val="21"/>
                      <w:szCs w:val="21"/>
                      <w:u w:val="none"/>
                      <w:lang w:val="en-US" w:eastAsia="zh-CN" w:bidi="ar"/>
                    </w:rPr>
                    <w:t>本项目生产废水产生量为</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eastAsia"/>
                      <w:color w:val="000000"/>
                      <w:kern w:val="0"/>
                      <w:sz w:val="21"/>
                      <w:szCs w:val="21"/>
                      <w:u w:val="none"/>
                      <w:lang w:val="en-US" w:eastAsia="zh-CN" w:bidi="ar"/>
                    </w:rPr>
                    <w:t>m</w:t>
                  </w:r>
                  <w:r>
                    <w:rPr>
                      <w:rFonts w:hint="eastAsia"/>
                      <w:color w:val="000000"/>
                      <w:kern w:val="0"/>
                      <w:sz w:val="21"/>
                      <w:szCs w:val="21"/>
                      <w:u w:val="none"/>
                      <w:vertAlign w:val="superscript"/>
                      <w:lang w:val="en-US" w:eastAsia="zh-CN" w:bidi="ar"/>
                    </w:rPr>
                    <w:t>3</w:t>
                  </w:r>
                  <w:r>
                    <w:rPr>
                      <w:rFonts w:hint="eastAsia"/>
                      <w:color w:val="000000"/>
                      <w:kern w:val="0"/>
                      <w:sz w:val="21"/>
                      <w:szCs w:val="21"/>
                      <w:u w:val="none"/>
                      <w:lang w:val="en-US" w:eastAsia="zh-CN" w:bidi="ar"/>
                    </w:rPr>
                    <w:t>/d，单次最大排水量为</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eastAsia"/>
                      <w:color w:val="000000"/>
                      <w:kern w:val="0"/>
                      <w:sz w:val="21"/>
                      <w:szCs w:val="21"/>
                      <w:u w:val="none"/>
                      <w:lang w:val="en-US" w:eastAsia="zh-CN" w:bidi="ar"/>
                    </w:rPr>
                    <w:t>m</w:t>
                  </w:r>
                  <w:r>
                    <w:rPr>
                      <w:rFonts w:hint="eastAsia"/>
                      <w:color w:val="000000"/>
                      <w:kern w:val="0"/>
                      <w:sz w:val="21"/>
                      <w:szCs w:val="21"/>
                      <w:u w:val="none"/>
                      <w:vertAlign w:val="superscript"/>
                      <w:lang w:val="en-US" w:eastAsia="zh-CN" w:bidi="ar"/>
                    </w:rPr>
                    <w:t>3</w:t>
                  </w:r>
                  <w:r>
                    <w:rPr>
                      <w:rFonts w:hint="eastAsia"/>
                      <w:color w:val="000000"/>
                      <w:kern w:val="0"/>
                      <w:sz w:val="21"/>
                      <w:szCs w:val="21"/>
                      <w:u w:val="none"/>
                      <w:lang w:val="en-US" w:eastAsia="zh-CN" w:bidi="ar"/>
                    </w:rPr>
                    <w:t>，V4</w:t>
                  </w:r>
                  <w:r>
                    <w:rPr>
                      <w:color w:val="000000"/>
                      <w:kern w:val="0"/>
                      <w:sz w:val="21"/>
                      <w:szCs w:val="21"/>
                      <w:u w:val="none"/>
                      <w:lang w:bidi="ar"/>
                    </w:rPr>
                    <w:t>取</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color w:val="000000"/>
                      <w:kern w:val="0"/>
                      <w:sz w:val="21"/>
                      <w:szCs w:val="21"/>
                      <w:u w:val="none"/>
                      <w:lang w:bidi="ar"/>
                    </w:rPr>
                    <w:t>m</w:t>
                  </w:r>
                  <w:r>
                    <w:rPr>
                      <w:color w:val="000000"/>
                      <w:kern w:val="0"/>
                      <w:sz w:val="21"/>
                      <w:szCs w:val="21"/>
                      <w:u w:val="none"/>
                      <w:vertAlign w:val="superscript"/>
                      <w:lang w:bidi="ar"/>
                    </w:rPr>
                    <w:t>3</w:t>
                  </w:r>
                  <w:r>
                    <w:rPr>
                      <w:color w:val="000000"/>
                      <w:kern w:val="0"/>
                      <w:sz w:val="21"/>
                      <w:szCs w:val="21"/>
                      <w:u w:val="none"/>
                      <w:lang w:bidi="ar"/>
                    </w:rPr>
                    <w:t>；</w:t>
                  </w:r>
                </w:p>
                <w:p w14:paraId="542F6E10">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V5—发生事故时可能进入该收集系统的降雨量，m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4DD30169">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项目所在地设计暴雨强度：</w:t>
                  </w:r>
                </w:p>
                <w:p w14:paraId="28E23CCE">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drawing>
                      <wp:anchor distT="0" distB="0" distL="114300" distR="114300" simplePos="0" relativeHeight="251664384" behindDoc="0" locked="0" layoutInCell="1" allowOverlap="1">
                        <wp:simplePos x="0" y="0"/>
                        <wp:positionH relativeFrom="column">
                          <wp:posOffset>1848485</wp:posOffset>
                        </wp:positionH>
                        <wp:positionV relativeFrom="paragraph">
                          <wp:posOffset>41910</wp:posOffset>
                        </wp:positionV>
                        <wp:extent cx="1491615" cy="391795"/>
                        <wp:effectExtent l="0" t="0" r="13335" b="7620"/>
                        <wp:wrapTopAndBottom/>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28"/>
                                <a:stretch>
                                  <a:fillRect/>
                                </a:stretch>
                              </pic:blipFill>
                              <pic:spPr>
                                <a:xfrm>
                                  <a:off x="0" y="0"/>
                                  <a:ext cx="1491615" cy="391795"/>
                                </a:xfrm>
                                <a:prstGeom prst="rect">
                                  <a:avLst/>
                                </a:prstGeom>
                                <a:noFill/>
                                <a:ln>
                                  <a:noFill/>
                                </a:ln>
                              </pic:spPr>
                            </pic:pic>
                          </a:graphicData>
                        </a:graphic>
                      </wp:anchor>
                    </w:drawing>
                  </w:r>
                  <w:r>
                    <w:rPr>
                      <w:rFonts w:hint="default" w:ascii="Times New Roman" w:hAnsi="Times New Roman" w:eastAsia="宋体" w:cs="Times New Roman"/>
                      <w:color w:val="auto"/>
                      <w:kern w:val="0"/>
                      <w:sz w:val="21"/>
                      <w:szCs w:val="21"/>
                      <w:u w:val="none"/>
                      <w:lang w:bidi="ar"/>
                    </w:rPr>
                    <w:t>q—设计暴雨强度（L/s•公顷）；</w:t>
                  </w:r>
                </w:p>
                <w:p w14:paraId="71C2A457">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P—重现期（年），取2年；</w:t>
                  </w:r>
                </w:p>
                <w:p w14:paraId="38CBB19F">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t—降雨历时，取15min；</w:t>
                  </w:r>
                </w:p>
                <w:p w14:paraId="0EA41590">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经计算，暴雨强度为237.32L/s•公顷；结合项目平面布置图，项目初期雨水收集面积约为</w:t>
                  </w:r>
                  <w:r>
                    <w:rPr>
                      <w:rFonts w:hint="eastAsia" w:cs="Times New Roman"/>
                      <w:color w:val="auto"/>
                      <w:kern w:val="0"/>
                      <w:sz w:val="21"/>
                      <w:szCs w:val="21"/>
                      <w:u w:val="none"/>
                      <w:lang w:val="en-US" w:eastAsia="zh-CN" w:bidi="ar"/>
                    </w:rPr>
                    <w:t>17206.22</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2</w:t>
                  </w:r>
                  <w:r>
                    <w:rPr>
                      <w:rFonts w:hint="default" w:ascii="Times New Roman" w:hAnsi="Times New Roman" w:eastAsia="宋体" w:cs="Times New Roman"/>
                      <w:color w:val="auto"/>
                      <w:kern w:val="0"/>
                      <w:sz w:val="21"/>
                      <w:szCs w:val="21"/>
                      <w:u w:val="none"/>
                      <w:lang w:bidi="ar"/>
                    </w:rPr>
                    <w:t>，径流系数取0.9，则V5为</w:t>
                  </w:r>
                  <w:r>
                    <w:rPr>
                      <w:rFonts w:hint="eastAsia" w:cs="Times New Roman"/>
                      <w:color w:val="auto"/>
                      <w:kern w:val="0"/>
                      <w:sz w:val="21"/>
                      <w:szCs w:val="21"/>
                      <w:u w:val="none"/>
                      <w:lang w:val="en-US" w:eastAsia="zh-CN" w:bidi="ar"/>
                    </w:rPr>
                    <w:t>367.504</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12B1117F">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所需事故池容积为：V总=（</w:t>
                  </w:r>
                  <w:r>
                    <w:rPr>
                      <w:rFonts w:hint="eastAsia" w:cs="Times New Roman"/>
                      <w:color w:val="auto"/>
                      <w:kern w:val="0"/>
                      <w:sz w:val="21"/>
                      <w:szCs w:val="21"/>
                      <w:u w:val="none"/>
                      <w:lang w:val="en-US" w:eastAsia="zh-CN" w:bidi="ar"/>
                    </w:rPr>
                    <w:t>0.5</w:t>
                  </w:r>
                  <w:r>
                    <w:rPr>
                      <w:rFonts w:hint="default" w:ascii="Times New Roman" w:hAnsi="Times New Roman" w:eastAsia="宋体" w:cs="Times New Roman"/>
                      <w:color w:val="auto"/>
                      <w:kern w:val="0"/>
                      <w:sz w:val="21"/>
                      <w:szCs w:val="21"/>
                      <w:u w:val="none"/>
                      <w:lang w:bidi="ar"/>
                    </w:rPr>
                    <w:t>+72-0）+</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default" w:ascii="Times New Roman" w:hAnsi="Times New Roman" w:eastAsia="宋体" w:cs="Times New Roman"/>
                      <w:color w:val="auto"/>
                      <w:kern w:val="0"/>
                      <w:sz w:val="21"/>
                      <w:szCs w:val="21"/>
                      <w:u w:val="none"/>
                      <w:lang w:bidi="ar"/>
                    </w:rPr>
                    <w:t>+</w:t>
                  </w:r>
                  <w:r>
                    <w:rPr>
                      <w:rFonts w:hint="eastAsia" w:cs="Times New Roman"/>
                      <w:color w:val="auto"/>
                      <w:kern w:val="0"/>
                      <w:sz w:val="21"/>
                      <w:szCs w:val="21"/>
                      <w:u w:val="none"/>
                      <w:lang w:val="en-US" w:eastAsia="zh-CN" w:bidi="ar"/>
                    </w:rPr>
                    <w:t>67.28</w:t>
                  </w:r>
                  <w:r>
                    <w:rPr>
                      <w:rFonts w:hint="default" w:ascii="Times New Roman" w:hAnsi="Times New Roman" w:eastAsia="宋体" w:cs="Times New Roman"/>
                      <w:color w:val="auto"/>
                      <w:kern w:val="0"/>
                      <w:sz w:val="21"/>
                      <w:szCs w:val="21"/>
                      <w:u w:val="none"/>
                      <w:lang w:bidi="ar"/>
                    </w:rPr>
                    <w:t>=</w:t>
                  </w:r>
                  <w:r>
                    <w:rPr>
                      <w:rFonts w:hint="eastAsia" w:cs="Times New Roman"/>
                      <w:color w:val="auto"/>
                      <w:kern w:val="0"/>
                      <w:sz w:val="21"/>
                      <w:szCs w:val="21"/>
                      <w:u w:val="none"/>
                      <w:lang w:val="en-US" w:eastAsia="zh-CN" w:bidi="ar"/>
                    </w:rPr>
                    <w:t>66.323</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。项目设计</w:t>
                  </w:r>
                  <w:r>
                    <w:rPr>
                      <w:rFonts w:hint="default" w:ascii="Times New Roman" w:hAnsi="Times New Roman" w:eastAsia="宋体" w:cs="Times New Roman"/>
                      <w:color w:val="auto"/>
                      <w:kern w:val="0"/>
                      <w:sz w:val="21"/>
                      <w:szCs w:val="21"/>
                      <w:u w:val="none"/>
                      <w:lang w:val="en-US" w:eastAsia="zh-CN" w:bidi="ar"/>
                    </w:rPr>
                    <w:t>1</w:t>
                  </w:r>
                  <w:r>
                    <w:rPr>
                      <w:rFonts w:hint="default" w:ascii="Times New Roman" w:hAnsi="Times New Roman" w:eastAsia="宋体" w:cs="Times New Roman"/>
                      <w:color w:val="auto"/>
                      <w:kern w:val="0"/>
                      <w:sz w:val="21"/>
                      <w:szCs w:val="21"/>
                      <w:u w:val="none"/>
                      <w:lang w:bidi="ar"/>
                    </w:rPr>
                    <w:t>座</w:t>
                  </w:r>
                  <w:r>
                    <w:rPr>
                      <w:rFonts w:hint="eastAsia" w:cs="Times New Roman"/>
                      <w:color w:val="auto"/>
                      <w:kern w:val="0"/>
                      <w:sz w:val="21"/>
                      <w:szCs w:val="21"/>
                      <w:u w:val="none"/>
                      <w:lang w:val="en-US" w:eastAsia="zh-CN" w:bidi="ar"/>
                    </w:rPr>
                    <w:t>50</w:t>
                  </w:r>
                  <w:r>
                    <w:rPr>
                      <w:rFonts w:hint="default" w:ascii="Times New Roman" w:hAnsi="Times New Roman" w:eastAsia="宋体" w:cs="Times New Roman"/>
                      <w:color w:val="auto"/>
                      <w:kern w:val="0"/>
                      <w:sz w:val="21"/>
                      <w:szCs w:val="21"/>
                      <w:u w:val="none"/>
                      <w:lang w:val="en-US" w:eastAsia="zh-CN" w:bidi="ar"/>
                    </w:rPr>
                    <w:t>0</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事故水池，事故池建设应按照《危险废物贮存污染控制标准》（GB18597-2023）中的相关要求做好防渗措施；生产车间和污水站应设置收集槽，以保证事故发生时，废水能够收集到事故池内。</w:t>
                  </w:r>
                </w:p>
                <w:p w14:paraId="5A0DEE08">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当事故发生启用消防水系统时，应打开消防水导排系统，将消防废水引入事故池，将被污染的消防废水控制在厂区内。待事故结束后检测其水质，并咨询有关专家意见，将废水在厂区内收集处理，处理达标后再排入镇平县第二污水处理厂处理。</w:t>
                  </w:r>
                </w:p>
                <w:p w14:paraId="4958BDFA">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kern w:val="0"/>
                      <w:sz w:val="21"/>
                      <w:szCs w:val="21"/>
                      <w:u w:val="none"/>
                    </w:rPr>
                    <w:t>③污水处理设施制定严格的操作规范和管理制度，工作人员上岗前进行职业技能培训。</w:t>
                  </w:r>
                </w:p>
              </w:tc>
            </w:tr>
            <w:tr w14:paraId="79599F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000" w:type="pct"/>
                  <w:gridSpan w:val="5"/>
                  <w:noWrap w:val="0"/>
                  <w:vAlign w:val="center"/>
                </w:tcPr>
                <w:p w14:paraId="5039C98C">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pacing w:val="14"/>
                      <w:sz w:val="21"/>
                      <w:szCs w:val="21"/>
                      <w:highlight w:val="none"/>
                      <w:u w:val="none"/>
                    </w:rPr>
                  </w:pPr>
                  <w:r>
                    <w:rPr>
                      <w:rFonts w:hint="default" w:ascii="Times New Roman" w:hAnsi="Times New Roman" w:eastAsia="宋体" w:cs="Times New Roman"/>
                      <w:color w:val="auto"/>
                      <w:spacing w:val="16"/>
                      <w:sz w:val="21"/>
                      <w:szCs w:val="21"/>
                      <w:highlight w:val="none"/>
                      <w:u w:val="none"/>
                    </w:rPr>
                    <w:t>填表</w:t>
                  </w:r>
                  <w:r>
                    <w:rPr>
                      <w:rFonts w:hint="default" w:ascii="Times New Roman" w:hAnsi="Times New Roman" w:eastAsia="宋体" w:cs="Times New Roman"/>
                      <w:color w:val="auto"/>
                      <w:spacing w:val="9"/>
                      <w:sz w:val="21"/>
                      <w:szCs w:val="21"/>
                      <w:highlight w:val="none"/>
                      <w:u w:val="none"/>
                    </w:rPr>
                    <w:t>说</w:t>
                  </w:r>
                  <w:r>
                    <w:rPr>
                      <w:rFonts w:hint="default" w:ascii="Times New Roman" w:hAnsi="Times New Roman" w:eastAsia="宋体" w:cs="Times New Roman"/>
                      <w:color w:val="auto"/>
                      <w:spacing w:val="8"/>
                      <w:sz w:val="21"/>
                      <w:szCs w:val="21"/>
                      <w:highlight w:val="none"/>
                      <w:u w:val="none"/>
                    </w:rPr>
                    <w:t>明 (列出项目相关信息及评价说明) ：项目风险物质储量较小，风险物质毒性小。</w:t>
                  </w:r>
                  <w:r>
                    <w:rPr>
                      <w:rFonts w:hint="default" w:ascii="Times New Roman" w:hAnsi="Times New Roman" w:eastAsia="宋体" w:cs="Times New Roman"/>
                      <w:color w:val="auto"/>
                      <w:sz w:val="21"/>
                      <w:szCs w:val="21"/>
                      <w:highlight w:val="none"/>
                      <w:u w:val="none"/>
                    </w:rPr>
                    <w:t xml:space="preserve"> </w:t>
                  </w:r>
                  <w:r>
                    <w:rPr>
                      <w:rFonts w:hint="default" w:ascii="Times New Roman" w:hAnsi="Times New Roman" w:eastAsia="宋体" w:cs="Times New Roman"/>
                      <w:color w:val="auto"/>
                      <w:spacing w:val="17"/>
                      <w:sz w:val="21"/>
                      <w:szCs w:val="21"/>
                      <w:highlight w:val="none"/>
                      <w:u w:val="none"/>
                    </w:rPr>
                    <w:t>经</w:t>
                  </w:r>
                  <w:r>
                    <w:rPr>
                      <w:rFonts w:hint="default" w:ascii="Times New Roman" w:hAnsi="Times New Roman" w:eastAsia="宋体" w:cs="Times New Roman"/>
                      <w:color w:val="auto"/>
                      <w:spacing w:val="9"/>
                      <w:sz w:val="21"/>
                      <w:szCs w:val="21"/>
                      <w:highlight w:val="none"/>
                      <w:u w:val="none"/>
                    </w:rPr>
                    <w:t>采取风险防范措施后，项目风险可以接受</w:t>
                  </w:r>
                </w:p>
              </w:tc>
            </w:tr>
          </w:tbl>
          <w:p w14:paraId="12F638D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sz w:val="24"/>
                <w:szCs w:val="24"/>
                <w:u w:val="none"/>
              </w:rPr>
            </w:pPr>
            <w:r>
              <w:rPr>
                <w:rFonts w:hint="default" w:ascii="Times New Roman" w:hAnsi="Times New Roman" w:eastAsia="宋体" w:cs="Times New Roman"/>
                <w:b/>
                <w:bCs/>
                <w:color w:val="000000"/>
                <w:sz w:val="24"/>
                <w:szCs w:val="24"/>
                <w:u w:val="none"/>
              </w:rPr>
              <w:t>8、环境管理和监测计划</w:t>
            </w:r>
          </w:p>
          <w:p w14:paraId="7893464C">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8.1环境管理</w:t>
            </w:r>
          </w:p>
          <w:p w14:paraId="1246FF5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环境管理是协调发展经济与保护环境之间关系的重要手段，也是实现经济战略发展的重要环节之一，对环境保护工作起主导作用。企业环境管理是“全过程污染控制”的重要措施，它不仅是我国有关法规的规定，也是清洁生产的要求。本次工程环境管理主要内容如下：</w:t>
            </w:r>
          </w:p>
          <w:p w14:paraId="34527808">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（1）企业应根据《建设项目环境保护设计规定》，建立健全企业内部环境保护管理机构，完善环境保护管理制度，落实污染防治主体责任；</w:t>
            </w:r>
          </w:p>
          <w:p w14:paraId="03B065CC">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（2）落实本次工程施工期及营运期污染防治措施，确保污染防治资金到位；</w:t>
            </w:r>
          </w:p>
          <w:p w14:paraId="34A28B58">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（3）贯彻执行国家和地方各项环保方针、政策和法规，制定全厂环境保护制度，组织开展职工环保教育，提高职工的环保意识；完成政府部门下达的有关环保任务，配合当地生态环境部门的环境管理工作；</w:t>
            </w:r>
          </w:p>
          <w:p w14:paraId="54629F9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（4）不断完善企业环境保护管理制度，做好有关环保工作的资料收集、整理、记录、建档、宣传等工作；进行全厂的环保及环境监测数据的统计、分析，并建立相应的环保资料档案。</w:t>
            </w:r>
          </w:p>
          <w:p w14:paraId="644C74F9">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（5）制定并加强污染治理设施操作规范和操作规程学习，建立污染源监测制度，按规定定期对污染源进行监测，保证处理效果达到设计要求，污染物稳定达标排放。</w:t>
            </w:r>
          </w:p>
          <w:p w14:paraId="5B19945F">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（6）负责检查各污染治理设施运行情况，发现问题及时处理；并负责调查出现环境问题的缘由，协助有关部门解决问题，处理环境问题带来的纠纷等。</w:t>
            </w:r>
          </w:p>
          <w:p w14:paraId="53C6DF4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7）按照《建设项目竣工环境保护验收暂行办法》（国环规环评[2017]4号）的规定，完成本次工程竣工环保自主验收工作。按照《固定污染源排污许可登记工作指南（试行）》（环办环评函[2020]9号）和《排污许可申请与核发技术规范 总则》（HJ942-2018）的规定，自觉执行排污许可制度。按照《企业事业单位环境信息公开办法》（环境保护部部令第31号）的规定，定期公开企业环境信息。</w:t>
            </w:r>
          </w:p>
          <w:p w14:paraId="6947E6E6">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8.2环境监测计划</w:t>
            </w:r>
          </w:p>
          <w:p w14:paraId="4503AF0B">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环境监测是环境管理的基础，并为企业制定污染防治对策和规划提供依据。根据本次工程污染物排放的实际情况和就近方便的原则，建议本项目环境监测工作委托有资质的环境监测机构完成。主要任务如下：</w:t>
            </w:r>
          </w:p>
          <w:p w14:paraId="70D604F5">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（1）定期监测建设项目排放的污染物是否符合国家所规定的排放标准；</w:t>
            </w:r>
          </w:p>
          <w:p w14:paraId="3CB04FC1">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（2）分析污染物排放变化规律，为制定污染控制措施提供依据；</w:t>
            </w:r>
          </w:p>
          <w:p w14:paraId="4FF74ED3">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（3）负责污染事故的监测及报告；</w:t>
            </w:r>
          </w:p>
          <w:p w14:paraId="62B161D2">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sz w:val="24"/>
                <w:szCs w:val="24"/>
                <w:u w:val="none"/>
              </w:rPr>
            </w:pPr>
            <w:r>
              <w:rPr>
                <w:rFonts w:hint="default" w:ascii="Times New Roman" w:hAnsi="Times New Roman" w:eastAsia="宋体" w:cs="Times New Roman"/>
                <w:bCs/>
                <w:color w:val="000000"/>
                <w:sz w:val="24"/>
                <w:szCs w:val="24"/>
                <w:u w:val="none"/>
              </w:rPr>
              <w:t>（4）环境监测对象主要为污染源监测。</w:t>
            </w:r>
          </w:p>
          <w:p w14:paraId="690439E6">
            <w:pPr>
              <w:tabs>
                <w:tab w:val="left" w:pos="1081"/>
              </w:tabs>
              <w:adjustRightInd w:val="0"/>
              <w:snapToGrid w:val="0"/>
              <w:spacing w:line="360" w:lineRule="auto"/>
              <w:ind w:firstLine="480" w:firstLineChars="200"/>
              <w:rPr>
                <w:bCs/>
                <w:color w:val="000000"/>
                <w:sz w:val="24"/>
                <w:szCs w:val="24"/>
                <w:u w:val="none"/>
              </w:rPr>
            </w:pPr>
            <w:r>
              <w:rPr>
                <w:bCs/>
                <w:color w:val="000000"/>
                <w:sz w:val="24"/>
                <w:szCs w:val="24"/>
                <w:u w:val="none"/>
              </w:rPr>
              <w:t>根据</w:t>
            </w:r>
            <w:r>
              <w:rPr>
                <w:rFonts w:hint="eastAsia"/>
                <w:bCs/>
                <w:color w:val="000000"/>
                <w:sz w:val="24"/>
                <w:szCs w:val="24"/>
                <w:u w:val="none"/>
                <w:lang w:eastAsia="zh-CN"/>
              </w:rPr>
              <w:t>《排污单位自行监测技术指南 食品制造》（HJ 1084-2020）</w:t>
            </w:r>
            <w:r>
              <w:rPr>
                <w:rFonts w:hint="eastAsia"/>
                <w:bCs/>
                <w:color w:val="000000"/>
                <w:sz w:val="24"/>
                <w:szCs w:val="24"/>
                <w:u w:val="none"/>
              </w:rPr>
              <w:t>、</w:t>
            </w:r>
            <w:r>
              <w:rPr>
                <w:rFonts w:hint="eastAsia"/>
                <w:b w:val="0"/>
                <w:bCs/>
                <w:color w:val="000000"/>
                <w:sz w:val="24"/>
                <w:lang w:val="en-US" w:eastAsia="zh-CN"/>
              </w:rPr>
              <w:t>《排污单位自行监测技术指南 火力发电及锅炉》（</w:t>
            </w:r>
            <w:r>
              <w:rPr>
                <w:rFonts w:hint="default"/>
                <w:b w:val="0"/>
                <w:bCs/>
                <w:color w:val="000000"/>
                <w:sz w:val="24"/>
                <w:lang w:val="en-US" w:eastAsia="zh-CN"/>
              </w:rPr>
              <w:t>HJ820-2017</w:t>
            </w:r>
            <w:r>
              <w:rPr>
                <w:rFonts w:hint="eastAsia"/>
                <w:b w:val="0"/>
                <w:bCs/>
                <w:color w:val="000000"/>
                <w:sz w:val="24"/>
                <w:lang w:val="en-US" w:eastAsia="zh-CN"/>
              </w:rPr>
              <w:t>）</w:t>
            </w:r>
            <w:r>
              <w:rPr>
                <w:bCs/>
                <w:color w:val="000000"/>
                <w:sz w:val="24"/>
                <w:szCs w:val="24"/>
                <w:u w:val="none"/>
              </w:rPr>
              <w:t>以及</w:t>
            </w:r>
            <w:r>
              <w:rPr>
                <w:rFonts w:hint="eastAsia"/>
                <w:bCs/>
                <w:color w:val="000000"/>
                <w:sz w:val="24"/>
                <w:szCs w:val="24"/>
                <w:u w:val="none"/>
                <w:lang w:eastAsia="zh-CN"/>
              </w:rPr>
              <w:t>《</w:t>
            </w:r>
            <w:r>
              <w:rPr>
                <w:bCs/>
                <w:color w:val="000000"/>
                <w:sz w:val="24"/>
                <w:szCs w:val="24"/>
                <w:u w:val="none"/>
              </w:rPr>
              <w:t>排污许可证申请与核发技术规范 工业噪声</w:t>
            </w:r>
            <w:r>
              <w:rPr>
                <w:rFonts w:hint="eastAsia"/>
                <w:bCs/>
                <w:color w:val="000000"/>
                <w:sz w:val="24"/>
                <w:szCs w:val="24"/>
                <w:u w:val="none"/>
                <w:lang w:eastAsia="zh-CN"/>
              </w:rPr>
              <w:t>》</w:t>
            </w:r>
            <w:r>
              <w:rPr>
                <w:bCs/>
                <w:color w:val="000000"/>
                <w:sz w:val="24"/>
                <w:szCs w:val="24"/>
                <w:u w:val="none"/>
              </w:rPr>
              <w:t>（HJ 1301—2023）</w:t>
            </w:r>
            <w:r>
              <w:rPr>
                <w:rFonts w:hint="eastAsia"/>
                <w:bCs/>
                <w:color w:val="000000"/>
                <w:sz w:val="24"/>
                <w:szCs w:val="24"/>
                <w:u w:val="none"/>
                <w:lang w:val="en-US" w:eastAsia="zh-CN"/>
              </w:rPr>
              <w:t>等的相关要求</w:t>
            </w:r>
            <w:r>
              <w:rPr>
                <w:bCs/>
                <w:color w:val="000000"/>
                <w:sz w:val="24"/>
                <w:szCs w:val="24"/>
                <w:u w:val="none"/>
              </w:rPr>
              <w:t>，本项目营运期环境监测计划见下表。</w:t>
            </w:r>
          </w:p>
          <w:p w14:paraId="7893D88D">
            <w:pPr>
              <w:tabs>
                <w:tab w:val="left" w:pos="1081"/>
              </w:tabs>
              <w:adjustRightInd w:val="0"/>
              <w:snapToGrid w:val="0"/>
              <w:spacing w:line="360" w:lineRule="auto"/>
              <w:jc w:val="center"/>
              <w:rPr>
                <w:rFonts w:hint="default"/>
                <w:b/>
                <w:bCs/>
                <w:color w:val="000000"/>
                <w:sz w:val="24"/>
                <w:szCs w:val="24"/>
              </w:rPr>
            </w:pPr>
            <w:r>
              <w:rPr>
                <w:rFonts w:hint="default"/>
                <w:b/>
                <w:bCs/>
                <w:color w:val="000000"/>
                <w:sz w:val="24"/>
                <w:szCs w:val="24"/>
              </w:rPr>
              <w:t>表4-</w:t>
            </w:r>
            <w:r>
              <w:rPr>
                <w:rFonts w:hint="eastAsia"/>
                <w:b/>
                <w:bCs/>
                <w:color w:val="000000"/>
                <w:sz w:val="24"/>
                <w:szCs w:val="24"/>
                <w:lang w:val="en-US" w:eastAsia="zh-CN"/>
              </w:rPr>
              <w:t xml:space="preserve">30  </w:t>
            </w:r>
            <w:r>
              <w:rPr>
                <w:rFonts w:hint="default"/>
                <w:b/>
                <w:bCs/>
                <w:color w:val="000000"/>
                <w:sz w:val="24"/>
                <w:szCs w:val="24"/>
              </w:rPr>
              <w:t>营运期环境监测计划一览表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369"/>
              <w:gridCol w:w="1311"/>
              <w:gridCol w:w="1757"/>
              <w:gridCol w:w="1213"/>
              <w:gridCol w:w="3622"/>
            </w:tblGrid>
            <w:tr w14:paraId="6F7B247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tcBorders>
                    <w:right w:val="single" w:color="auto" w:sz="4" w:space="0"/>
                  </w:tcBorders>
                  <w:noWrap w:val="0"/>
                  <w:vAlign w:val="center"/>
                </w:tcPr>
                <w:p w14:paraId="6CF6346E">
                  <w:pPr>
                    <w:jc w:val="center"/>
                    <w:rPr>
                      <w:color w:val="000000"/>
                      <w:szCs w:val="21"/>
                    </w:rPr>
                  </w:pPr>
                  <w:r>
                    <w:rPr>
                      <w:color w:val="000000"/>
                      <w:szCs w:val="21"/>
                    </w:rPr>
                    <w:t>项目</w:t>
                  </w:r>
                </w:p>
              </w:tc>
              <w:tc>
                <w:tcPr>
                  <w:tcW w:w="706" w:type="pct"/>
                  <w:tcBorders>
                    <w:left w:val="single" w:color="auto" w:sz="4" w:space="0"/>
                    <w:bottom w:val="single" w:color="auto" w:sz="4" w:space="0"/>
                  </w:tcBorders>
                  <w:noWrap w:val="0"/>
                  <w:vAlign w:val="center"/>
                </w:tcPr>
                <w:p w14:paraId="6940925C">
                  <w:pPr>
                    <w:jc w:val="center"/>
                    <w:rPr>
                      <w:color w:val="000000"/>
                      <w:szCs w:val="21"/>
                    </w:rPr>
                  </w:pPr>
                  <w:r>
                    <w:rPr>
                      <w:color w:val="000000"/>
                      <w:szCs w:val="21"/>
                    </w:rPr>
                    <w:t>监测点位</w:t>
                  </w:r>
                </w:p>
              </w:tc>
              <w:tc>
                <w:tcPr>
                  <w:tcW w:w="947" w:type="pct"/>
                  <w:noWrap w:val="0"/>
                  <w:vAlign w:val="center"/>
                </w:tcPr>
                <w:p w14:paraId="6FE71A10">
                  <w:pPr>
                    <w:jc w:val="center"/>
                    <w:rPr>
                      <w:color w:val="000000"/>
                      <w:szCs w:val="21"/>
                    </w:rPr>
                  </w:pPr>
                  <w:r>
                    <w:rPr>
                      <w:color w:val="000000"/>
                      <w:szCs w:val="21"/>
                    </w:rPr>
                    <w:t>监测因子</w:t>
                  </w:r>
                </w:p>
              </w:tc>
              <w:tc>
                <w:tcPr>
                  <w:tcW w:w="654" w:type="pct"/>
                  <w:noWrap w:val="0"/>
                  <w:vAlign w:val="center"/>
                </w:tcPr>
                <w:p w14:paraId="7BA33534">
                  <w:pPr>
                    <w:jc w:val="center"/>
                    <w:rPr>
                      <w:color w:val="000000"/>
                      <w:szCs w:val="21"/>
                    </w:rPr>
                  </w:pPr>
                  <w:r>
                    <w:rPr>
                      <w:color w:val="000000"/>
                      <w:szCs w:val="21"/>
                    </w:rPr>
                    <w:t>监测频次</w:t>
                  </w:r>
                </w:p>
              </w:tc>
              <w:tc>
                <w:tcPr>
                  <w:tcW w:w="1953" w:type="pct"/>
                  <w:noWrap w:val="0"/>
                  <w:vAlign w:val="center"/>
                </w:tcPr>
                <w:p w14:paraId="534EB922">
                  <w:pPr>
                    <w:jc w:val="center"/>
                    <w:rPr>
                      <w:color w:val="000000"/>
                      <w:szCs w:val="21"/>
                    </w:rPr>
                  </w:pPr>
                  <w:r>
                    <w:rPr>
                      <w:color w:val="000000"/>
                      <w:szCs w:val="21"/>
                    </w:rPr>
                    <w:t>执行标准</w:t>
                  </w:r>
                </w:p>
              </w:tc>
            </w:tr>
            <w:tr w14:paraId="7A20631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restart"/>
                  <w:noWrap w:val="0"/>
                  <w:vAlign w:val="center"/>
                </w:tcPr>
                <w:p w14:paraId="730835EE">
                  <w:pPr>
                    <w:jc w:val="center"/>
                    <w:rPr>
                      <w:rFonts w:hint="eastAsia" w:eastAsia="宋体"/>
                      <w:color w:val="000000"/>
                      <w:szCs w:val="21"/>
                      <w:lang w:val="en-US" w:eastAsia="zh-CN"/>
                    </w:rPr>
                  </w:pPr>
                  <w:r>
                    <w:rPr>
                      <w:rFonts w:hint="eastAsia"/>
                      <w:color w:val="000000"/>
                      <w:szCs w:val="21"/>
                      <w:lang w:val="en-US" w:eastAsia="zh-CN"/>
                    </w:rPr>
                    <w:t>废气</w:t>
                  </w:r>
                </w:p>
              </w:tc>
              <w:tc>
                <w:tcPr>
                  <w:tcW w:w="706" w:type="pct"/>
                  <w:vMerge w:val="restart"/>
                  <w:noWrap w:val="0"/>
                  <w:vAlign w:val="center"/>
                </w:tcPr>
                <w:p w14:paraId="52D599BE">
                  <w:pPr>
                    <w:pStyle w:val="38"/>
                    <w:rPr>
                      <w:color w:val="000000"/>
                      <w:szCs w:val="21"/>
                    </w:rPr>
                  </w:pPr>
                  <w:r>
                    <w:rPr>
                      <w:color w:val="000000" w:themeColor="text1"/>
                      <w:szCs w:val="21"/>
                      <w:u w:val="none"/>
                      <w14:textFill>
                        <w14:solidFill>
                          <w14:schemeClr w14:val="tx1"/>
                        </w14:solidFill>
                      </w14:textFill>
                    </w:rPr>
                    <w:t>DA001</w:t>
                  </w:r>
                </w:p>
              </w:tc>
              <w:tc>
                <w:tcPr>
                  <w:tcW w:w="947" w:type="pct"/>
                  <w:noWrap w:val="0"/>
                  <w:vAlign w:val="center"/>
                </w:tcPr>
                <w:p w14:paraId="1360DEB4">
                  <w:pPr>
                    <w:pStyle w:val="38"/>
                    <w:rPr>
                      <w:rFonts w:hint="eastAsia"/>
                      <w:color w:val="000000"/>
                      <w:kern w:val="2"/>
                      <w:sz w:val="21"/>
                      <w:szCs w:val="21"/>
                      <w:lang w:val="en-US" w:eastAsia="zh-CN" w:bidi="ar-SA"/>
                    </w:rPr>
                  </w:pPr>
                  <w:r>
                    <w:rPr>
                      <w:rFonts w:hint="eastAsia"/>
                      <w:color w:val="000000" w:themeColor="text1"/>
                      <w:sz w:val="21"/>
                      <w:szCs w:val="21"/>
                      <w:u w:val="none"/>
                      <w:lang w:val="en-US" w:eastAsia="zh-CN"/>
                      <w14:textFill>
                        <w14:solidFill>
                          <w14:schemeClr w14:val="tx1"/>
                        </w14:solidFill>
                      </w14:textFill>
                    </w:rPr>
                    <w:t>油烟</w:t>
                  </w:r>
                </w:p>
              </w:tc>
              <w:tc>
                <w:tcPr>
                  <w:tcW w:w="654" w:type="pct"/>
                  <w:noWrap w:val="0"/>
                  <w:vAlign w:val="center"/>
                </w:tcPr>
                <w:p w14:paraId="6E6D0164">
                  <w:pPr>
                    <w:jc w:val="center"/>
                    <w:rPr>
                      <w:color w:val="000000"/>
                      <w:kern w:val="0"/>
                      <w:sz w:val="21"/>
                      <w:szCs w:val="21"/>
                      <w:lang w:val="en-US" w:eastAsia="zh-CN" w:bidi="ar-SA"/>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1953" w:type="pct"/>
                  <w:tcBorders>
                    <w:top w:val="single" w:color="auto" w:sz="4" w:space="0"/>
                    <w:bottom w:val="single" w:color="auto" w:sz="4" w:space="0"/>
                  </w:tcBorders>
                  <w:noWrap w:val="0"/>
                  <w:vAlign w:val="center"/>
                </w:tcPr>
                <w:p w14:paraId="64D09634">
                  <w:pPr>
                    <w:keepNext w:val="0"/>
                    <w:keepLines w:val="0"/>
                    <w:pageBreakBefore w:val="0"/>
                    <w:widowControl w:val="0"/>
                    <w:kinsoku/>
                    <w:wordWrap/>
                    <w:overflowPunct/>
                    <w:topLinePunct w:val="0"/>
                    <w:autoSpaceDE/>
                    <w:autoSpaceDN/>
                    <w:bidi w:val="0"/>
                    <w:jc w:val="center"/>
                    <w:textAlignment w:val="auto"/>
                    <w:outlineLvl w:val="9"/>
                    <w:rPr>
                      <w:rFonts w:ascii="Times New Roman" w:hAnsi="Times New Roman" w:eastAsia="宋体" w:cs="Times New Roman"/>
                      <w:color w:val="000000"/>
                      <w:kern w:val="2"/>
                      <w:sz w:val="21"/>
                      <w:szCs w:val="21"/>
                      <w:lang w:val="en-US" w:eastAsia="zh-CN" w:bidi="ar-SA"/>
                    </w:rPr>
                  </w:pPr>
                  <w:r>
                    <w:rPr>
                      <w:rFonts w:hint="eastAsia"/>
                      <w:color w:val="000000" w:themeColor="text1"/>
                      <w:sz w:val="21"/>
                      <w:szCs w:val="21"/>
                      <w14:textFill>
                        <w14:solidFill>
                          <w14:schemeClr w14:val="tx1"/>
                        </w14:solidFill>
                      </w14:textFill>
                    </w:rPr>
                    <w:t>《餐饮业油烟污染物排放标准》（DB41/1604-2018）</w:t>
                  </w:r>
                </w:p>
              </w:tc>
            </w:tr>
            <w:tr w14:paraId="36CBE2C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4BCFB3EE">
                  <w:pPr>
                    <w:jc w:val="center"/>
                    <w:rPr>
                      <w:rFonts w:hint="eastAsia"/>
                      <w:color w:val="000000"/>
                      <w:szCs w:val="21"/>
                      <w:lang w:val="en-US" w:eastAsia="zh-CN"/>
                    </w:rPr>
                  </w:pPr>
                </w:p>
              </w:tc>
              <w:tc>
                <w:tcPr>
                  <w:tcW w:w="706" w:type="pct"/>
                  <w:vMerge w:val="continue"/>
                  <w:noWrap w:val="0"/>
                  <w:vAlign w:val="center"/>
                </w:tcPr>
                <w:p w14:paraId="7265D841">
                  <w:pPr>
                    <w:pStyle w:val="38"/>
                    <w:rPr>
                      <w:color w:val="000000"/>
                      <w:szCs w:val="21"/>
                    </w:rPr>
                  </w:pPr>
                </w:p>
              </w:tc>
              <w:tc>
                <w:tcPr>
                  <w:tcW w:w="947" w:type="pct"/>
                  <w:noWrap w:val="0"/>
                  <w:vAlign w:val="center"/>
                </w:tcPr>
                <w:p w14:paraId="2F4429D5">
                  <w:pPr>
                    <w:pStyle w:val="38"/>
                    <w:rPr>
                      <w:rFonts w:hint="eastAsia"/>
                      <w:color w:val="000000"/>
                      <w:szCs w:val="21"/>
                    </w:rPr>
                  </w:pPr>
                  <w:r>
                    <w:rPr>
                      <w:rFonts w:hint="eastAsia"/>
                      <w:color w:val="000000" w:themeColor="text1"/>
                      <w:sz w:val="21"/>
                      <w:szCs w:val="21"/>
                      <w:u w:val="none"/>
                      <w:lang w:val="en-US" w:eastAsia="zh-CN"/>
                      <w14:textFill>
                        <w14:solidFill>
                          <w14:schemeClr w14:val="tx1"/>
                        </w14:solidFill>
                      </w14:textFill>
                    </w:rPr>
                    <w:t>非甲烷总烃</w:t>
                  </w:r>
                </w:p>
              </w:tc>
              <w:tc>
                <w:tcPr>
                  <w:tcW w:w="654" w:type="pct"/>
                  <w:noWrap w:val="0"/>
                  <w:vAlign w:val="center"/>
                </w:tcPr>
                <w:p w14:paraId="35BA4401">
                  <w:pPr>
                    <w:jc w:val="center"/>
                    <w:rPr>
                      <w:color w:val="000000"/>
                      <w:kern w:val="0"/>
                      <w:szCs w:val="21"/>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1953" w:type="pct"/>
                  <w:tcBorders>
                    <w:top w:val="single" w:color="auto" w:sz="4" w:space="0"/>
                    <w:bottom w:val="single" w:color="auto" w:sz="4" w:space="0"/>
                  </w:tcBorders>
                  <w:noWrap w:val="0"/>
                  <w:vAlign w:val="center"/>
                </w:tcPr>
                <w:p w14:paraId="3AAD9E3F">
                  <w:pPr>
                    <w:keepNext w:val="0"/>
                    <w:keepLines w:val="0"/>
                    <w:pageBreakBefore w:val="0"/>
                    <w:widowControl w:val="0"/>
                    <w:kinsoku/>
                    <w:wordWrap/>
                    <w:overflowPunct/>
                    <w:topLinePunct w:val="0"/>
                    <w:autoSpaceDE/>
                    <w:autoSpaceDN/>
                    <w:bidi w:val="0"/>
                    <w:jc w:val="center"/>
                    <w:textAlignment w:val="auto"/>
                    <w:outlineLvl w:val="9"/>
                    <w:rPr>
                      <w:color w:val="000000"/>
                      <w:szCs w:val="21"/>
                    </w:rPr>
                  </w:pPr>
                  <w:r>
                    <w:rPr>
                      <w:rFonts w:hint="eastAsia"/>
                      <w:color w:val="000000" w:themeColor="text1"/>
                      <w:sz w:val="21"/>
                      <w:szCs w:val="21"/>
                      <w14:textFill>
                        <w14:solidFill>
                          <w14:schemeClr w14:val="tx1"/>
                        </w14:solidFill>
                      </w14:textFill>
                    </w:rPr>
                    <w:t>《餐饮业油烟污染物排放标准》（DB41/1604-2018）</w:t>
                  </w:r>
                </w:p>
              </w:tc>
            </w:tr>
            <w:tr w14:paraId="4937FD9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29E8B722">
                  <w:pPr>
                    <w:jc w:val="center"/>
                    <w:rPr>
                      <w:rFonts w:hint="eastAsia"/>
                      <w:color w:val="000000"/>
                      <w:szCs w:val="21"/>
                      <w:lang w:val="en-US" w:eastAsia="zh-CN"/>
                    </w:rPr>
                  </w:pPr>
                </w:p>
              </w:tc>
              <w:tc>
                <w:tcPr>
                  <w:tcW w:w="706" w:type="pct"/>
                  <w:vMerge w:val="restart"/>
                  <w:noWrap w:val="0"/>
                  <w:vAlign w:val="center"/>
                </w:tcPr>
                <w:p w14:paraId="6625DCD5">
                  <w:pPr>
                    <w:pStyle w:val="38"/>
                    <w:rPr>
                      <w:color w:val="000000"/>
                      <w:szCs w:val="21"/>
                    </w:rPr>
                  </w:pPr>
                  <w:r>
                    <w:rPr>
                      <w:color w:val="000000" w:themeColor="text1"/>
                      <w:szCs w:val="21"/>
                      <w:u w:val="none"/>
                      <w14:textFill>
                        <w14:solidFill>
                          <w14:schemeClr w14:val="tx1"/>
                        </w14:solidFill>
                      </w14:textFill>
                    </w:rPr>
                    <w:t>DA00</w:t>
                  </w:r>
                  <w:r>
                    <w:rPr>
                      <w:rFonts w:hint="eastAsia"/>
                      <w:color w:val="000000" w:themeColor="text1"/>
                      <w:szCs w:val="21"/>
                      <w:u w:val="none"/>
                      <w:lang w:val="en-US" w:eastAsia="zh-CN"/>
                      <w14:textFill>
                        <w14:solidFill>
                          <w14:schemeClr w14:val="tx1"/>
                        </w14:solidFill>
                      </w14:textFill>
                    </w:rPr>
                    <w:t>2</w:t>
                  </w:r>
                </w:p>
              </w:tc>
              <w:tc>
                <w:tcPr>
                  <w:tcW w:w="947" w:type="pct"/>
                  <w:noWrap w:val="0"/>
                  <w:vAlign w:val="center"/>
                </w:tcPr>
                <w:p w14:paraId="1E0928A9">
                  <w:pPr>
                    <w:pStyle w:val="38"/>
                    <w:rPr>
                      <w:rFonts w:hint="eastAsia"/>
                      <w:color w:val="000000"/>
                      <w:szCs w:val="21"/>
                    </w:rPr>
                  </w:pPr>
                  <w:r>
                    <w:rPr>
                      <w:rFonts w:hint="eastAsia"/>
                      <w:color w:val="000000" w:themeColor="text1"/>
                      <w:sz w:val="21"/>
                      <w:szCs w:val="21"/>
                      <w:u w:val="none"/>
                      <w:lang w:val="en-US" w:eastAsia="zh-CN"/>
                      <w14:textFill>
                        <w14:solidFill>
                          <w14:schemeClr w14:val="tx1"/>
                        </w14:solidFill>
                      </w14:textFill>
                    </w:rPr>
                    <w:t>油烟</w:t>
                  </w:r>
                </w:p>
              </w:tc>
              <w:tc>
                <w:tcPr>
                  <w:tcW w:w="654" w:type="pct"/>
                  <w:noWrap w:val="0"/>
                  <w:vAlign w:val="center"/>
                </w:tcPr>
                <w:p w14:paraId="0F31C4FF">
                  <w:pPr>
                    <w:jc w:val="center"/>
                    <w:rPr>
                      <w:color w:val="000000"/>
                      <w:kern w:val="0"/>
                      <w:szCs w:val="21"/>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1953" w:type="pct"/>
                  <w:tcBorders>
                    <w:top w:val="single" w:color="auto" w:sz="4" w:space="0"/>
                    <w:bottom w:val="single" w:color="auto" w:sz="4" w:space="0"/>
                  </w:tcBorders>
                  <w:noWrap w:val="0"/>
                  <w:vAlign w:val="center"/>
                </w:tcPr>
                <w:p w14:paraId="4EA54632">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i w:val="0"/>
                      <w:iCs w:val="0"/>
                      <w:color w:val="auto"/>
                      <w:sz w:val="21"/>
                      <w:szCs w:val="21"/>
                      <w:u w:val="none" w:color="auto"/>
                      <w:lang w:val="en-US" w:eastAsia="zh-CN"/>
                    </w:rPr>
                  </w:pPr>
                  <w:r>
                    <w:rPr>
                      <w:rFonts w:hint="eastAsia"/>
                      <w:color w:val="000000" w:themeColor="text1"/>
                      <w:sz w:val="21"/>
                      <w:szCs w:val="21"/>
                      <w14:textFill>
                        <w14:solidFill>
                          <w14:schemeClr w14:val="tx1"/>
                        </w14:solidFill>
                      </w14:textFill>
                    </w:rPr>
                    <w:t>《餐饮业油烟污染物排放标准》（DB41/1604-2018）</w:t>
                  </w:r>
                </w:p>
              </w:tc>
            </w:tr>
            <w:tr w14:paraId="23454A3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633F43E3">
                  <w:pPr>
                    <w:jc w:val="center"/>
                    <w:rPr>
                      <w:rFonts w:hint="eastAsia"/>
                      <w:color w:val="000000"/>
                      <w:szCs w:val="21"/>
                      <w:lang w:val="en-US" w:eastAsia="zh-CN"/>
                    </w:rPr>
                  </w:pPr>
                </w:p>
              </w:tc>
              <w:tc>
                <w:tcPr>
                  <w:tcW w:w="706" w:type="pct"/>
                  <w:vMerge w:val="continue"/>
                  <w:noWrap w:val="0"/>
                  <w:vAlign w:val="center"/>
                </w:tcPr>
                <w:p w14:paraId="767D0115">
                  <w:pPr>
                    <w:pStyle w:val="38"/>
                    <w:rPr>
                      <w:color w:val="000000"/>
                      <w:szCs w:val="21"/>
                    </w:rPr>
                  </w:pPr>
                </w:p>
              </w:tc>
              <w:tc>
                <w:tcPr>
                  <w:tcW w:w="947" w:type="pct"/>
                  <w:noWrap w:val="0"/>
                  <w:vAlign w:val="center"/>
                </w:tcPr>
                <w:p w14:paraId="28C1BF4A">
                  <w:pPr>
                    <w:pStyle w:val="38"/>
                    <w:rPr>
                      <w:rFonts w:hint="eastAsia"/>
                      <w:color w:val="000000"/>
                      <w:szCs w:val="21"/>
                    </w:rPr>
                  </w:pPr>
                  <w:r>
                    <w:rPr>
                      <w:rFonts w:hint="eastAsia"/>
                      <w:color w:val="000000" w:themeColor="text1"/>
                      <w:sz w:val="21"/>
                      <w:szCs w:val="21"/>
                      <w:u w:val="none"/>
                      <w:lang w:val="en-US" w:eastAsia="zh-CN"/>
                      <w14:textFill>
                        <w14:solidFill>
                          <w14:schemeClr w14:val="tx1"/>
                        </w14:solidFill>
                      </w14:textFill>
                    </w:rPr>
                    <w:t>非甲烷总烃</w:t>
                  </w:r>
                </w:p>
              </w:tc>
              <w:tc>
                <w:tcPr>
                  <w:tcW w:w="654" w:type="pct"/>
                  <w:noWrap w:val="0"/>
                  <w:vAlign w:val="center"/>
                </w:tcPr>
                <w:p w14:paraId="35B7A9E3">
                  <w:pPr>
                    <w:jc w:val="center"/>
                    <w:rPr>
                      <w:color w:val="000000"/>
                      <w:kern w:val="0"/>
                      <w:szCs w:val="21"/>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1953" w:type="pct"/>
                  <w:tcBorders>
                    <w:top w:val="single" w:color="auto" w:sz="4" w:space="0"/>
                    <w:bottom w:val="single" w:color="auto" w:sz="4" w:space="0"/>
                  </w:tcBorders>
                  <w:noWrap w:val="0"/>
                  <w:vAlign w:val="center"/>
                </w:tcPr>
                <w:p w14:paraId="76C8BABA">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i w:val="0"/>
                      <w:iCs w:val="0"/>
                      <w:color w:val="auto"/>
                      <w:sz w:val="21"/>
                      <w:szCs w:val="21"/>
                      <w:u w:val="none" w:color="auto"/>
                      <w:lang w:val="en-US" w:eastAsia="zh-CN"/>
                    </w:rPr>
                  </w:pPr>
                  <w:r>
                    <w:rPr>
                      <w:rFonts w:hint="eastAsia"/>
                      <w:color w:val="000000" w:themeColor="text1"/>
                      <w:sz w:val="21"/>
                      <w:szCs w:val="21"/>
                      <w14:textFill>
                        <w14:solidFill>
                          <w14:schemeClr w14:val="tx1"/>
                        </w14:solidFill>
                      </w14:textFill>
                    </w:rPr>
                    <w:t>《餐饮业油烟污染物排放标准》（DB41/1604-2018）</w:t>
                  </w:r>
                </w:p>
              </w:tc>
            </w:tr>
            <w:tr w14:paraId="6416D22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2DE350FF">
                  <w:pPr>
                    <w:jc w:val="center"/>
                    <w:rPr>
                      <w:rFonts w:hint="eastAsia"/>
                      <w:color w:val="000000"/>
                      <w:szCs w:val="21"/>
                      <w:lang w:val="en-US" w:eastAsia="zh-CN"/>
                    </w:rPr>
                  </w:pPr>
                </w:p>
              </w:tc>
              <w:tc>
                <w:tcPr>
                  <w:tcW w:w="706" w:type="pct"/>
                  <w:vMerge w:val="restart"/>
                  <w:noWrap w:val="0"/>
                  <w:vAlign w:val="center"/>
                </w:tcPr>
                <w:p w14:paraId="131630E1">
                  <w:pPr>
                    <w:pStyle w:val="38"/>
                    <w:rPr>
                      <w:color w:val="000000"/>
                      <w:szCs w:val="21"/>
                    </w:rPr>
                  </w:pPr>
                  <w:r>
                    <w:rPr>
                      <w:color w:val="000000" w:themeColor="text1"/>
                      <w:szCs w:val="21"/>
                      <w:u w:val="none"/>
                      <w14:textFill>
                        <w14:solidFill>
                          <w14:schemeClr w14:val="tx1"/>
                        </w14:solidFill>
                      </w14:textFill>
                    </w:rPr>
                    <w:t>DA00</w:t>
                  </w:r>
                  <w:r>
                    <w:rPr>
                      <w:rFonts w:hint="eastAsia"/>
                      <w:color w:val="000000" w:themeColor="text1"/>
                      <w:szCs w:val="21"/>
                      <w:u w:val="none"/>
                      <w:lang w:val="en-US" w:eastAsia="zh-CN"/>
                      <w14:textFill>
                        <w14:solidFill>
                          <w14:schemeClr w14:val="tx1"/>
                        </w14:solidFill>
                      </w14:textFill>
                    </w:rPr>
                    <w:t>3</w:t>
                  </w:r>
                </w:p>
              </w:tc>
              <w:tc>
                <w:tcPr>
                  <w:tcW w:w="947" w:type="pct"/>
                  <w:noWrap w:val="0"/>
                  <w:vAlign w:val="center"/>
                </w:tcPr>
                <w:p w14:paraId="789F884D">
                  <w:pPr>
                    <w:pStyle w:val="38"/>
                    <w:rPr>
                      <w:rFonts w:hint="eastAsia"/>
                      <w:color w:val="000000"/>
                      <w:szCs w:val="21"/>
                    </w:rPr>
                  </w:pPr>
                  <w:r>
                    <w:rPr>
                      <w:rFonts w:hint="eastAsia"/>
                      <w:color w:val="000000" w:themeColor="text1"/>
                      <w:sz w:val="21"/>
                      <w:szCs w:val="21"/>
                      <w:u w:val="none"/>
                      <w:lang w:val="en-US" w:eastAsia="zh-CN"/>
                      <w14:textFill>
                        <w14:solidFill>
                          <w14:schemeClr w14:val="tx1"/>
                        </w14:solidFill>
                      </w14:textFill>
                    </w:rPr>
                    <w:t>油烟</w:t>
                  </w:r>
                </w:p>
              </w:tc>
              <w:tc>
                <w:tcPr>
                  <w:tcW w:w="654" w:type="pct"/>
                  <w:noWrap w:val="0"/>
                  <w:vAlign w:val="center"/>
                </w:tcPr>
                <w:p w14:paraId="4103F80F">
                  <w:pPr>
                    <w:jc w:val="center"/>
                    <w:rPr>
                      <w:color w:val="000000"/>
                      <w:kern w:val="0"/>
                      <w:szCs w:val="21"/>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1953" w:type="pct"/>
                  <w:tcBorders>
                    <w:top w:val="single" w:color="auto" w:sz="4" w:space="0"/>
                    <w:bottom w:val="single" w:color="auto" w:sz="4" w:space="0"/>
                  </w:tcBorders>
                  <w:noWrap w:val="0"/>
                  <w:vAlign w:val="center"/>
                </w:tcPr>
                <w:p w14:paraId="0BADE3B4">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i w:val="0"/>
                      <w:iCs w:val="0"/>
                      <w:color w:val="auto"/>
                      <w:sz w:val="21"/>
                      <w:szCs w:val="21"/>
                      <w:u w:val="none" w:color="auto"/>
                      <w:lang w:val="en-US" w:eastAsia="zh-CN"/>
                    </w:rPr>
                  </w:pPr>
                  <w:r>
                    <w:rPr>
                      <w:rFonts w:hint="eastAsia"/>
                      <w:color w:val="000000" w:themeColor="text1"/>
                      <w:sz w:val="21"/>
                      <w:szCs w:val="21"/>
                      <w14:textFill>
                        <w14:solidFill>
                          <w14:schemeClr w14:val="tx1"/>
                        </w14:solidFill>
                      </w14:textFill>
                    </w:rPr>
                    <w:t>《餐饮业油烟污染物排放标准》（DB41/1604-2018）</w:t>
                  </w:r>
                </w:p>
              </w:tc>
            </w:tr>
            <w:tr w14:paraId="35B9ADA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737F65FC">
                  <w:pPr>
                    <w:jc w:val="center"/>
                    <w:rPr>
                      <w:rFonts w:hint="eastAsia"/>
                      <w:color w:val="000000"/>
                      <w:szCs w:val="21"/>
                      <w:lang w:val="en-US" w:eastAsia="zh-CN"/>
                    </w:rPr>
                  </w:pPr>
                </w:p>
              </w:tc>
              <w:tc>
                <w:tcPr>
                  <w:tcW w:w="706" w:type="pct"/>
                  <w:vMerge w:val="continue"/>
                  <w:noWrap w:val="0"/>
                  <w:vAlign w:val="center"/>
                </w:tcPr>
                <w:p w14:paraId="08F6AEF3">
                  <w:pPr>
                    <w:pStyle w:val="38"/>
                    <w:rPr>
                      <w:color w:val="000000"/>
                      <w:szCs w:val="21"/>
                    </w:rPr>
                  </w:pPr>
                </w:p>
              </w:tc>
              <w:tc>
                <w:tcPr>
                  <w:tcW w:w="947" w:type="pct"/>
                  <w:noWrap w:val="0"/>
                  <w:vAlign w:val="center"/>
                </w:tcPr>
                <w:p w14:paraId="76DC48B2">
                  <w:pPr>
                    <w:pStyle w:val="38"/>
                    <w:rPr>
                      <w:rFonts w:hint="eastAsia"/>
                      <w:color w:val="000000"/>
                      <w:szCs w:val="21"/>
                    </w:rPr>
                  </w:pPr>
                  <w:r>
                    <w:rPr>
                      <w:rFonts w:hint="eastAsia"/>
                      <w:color w:val="000000" w:themeColor="text1"/>
                      <w:sz w:val="21"/>
                      <w:szCs w:val="21"/>
                      <w:u w:val="none"/>
                      <w:lang w:val="en-US" w:eastAsia="zh-CN"/>
                      <w14:textFill>
                        <w14:solidFill>
                          <w14:schemeClr w14:val="tx1"/>
                        </w14:solidFill>
                      </w14:textFill>
                    </w:rPr>
                    <w:t>非甲烷总烃</w:t>
                  </w:r>
                </w:p>
              </w:tc>
              <w:tc>
                <w:tcPr>
                  <w:tcW w:w="654" w:type="pct"/>
                  <w:noWrap w:val="0"/>
                  <w:vAlign w:val="center"/>
                </w:tcPr>
                <w:p w14:paraId="09C611A7">
                  <w:pPr>
                    <w:jc w:val="center"/>
                    <w:rPr>
                      <w:color w:val="000000"/>
                      <w:kern w:val="0"/>
                      <w:szCs w:val="21"/>
                    </w:rPr>
                  </w:pPr>
                  <w:r>
                    <w:rPr>
                      <w:color w:val="000000" w:themeColor="text1"/>
                      <w:szCs w:val="21"/>
                      <w:u w:val="none"/>
                      <w14:textFill>
                        <w14:solidFill>
                          <w14:schemeClr w14:val="tx1"/>
                        </w14:solidFill>
                      </w14:textFill>
                    </w:rPr>
                    <w:t>1次/</w:t>
                  </w:r>
                  <w:r>
                    <w:rPr>
                      <w:rFonts w:hint="eastAsia"/>
                      <w:color w:val="000000" w:themeColor="text1"/>
                      <w:szCs w:val="21"/>
                      <w:u w:val="none"/>
                      <w:lang w:val="en-US" w:eastAsia="zh-CN"/>
                      <w14:textFill>
                        <w14:solidFill>
                          <w14:schemeClr w14:val="tx1"/>
                        </w14:solidFill>
                      </w14:textFill>
                    </w:rPr>
                    <w:t>半</w:t>
                  </w:r>
                  <w:r>
                    <w:rPr>
                      <w:color w:val="000000" w:themeColor="text1"/>
                      <w:szCs w:val="21"/>
                      <w:u w:val="none"/>
                      <w14:textFill>
                        <w14:solidFill>
                          <w14:schemeClr w14:val="tx1"/>
                        </w14:solidFill>
                      </w14:textFill>
                    </w:rPr>
                    <w:t>年</w:t>
                  </w:r>
                </w:p>
              </w:tc>
              <w:tc>
                <w:tcPr>
                  <w:tcW w:w="1953" w:type="pct"/>
                  <w:tcBorders>
                    <w:top w:val="single" w:color="auto" w:sz="4" w:space="0"/>
                    <w:bottom w:val="single" w:color="auto" w:sz="4" w:space="0"/>
                  </w:tcBorders>
                  <w:noWrap w:val="0"/>
                  <w:vAlign w:val="center"/>
                </w:tcPr>
                <w:p w14:paraId="388EEEC2">
                  <w:pPr>
                    <w:keepNext w:val="0"/>
                    <w:keepLines w:val="0"/>
                    <w:pageBreakBefore w:val="0"/>
                    <w:widowControl w:val="0"/>
                    <w:kinsoku/>
                    <w:wordWrap/>
                    <w:overflowPunct/>
                    <w:topLinePunct w:val="0"/>
                    <w:autoSpaceDE/>
                    <w:autoSpaceDN/>
                    <w:bidi w:val="0"/>
                    <w:jc w:val="center"/>
                    <w:textAlignment w:val="auto"/>
                    <w:outlineLvl w:val="9"/>
                    <w:rPr>
                      <w:rFonts w:hint="default" w:ascii="Times New Roman" w:hAnsi="Times New Roman" w:eastAsia="宋体" w:cs="Times New Roman"/>
                      <w:i w:val="0"/>
                      <w:iCs w:val="0"/>
                      <w:color w:val="auto"/>
                      <w:sz w:val="21"/>
                      <w:szCs w:val="21"/>
                      <w:u w:val="none" w:color="auto"/>
                      <w:lang w:val="en-US" w:eastAsia="zh-CN"/>
                    </w:rPr>
                  </w:pPr>
                  <w:r>
                    <w:rPr>
                      <w:rFonts w:hint="eastAsia"/>
                      <w:color w:val="000000" w:themeColor="text1"/>
                      <w:sz w:val="21"/>
                      <w:szCs w:val="21"/>
                      <w14:textFill>
                        <w14:solidFill>
                          <w14:schemeClr w14:val="tx1"/>
                        </w14:solidFill>
                      </w14:textFill>
                    </w:rPr>
                    <w:t>《餐饮业油烟污染物排放标准》（DB41/1604-2018）</w:t>
                  </w:r>
                </w:p>
              </w:tc>
            </w:tr>
            <w:tr w14:paraId="5A72408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7A3DB2D6">
                  <w:pPr>
                    <w:jc w:val="center"/>
                    <w:rPr>
                      <w:rFonts w:hint="eastAsia"/>
                      <w:color w:val="000000"/>
                      <w:szCs w:val="21"/>
                      <w:lang w:val="en-US" w:eastAsia="zh-CN"/>
                    </w:rPr>
                  </w:pPr>
                </w:p>
              </w:tc>
              <w:tc>
                <w:tcPr>
                  <w:tcW w:w="706" w:type="pct"/>
                  <w:vMerge w:val="restart"/>
                  <w:shd w:val="clear" w:color="auto" w:fill="auto"/>
                  <w:noWrap w:val="0"/>
                  <w:vAlign w:val="center"/>
                </w:tcPr>
                <w:p w14:paraId="02E49C6B">
                  <w:pPr>
                    <w:jc w:val="center"/>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DA00</w:t>
                  </w:r>
                  <w:r>
                    <w:rPr>
                      <w:rFonts w:hint="eastAsia"/>
                      <w:color w:val="000000" w:themeColor="text1"/>
                      <w:szCs w:val="21"/>
                      <w:u w:val="none"/>
                      <w:lang w:val="en-US" w:eastAsia="zh-CN"/>
                      <w14:textFill>
                        <w14:solidFill>
                          <w14:schemeClr w14:val="tx1"/>
                        </w14:solidFill>
                      </w14:textFill>
                    </w:rPr>
                    <w:t>4</w:t>
                  </w:r>
                </w:p>
              </w:tc>
              <w:tc>
                <w:tcPr>
                  <w:tcW w:w="947" w:type="pct"/>
                  <w:vMerge w:val="restart"/>
                  <w:shd w:val="clear" w:color="auto" w:fill="auto"/>
                  <w:noWrap w:val="0"/>
                  <w:vAlign w:val="center"/>
                </w:tcPr>
                <w:p w14:paraId="0C5CD0B9">
                  <w:pPr>
                    <w:pStyle w:val="38"/>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颗粒物</w:t>
                  </w:r>
                </w:p>
              </w:tc>
              <w:tc>
                <w:tcPr>
                  <w:tcW w:w="654" w:type="pct"/>
                  <w:vMerge w:val="restart"/>
                  <w:noWrap w:val="0"/>
                  <w:vAlign w:val="center"/>
                </w:tcPr>
                <w:p w14:paraId="3963481B">
                  <w:pPr>
                    <w:jc w:val="center"/>
                    <w:rPr>
                      <w:color w:val="000000"/>
                      <w:kern w:val="0"/>
                      <w:szCs w:val="21"/>
                    </w:rPr>
                  </w:pPr>
                  <w:r>
                    <w:rPr>
                      <w:color w:val="000000" w:themeColor="text1"/>
                      <w:szCs w:val="21"/>
                      <w:u w:val="none"/>
                      <w14:textFill>
                        <w14:solidFill>
                          <w14:schemeClr w14:val="tx1"/>
                        </w14:solidFill>
                      </w14:textFill>
                    </w:rPr>
                    <w:t>1次/年</w:t>
                  </w:r>
                </w:p>
              </w:tc>
              <w:tc>
                <w:tcPr>
                  <w:tcW w:w="1953" w:type="pct"/>
                  <w:tcBorders>
                    <w:top w:val="single" w:color="auto" w:sz="4" w:space="0"/>
                    <w:bottom w:val="single" w:color="auto" w:sz="4" w:space="0"/>
                  </w:tcBorders>
                  <w:noWrap w:val="0"/>
                  <w:vAlign w:val="center"/>
                </w:tcPr>
                <w:p w14:paraId="1FD88CFF">
                  <w:pPr>
                    <w:jc w:val="center"/>
                    <w:rPr>
                      <w:color w:val="000000"/>
                      <w:szCs w:val="21"/>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6AA9FF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0A8EB392">
                  <w:pPr>
                    <w:jc w:val="center"/>
                    <w:rPr>
                      <w:rFonts w:hint="eastAsia"/>
                      <w:color w:val="000000"/>
                      <w:szCs w:val="21"/>
                      <w:lang w:val="en-US" w:eastAsia="zh-CN"/>
                    </w:rPr>
                  </w:pPr>
                </w:p>
              </w:tc>
              <w:tc>
                <w:tcPr>
                  <w:tcW w:w="706" w:type="pct"/>
                  <w:vMerge w:val="continue"/>
                  <w:noWrap w:val="0"/>
                  <w:vAlign w:val="center"/>
                </w:tcPr>
                <w:p w14:paraId="413ABE03">
                  <w:pPr>
                    <w:jc w:val="center"/>
                    <w:rPr>
                      <w:color w:val="000000"/>
                      <w:szCs w:val="21"/>
                    </w:rPr>
                  </w:pPr>
                </w:p>
              </w:tc>
              <w:tc>
                <w:tcPr>
                  <w:tcW w:w="947" w:type="pct"/>
                  <w:vMerge w:val="continue"/>
                  <w:noWrap w:val="0"/>
                  <w:vAlign w:val="center"/>
                </w:tcPr>
                <w:p w14:paraId="3B012BEB">
                  <w:pPr>
                    <w:pStyle w:val="38"/>
                    <w:rPr>
                      <w:rFonts w:hint="eastAsia"/>
                      <w:color w:val="000000"/>
                      <w:szCs w:val="21"/>
                    </w:rPr>
                  </w:pPr>
                </w:p>
              </w:tc>
              <w:tc>
                <w:tcPr>
                  <w:tcW w:w="654" w:type="pct"/>
                  <w:vMerge w:val="continue"/>
                  <w:noWrap w:val="0"/>
                  <w:vAlign w:val="center"/>
                </w:tcPr>
                <w:p w14:paraId="1C5BB6E9">
                  <w:pPr>
                    <w:jc w:val="center"/>
                    <w:rPr>
                      <w:color w:val="000000"/>
                      <w:kern w:val="0"/>
                      <w:szCs w:val="21"/>
                    </w:rPr>
                  </w:pPr>
                </w:p>
              </w:tc>
              <w:tc>
                <w:tcPr>
                  <w:tcW w:w="1953" w:type="pct"/>
                  <w:tcBorders>
                    <w:top w:val="single" w:color="auto" w:sz="4" w:space="0"/>
                    <w:bottom w:val="single" w:color="auto" w:sz="4" w:space="0"/>
                  </w:tcBorders>
                  <w:noWrap w:val="0"/>
                  <w:vAlign w:val="center"/>
                </w:tcPr>
                <w:p w14:paraId="23F08F2A">
                  <w:pPr>
                    <w:adjustRightInd w:val="0"/>
                    <w:snapToGrid w:val="0"/>
                    <w:jc w:val="center"/>
                    <w:rPr>
                      <w:color w:val="000000"/>
                      <w:szCs w:val="21"/>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3B4318C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6B5D70EB">
                  <w:pPr>
                    <w:jc w:val="center"/>
                    <w:rPr>
                      <w:rFonts w:hint="eastAsia"/>
                      <w:color w:val="000000"/>
                      <w:szCs w:val="21"/>
                      <w:lang w:val="en-US" w:eastAsia="zh-CN"/>
                    </w:rPr>
                  </w:pPr>
                </w:p>
              </w:tc>
              <w:tc>
                <w:tcPr>
                  <w:tcW w:w="706" w:type="pct"/>
                  <w:vMerge w:val="continue"/>
                  <w:noWrap w:val="0"/>
                  <w:vAlign w:val="center"/>
                </w:tcPr>
                <w:p w14:paraId="3EE418D1">
                  <w:pPr>
                    <w:jc w:val="center"/>
                    <w:rPr>
                      <w:color w:val="000000"/>
                      <w:szCs w:val="21"/>
                    </w:rPr>
                  </w:pPr>
                </w:p>
              </w:tc>
              <w:tc>
                <w:tcPr>
                  <w:tcW w:w="947" w:type="pct"/>
                  <w:vMerge w:val="restart"/>
                  <w:noWrap w:val="0"/>
                  <w:vAlign w:val="center"/>
                </w:tcPr>
                <w:p w14:paraId="479B0300">
                  <w:pPr>
                    <w:pStyle w:val="38"/>
                    <w:rPr>
                      <w:rFonts w:hint="eastAsia"/>
                      <w:color w:val="000000"/>
                      <w:szCs w:val="21"/>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654" w:type="pct"/>
                  <w:vMerge w:val="restart"/>
                  <w:noWrap w:val="0"/>
                  <w:vAlign w:val="center"/>
                </w:tcPr>
                <w:p w14:paraId="4E4C790E">
                  <w:pPr>
                    <w:jc w:val="center"/>
                    <w:rPr>
                      <w:color w:val="000000"/>
                      <w:kern w:val="0"/>
                      <w:szCs w:val="21"/>
                    </w:rPr>
                  </w:pPr>
                  <w:r>
                    <w:rPr>
                      <w:color w:val="000000" w:themeColor="text1"/>
                      <w:szCs w:val="21"/>
                      <w:u w:val="none"/>
                      <w14:textFill>
                        <w14:solidFill>
                          <w14:schemeClr w14:val="tx1"/>
                        </w14:solidFill>
                      </w14:textFill>
                    </w:rPr>
                    <w:t>1次/年</w:t>
                  </w:r>
                </w:p>
              </w:tc>
              <w:tc>
                <w:tcPr>
                  <w:tcW w:w="1953" w:type="pct"/>
                  <w:tcBorders>
                    <w:top w:val="single" w:color="auto" w:sz="4" w:space="0"/>
                    <w:bottom w:val="single" w:color="auto" w:sz="4" w:space="0"/>
                  </w:tcBorders>
                  <w:noWrap w:val="0"/>
                  <w:vAlign w:val="center"/>
                </w:tcPr>
                <w:p w14:paraId="582441DF">
                  <w:pPr>
                    <w:jc w:val="center"/>
                    <w:rPr>
                      <w:color w:val="000000"/>
                      <w:szCs w:val="21"/>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4C0932D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05E5FD85">
                  <w:pPr>
                    <w:jc w:val="center"/>
                    <w:rPr>
                      <w:rFonts w:hint="eastAsia"/>
                      <w:color w:val="000000"/>
                      <w:szCs w:val="21"/>
                      <w:lang w:val="en-US" w:eastAsia="zh-CN"/>
                    </w:rPr>
                  </w:pPr>
                </w:p>
              </w:tc>
              <w:tc>
                <w:tcPr>
                  <w:tcW w:w="706" w:type="pct"/>
                  <w:vMerge w:val="continue"/>
                  <w:noWrap w:val="0"/>
                  <w:vAlign w:val="center"/>
                </w:tcPr>
                <w:p w14:paraId="53E523D1">
                  <w:pPr>
                    <w:jc w:val="center"/>
                    <w:rPr>
                      <w:color w:val="000000"/>
                      <w:szCs w:val="21"/>
                    </w:rPr>
                  </w:pPr>
                </w:p>
              </w:tc>
              <w:tc>
                <w:tcPr>
                  <w:tcW w:w="947" w:type="pct"/>
                  <w:vMerge w:val="continue"/>
                  <w:noWrap w:val="0"/>
                  <w:vAlign w:val="center"/>
                </w:tcPr>
                <w:p w14:paraId="0311946A">
                  <w:pPr>
                    <w:spacing w:before="60" w:after="60"/>
                    <w:jc w:val="center"/>
                    <w:rPr>
                      <w:rFonts w:hint="eastAsia"/>
                      <w:color w:val="000000"/>
                      <w:szCs w:val="21"/>
                    </w:rPr>
                  </w:pPr>
                </w:p>
              </w:tc>
              <w:tc>
                <w:tcPr>
                  <w:tcW w:w="654" w:type="pct"/>
                  <w:vMerge w:val="continue"/>
                  <w:noWrap w:val="0"/>
                  <w:vAlign w:val="center"/>
                </w:tcPr>
                <w:p w14:paraId="50F2CD32">
                  <w:pPr>
                    <w:spacing w:before="60" w:after="60"/>
                    <w:jc w:val="center"/>
                    <w:rPr>
                      <w:color w:val="000000"/>
                      <w:kern w:val="0"/>
                      <w:szCs w:val="21"/>
                    </w:rPr>
                  </w:pPr>
                </w:p>
              </w:tc>
              <w:tc>
                <w:tcPr>
                  <w:tcW w:w="1953" w:type="pct"/>
                  <w:tcBorders>
                    <w:top w:val="single" w:color="auto" w:sz="4" w:space="0"/>
                    <w:bottom w:val="single" w:color="auto" w:sz="4" w:space="0"/>
                  </w:tcBorders>
                  <w:noWrap w:val="0"/>
                  <w:vAlign w:val="center"/>
                </w:tcPr>
                <w:p w14:paraId="643F0944">
                  <w:pPr>
                    <w:adjustRightInd w:val="0"/>
                    <w:snapToGrid w:val="0"/>
                    <w:jc w:val="center"/>
                    <w:rPr>
                      <w:color w:val="000000"/>
                      <w:szCs w:val="21"/>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361971D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3587554A">
                  <w:pPr>
                    <w:jc w:val="center"/>
                    <w:rPr>
                      <w:rFonts w:hint="eastAsia"/>
                      <w:color w:val="000000"/>
                      <w:szCs w:val="21"/>
                      <w:lang w:val="en-US" w:eastAsia="zh-CN"/>
                    </w:rPr>
                  </w:pPr>
                </w:p>
              </w:tc>
              <w:tc>
                <w:tcPr>
                  <w:tcW w:w="706" w:type="pct"/>
                  <w:vMerge w:val="continue"/>
                  <w:noWrap w:val="0"/>
                  <w:vAlign w:val="center"/>
                </w:tcPr>
                <w:p w14:paraId="31A3F8F5">
                  <w:pPr>
                    <w:jc w:val="center"/>
                    <w:rPr>
                      <w:color w:val="000000"/>
                      <w:szCs w:val="21"/>
                    </w:rPr>
                  </w:pPr>
                </w:p>
              </w:tc>
              <w:tc>
                <w:tcPr>
                  <w:tcW w:w="947" w:type="pct"/>
                  <w:vMerge w:val="restart"/>
                  <w:noWrap w:val="0"/>
                  <w:vAlign w:val="center"/>
                </w:tcPr>
                <w:p w14:paraId="364613F7">
                  <w:pPr>
                    <w:pStyle w:val="38"/>
                    <w:rPr>
                      <w:rFonts w:hint="eastAsia"/>
                      <w:color w:val="000000"/>
                      <w:szCs w:val="21"/>
                    </w:rPr>
                  </w:pPr>
                  <w:r>
                    <w:rPr>
                      <w:rFonts w:hint="eastAsia"/>
                      <w:color w:val="000000" w:themeColor="text1"/>
                      <w:szCs w:val="21"/>
                      <w:u w:val="none"/>
                      <w14:textFill>
                        <w14:solidFill>
                          <w14:schemeClr w14:val="tx1"/>
                        </w14:solidFill>
                      </w14:textFill>
                    </w:rPr>
                    <w:t>NO</w:t>
                  </w:r>
                  <w:r>
                    <w:rPr>
                      <w:rFonts w:hint="eastAsia"/>
                      <w:color w:val="000000" w:themeColor="text1"/>
                      <w:szCs w:val="21"/>
                      <w:u w:val="none"/>
                      <w:vertAlign w:val="subscript"/>
                      <w14:textFill>
                        <w14:solidFill>
                          <w14:schemeClr w14:val="tx1"/>
                        </w14:solidFill>
                      </w14:textFill>
                    </w:rPr>
                    <w:t>X</w:t>
                  </w:r>
                </w:p>
              </w:tc>
              <w:tc>
                <w:tcPr>
                  <w:tcW w:w="654" w:type="pct"/>
                  <w:vMerge w:val="restart"/>
                  <w:noWrap w:val="0"/>
                  <w:vAlign w:val="center"/>
                </w:tcPr>
                <w:p w14:paraId="37162748">
                  <w:pPr>
                    <w:jc w:val="center"/>
                    <w:rPr>
                      <w:color w:val="000000"/>
                      <w:kern w:val="0"/>
                      <w:szCs w:val="21"/>
                    </w:rPr>
                  </w:pPr>
                  <w:r>
                    <w:rPr>
                      <w:color w:val="000000" w:themeColor="text1"/>
                      <w:szCs w:val="21"/>
                      <w:u w:val="none"/>
                      <w14:textFill>
                        <w14:solidFill>
                          <w14:schemeClr w14:val="tx1"/>
                        </w14:solidFill>
                      </w14:textFill>
                    </w:rPr>
                    <w:t>1</w:t>
                  </w:r>
                  <w:r>
                    <w:rPr>
                      <w:rFonts w:hint="eastAsia"/>
                      <w:color w:val="000000" w:themeColor="text1"/>
                      <w:szCs w:val="21"/>
                      <w:u w:val="none"/>
                      <w14:textFill>
                        <w14:solidFill>
                          <w14:schemeClr w14:val="tx1"/>
                        </w14:solidFill>
                      </w14:textFill>
                    </w:rPr>
                    <w:t>次</w:t>
                  </w:r>
                  <w:r>
                    <w:rPr>
                      <w:color w:val="000000" w:themeColor="text1"/>
                      <w:szCs w:val="21"/>
                      <w:u w:val="none"/>
                      <w14:textFill>
                        <w14:solidFill>
                          <w14:schemeClr w14:val="tx1"/>
                        </w14:solidFill>
                      </w14:textFill>
                    </w:rPr>
                    <w:t>/</w:t>
                  </w:r>
                  <w:r>
                    <w:rPr>
                      <w:rFonts w:hint="eastAsia"/>
                      <w:color w:val="000000" w:themeColor="text1"/>
                      <w:szCs w:val="21"/>
                      <w:u w:val="none"/>
                      <w:lang w:val="en-US" w:eastAsia="zh-CN"/>
                      <w14:textFill>
                        <w14:solidFill>
                          <w14:schemeClr w14:val="tx1"/>
                        </w14:solidFill>
                      </w14:textFill>
                    </w:rPr>
                    <w:t>月</w:t>
                  </w:r>
                </w:p>
              </w:tc>
              <w:tc>
                <w:tcPr>
                  <w:tcW w:w="1953" w:type="pct"/>
                  <w:tcBorders>
                    <w:top w:val="single" w:color="auto" w:sz="4" w:space="0"/>
                    <w:bottom w:val="single" w:color="auto" w:sz="4" w:space="0"/>
                  </w:tcBorders>
                  <w:noWrap w:val="0"/>
                  <w:vAlign w:val="center"/>
                </w:tcPr>
                <w:p w14:paraId="4C3BEE87">
                  <w:pPr>
                    <w:jc w:val="center"/>
                    <w:rPr>
                      <w:color w:val="000000"/>
                      <w:szCs w:val="21"/>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179E515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2D781593">
                  <w:pPr>
                    <w:jc w:val="center"/>
                    <w:rPr>
                      <w:rFonts w:hint="eastAsia"/>
                      <w:color w:val="000000"/>
                      <w:szCs w:val="21"/>
                      <w:lang w:val="en-US" w:eastAsia="zh-CN"/>
                    </w:rPr>
                  </w:pPr>
                </w:p>
              </w:tc>
              <w:tc>
                <w:tcPr>
                  <w:tcW w:w="706" w:type="pct"/>
                  <w:vMerge w:val="continue"/>
                  <w:noWrap w:val="0"/>
                  <w:vAlign w:val="center"/>
                </w:tcPr>
                <w:p w14:paraId="1DBD7F1E">
                  <w:pPr>
                    <w:jc w:val="center"/>
                    <w:rPr>
                      <w:color w:val="000000"/>
                      <w:szCs w:val="21"/>
                    </w:rPr>
                  </w:pPr>
                </w:p>
              </w:tc>
              <w:tc>
                <w:tcPr>
                  <w:tcW w:w="947" w:type="pct"/>
                  <w:vMerge w:val="continue"/>
                  <w:noWrap w:val="0"/>
                  <w:vAlign w:val="center"/>
                </w:tcPr>
                <w:p w14:paraId="7245C993">
                  <w:pPr>
                    <w:spacing w:before="60" w:after="60"/>
                    <w:jc w:val="center"/>
                    <w:rPr>
                      <w:rFonts w:hint="eastAsia"/>
                      <w:color w:val="000000"/>
                      <w:szCs w:val="21"/>
                    </w:rPr>
                  </w:pPr>
                </w:p>
              </w:tc>
              <w:tc>
                <w:tcPr>
                  <w:tcW w:w="654" w:type="pct"/>
                  <w:vMerge w:val="continue"/>
                  <w:noWrap w:val="0"/>
                  <w:vAlign w:val="center"/>
                </w:tcPr>
                <w:p w14:paraId="51218DB8">
                  <w:pPr>
                    <w:spacing w:before="60" w:after="60"/>
                    <w:jc w:val="center"/>
                    <w:rPr>
                      <w:color w:val="000000"/>
                      <w:kern w:val="0"/>
                      <w:szCs w:val="21"/>
                    </w:rPr>
                  </w:pPr>
                </w:p>
              </w:tc>
              <w:tc>
                <w:tcPr>
                  <w:tcW w:w="1953" w:type="pct"/>
                  <w:tcBorders>
                    <w:top w:val="single" w:color="auto" w:sz="4" w:space="0"/>
                    <w:bottom w:val="single" w:color="auto" w:sz="4" w:space="0"/>
                  </w:tcBorders>
                  <w:noWrap w:val="0"/>
                  <w:vAlign w:val="center"/>
                </w:tcPr>
                <w:p w14:paraId="3F5F4EDD">
                  <w:pPr>
                    <w:adjustRightInd w:val="0"/>
                    <w:snapToGrid w:val="0"/>
                    <w:jc w:val="center"/>
                    <w:rPr>
                      <w:color w:val="000000"/>
                      <w:szCs w:val="21"/>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495A811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33EC034C">
                  <w:pPr>
                    <w:jc w:val="center"/>
                    <w:rPr>
                      <w:rFonts w:hint="eastAsia"/>
                      <w:color w:val="000000"/>
                      <w:szCs w:val="21"/>
                      <w:lang w:val="en-US" w:eastAsia="zh-CN"/>
                    </w:rPr>
                  </w:pPr>
                </w:p>
              </w:tc>
              <w:tc>
                <w:tcPr>
                  <w:tcW w:w="706" w:type="pct"/>
                  <w:vMerge w:val="restart"/>
                  <w:noWrap w:val="0"/>
                  <w:vAlign w:val="center"/>
                </w:tcPr>
                <w:p w14:paraId="4EFC9BDD">
                  <w:pPr>
                    <w:jc w:val="center"/>
                    <w:rPr>
                      <w:rFonts w:hint="eastAsia" w:eastAsia="宋体"/>
                      <w:color w:val="000000"/>
                      <w:szCs w:val="21"/>
                      <w:lang w:val="en-US" w:eastAsia="zh-CN"/>
                    </w:rPr>
                  </w:pPr>
                  <w:r>
                    <w:rPr>
                      <w:rFonts w:hint="eastAsia"/>
                      <w:color w:val="000000"/>
                      <w:szCs w:val="21"/>
                      <w:lang w:val="en-US" w:eastAsia="zh-CN"/>
                    </w:rPr>
                    <w:t>无组织</w:t>
                  </w:r>
                </w:p>
              </w:tc>
              <w:tc>
                <w:tcPr>
                  <w:tcW w:w="1757" w:type="dxa"/>
                  <w:noWrap w:val="0"/>
                  <w:vAlign w:val="center"/>
                </w:tcPr>
                <w:p w14:paraId="23A76663">
                  <w:pPr>
                    <w:pStyle w:val="38"/>
                    <w:rPr>
                      <w:rFonts w:hint="eastAsia"/>
                      <w:color w:val="000000"/>
                      <w:szCs w:val="21"/>
                      <w:lang w:val="en-US" w:eastAsia="zh-CN"/>
                    </w:rPr>
                  </w:pPr>
                  <w:r>
                    <w:rPr>
                      <w:rFonts w:hint="eastAsia"/>
                      <w:color w:val="000000" w:themeColor="text1"/>
                      <w:sz w:val="21"/>
                      <w:szCs w:val="21"/>
                      <w:u w:val="none"/>
                      <w:lang w:val="en-US" w:eastAsia="zh-CN"/>
                      <w14:textFill>
                        <w14:solidFill>
                          <w14:schemeClr w14:val="tx1"/>
                        </w14:solidFill>
                      </w14:textFill>
                    </w:rPr>
                    <w:t>油烟</w:t>
                  </w:r>
                </w:p>
              </w:tc>
              <w:tc>
                <w:tcPr>
                  <w:tcW w:w="1213" w:type="dxa"/>
                  <w:noWrap w:val="0"/>
                  <w:vAlign w:val="center"/>
                </w:tcPr>
                <w:p w14:paraId="3435B73F">
                  <w:pPr>
                    <w:jc w:val="center"/>
                    <w:rPr>
                      <w:color w:val="000000" w:themeColor="text1"/>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3622" w:type="dxa"/>
                  <w:tcBorders>
                    <w:top w:val="single" w:color="auto" w:sz="4" w:space="0"/>
                    <w:bottom w:val="single" w:color="auto" w:sz="4" w:space="0"/>
                  </w:tcBorders>
                  <w:noWrap w:val="0"/>
                  <w:vAlign w:val="center"/>
                </w:tcPr>
                <w:p w14:paraId="2F821D24">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rFonts w:hint="eastAsia" w:cs="Times New Roman"/>
                      <w:color w:val="000000"/>
                      <w:kern w:val="2"/>
                      <w:sz w:val="21"/>
                      <w:szCs w:val="21"/>
                      <w:lang w:val="en-US" w:eastAsia="zh-CN" w:bidi="ar-SA"/>
                    </w:rPr>
                    <w:t>/</w:t>
                  </w:r>
                </w:p>
              </w:tc>
            </w:tr>
            <w:tr w14:paraId="4FA54C6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145E658D">
                  <w:pPr>
                    <w:jc w:val="center"/>
                    <w:rPr>
                      <w:rFonts w:hint="eastAsia"/>
                      <w:color w:val="000000"/>
                      <w:szCs w:val="21"/>
                      <w:lang w:val="en-US" w:eastAsia="zh-CN"/>
                    </w:rPr>
                  </w:pPr>
                </w:p>
              </w:tc>
              <w:tc>
                <w:tcPr>
                  <w:tcW w:w="706" w:type="pct"/>
                  <w:vMerge w:val="continue"/>
                  <w:noWrap w:val="0"/>
                  <w:vAlign w:val="center"/>
                </w:tcPr>
                <w:p w14:paraId="01CDEE2A">
                  <w:pPr>
                    <w:jc w:val="center"/>
                    <w:rPr>
                      <w:rFonts w:hint="eastAsia"/>
                      <w:color w:val="000000"/>
                      <w:szCs w:val="21"/>
                      <w:lang w:val="en-US" w:eastAsia="zh-CN"/>
                    </w:rPr>
                  </w:pPr>
                </w:p>
              </w:tc>
              <w:tc>
                <w:tcPr>
                  <w:tcW w:w="1757" w:type="dxa"/>
                  <w:noWrap w:val="0"/>
                  <w:vAlign w:val="center"/>
                </w:tcPr>
                <w:p w14:paraId="0E84C153">
                  <w:pPr>
                    <w:pStyle w:val="38"/>
                    <w:rPr>
                      <w:rFonts w:hint="eastAsia"/>
                      <w:color w:val="000000"/>
                      <w:szCs w:val="21"/>
                      <w:lang w:val="en-US" w:eastAsia="zh-CN"/>
                    </w:rPr>
                  </w:pPr>
                  <w:r>
                    <w:rPr>
                      <w:rFonts w:hint="eastAsia"/>
                      <w:color w:val="000000" w:themeColor="text1"/>
                      <w:sz w:val="21"/>
                      <w:szCs w:val="21"/>
                      <w:u w:val="none"/>
                      <w:lang w:val="en-US" w:eastAsia="zh-CN"/>
                      <w14:textFill>
                        <w14:solidFill>
                          <w14:schemeClr w14:val="tx1"/>
                        </w14:solidFill>
                      </w14:textFill>
                    </w:rPr>
                    <w:t>非甲烷总烃</w:t>
                  </w:r>
                </w:p>
              </w:tc>
              <w:tc>
                <w:tcPr>
                  <w:tcW w:w="1213" w:type="dxa"/>
                  <w:noWrap w:val="0"/>
                  <w:vAlign w:val="center"/>
                </w:tcPr>
                <w:p w14:paraId="58DB3918">
                  <w:pPr>
                    <w:jc w:val="center"/>
                    <w:rPr>
                      <w:color w:val="000000" w:themeColor="text1"/>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3622" w:type="dxa"/>
                  <w:tcBorders>
                    <w:top w:val="single" w:color="auto" w:sz="4" w:space="0"/>
                    <w:bottom w:val="single" w:color="auto" w:sz="4" w:space="0"/>
                  </w:tcBorders>
                  <w:noWrap w:val="0"/>
                  <w:vAlign w:val="center"/>
                </w:tcPr>
                <w:p w14:paraId="2BE8659B">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14:paraId="5019ADA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5204A45A">
                  <w:pPr>
                    <w:jc w:val="center"/>
                    <w:rPr>
                      <w:rFonts w:hint="eastAsia"/>
                      <w:color w:val="000000"/>
                      <w:szCs w:val="21"/>
                      <w:lang w:val="en-US" w:eastAsia="zh-CN"/>
                    </w:rPr>
                  </w:pPr>
                </w:p>
              </w:tc>
              <w:tc>
                <w:tcPr>
                  <w:tcW w:w="706" w:type="pct"/>
                  <w:vMerge w:val="continue"/>
                  <w:noWrap w:val="0"/>
                  <w:vAlign w:val="center"/>
                </w:tcPr>
                <w:p w14:paraId="4BB2F0AE">
                  <w:pPr>
                    <w:jc w:val="center"/>
                    <w:rPr>
                      <w:rFonts w:hint="eastAsia"/>
                      <w:color w:val="000000"/>
                      <w:szCs w:val="21"/>
                      <w:lang w:val="en-US" w:eastAsia="zh-CN"/>
                    </w:rPr>
                  </w:pPr>
                </w:p>
              </w:tc>
              <w:tc>
                <w:tcPr>
                  <w:tcW w:w="1757" w:type="dxa"/>
                  <w:noWrap w:val="0"/>
                  <w:vAlign w:val="center"/>
                </w:tcPr>
                <w:p w14:paraId="16C18275">
                  <w:pPr>
                    <w:pStyle w:val="38"/>
                    <w:rPr>
                      <w:rFonts w:hint="eastAsia"/>
                      <w:color w:val="000000"/>
                      <w:szCs w:val="21"/>
                      <w:lang w:val="en-US" w:eastAsia="zh-CN"/>
                    </w:rPr>
                  </w:pPr>
                  <w:r>
                    <w:rPr>
                      <w:color w:val="000000" w:themeColor="text1"/>
                      <w:szCs w:val="21"/>
                      <w:u w:val="none"/>
                      <w14:textFill>
                        <w14:solidFill>
                          <w14:schemeClr w14:val="tx1"/>
                        </w14:solidFill>
                      </w14:textFill>
                    </w:rPr>
                    <w:t>颗粒物</w:t>
                  </w:r>
                </w:p>
              </w:tc>
              <w:tc>
                <w:tcPr>
                  <w:tcW w:w="1213" w:type="dxa"/>
                  <w:noWrap w:val="0"/>
                  <w:vAlign w:val="center"/>
                </w:tcPr>
                <w:p w14:paraId="3144364C">
                  <w:pPr>
                    <w:jc w:val="center"/>
                    <w:rPr>
                      <w:color w:val="000000" w:themeColor="text1"/>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3622" w:type="dxa"/>
                  <w:tcBorders>
                    <w:top w:val="single" w:color="auto" w:sz="4" w:space="0"/>
                    <w:bottom w:val="single" w:color="auto" w:sz="4" w:space="0"/>
                  </w:tcBorders>
                  <w:noWrap w:val="0"/>
                  <w:vAlign w:val="center"/>
                </w:tcPr>
                <w:p w14:paraId="7B7CCD94">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02E3701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53A551C3">
                  <w:pPr>
                    <w:jc w:val="center"/>
                    <w:rPr>
                      <w:rFonts w:hint="eastAsia"/>
                      <w:color w:val="000000"/>
                      <w:szCs w:val="21"/>
                      <w:lang w:val="en-US" w:eastAsia="zh-CN"/>
                    </w:rPr>
                  </w:pPr>
                </w:p>
              </w:tc>
              <w:tc>
                <w:tcPr>
                  <w:tcW w:w="706" w:type="pct"/>
                  <w:vMerge w:val="continue"/>
                  <w:noWrap w:val="0"/>
                  <w:vAlign w:val="center"/>
                </w:tcPr>
                <w:p w14:paraId="72C57233">
                  <w:pPr>
                    <w:jc w:val="center"/>
                    <w:rPr>
                      <w:rFonts w:hint="eastAsia"/>
                      <w:color w:val="000000"/>
                      <w:szCs w:val="21"/>
                      <w:lang w:val="en-US" w:eastAsia="zh-CN"/>
                    </w:rPr>
                  </w:pPr>
                </w:p>
              </w:tc>
              <w:tc>
                <w:tcPr>
                  <w:tcW w:w="1757" w:type="dxa"/>
                  <w:noWrap w:val="0"/>
                  <w:vAlign w:val="center"/>
                </w:tcPr>
                <w:p w14:paraId="1AFAAB15">
                  <w:pPr>
                    <w:pStyle w:val="38"/>
                    <w:rPr>
                      <w:rFonts w:hint="eastAsia"/>
                      <w:color w:val="000000"/>
                      <w:szCs w:val="21"/>
                      <w:lang w:val="en-US" w:eastAsia="zh-CN"/>
                    </w:rPr>
                  </w:pPr>
                  <w:r>
                    <w:rPr>
                      <w:rFonts w:hint="eastAsia"/>
                      <w:color w:val="000000" w:themeColor="text1"/>
                      <w:szCs w:val="21"/>
                      <w:u w:val="none"/>
                      <w14:textFill>
                        <w14:solidFill>
                          <w14:schemeClr w14:val="tx1"/>
                        </w14:solidFill>
                      </w14:textFill>
                    </w:rPr>
                    <w:t>SO</w:t>
                  </w:r>
                  <w:r>
                    <w:rPr>
                      <w:rFonts w:hint="eastAsia"/>
                      <w:color w:val="000000" w:themeColor="text1"/>
                      <w:szCs w:val="21"/>
                      <w:u w:val="none"/>
                      <w:vertAlign w:val="subscript"/>
                      <w14:textFill>
                        <w14:solidFill>
                          <w14:schemeClr w14:val="tx1"/>
                        </w14:solidFill>
                      </w14:textFill>
                    </w:rPr>
                    <w:t>2</w:t>
                  </w:r>
                </w:p>
              </w:tc>
              <w:tc>
                <w:tcPr>
                  <w:tcW w:w="1213" w:type="dxa"/>
                  <w:noWrap w:val="0"/>
                  <w:vAlign w:val="center"/>
                </w:tcPr>
                <w:p w14:paraId="6BC96DBB">
                  <w:pPr>
                    <w:jc w:val="center"/>
                    <w:rPr>
                      <w:color w:val="000000" w:themeColor="text1"/>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3622" w:type="dxa"/>
                  <w:tcBorders>
                    <w:top w:val="single" w:color="auto" w:sz="4" w:space="0"/>
                    <w:bottom w:val="single" w:color="auto" w:sz="4" w:space="0"/>
                  </w:tcBorders>
                  <w:noWrap w:val="0"/>
                  <w:vAlign w:val="center"/>
                </w:tcPr>
                <w:p w14:paraId="7528CCCF">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09FDF16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676552A2">
                  <w:pPr>
                    <w:jc w:val="center"/>
                    <w:rPr>
                      <w:rFonts w:hint="eastAsia"/>
                      <w:color w:val="000000"/>
                      <w:szCs w:val="21"/>
                      <w:lang w:val="en-US" w:eastAsia="zh-CN"/>
                    </w:rPr>
                  </w:pPr>
                </w:p>
              </w:tc>
              <w:tc>
                <w:tcPr>
                  <w:tcW w:w="706" w:type="pct"/>
                  <w:vMerge w:val="continue"/>
                  <w:noWrap w:val="0"/>
                  <w:vAlign w:val="center"/>
                </w:tcPr>
                <w:p w14:paraId="6DE1A558">
                  <w:pPr>
                    <w:jc w:val="center"/>
                    <w:rPr>
                      <w:rFonts w:hint="eastAsia"/>
                      <w:color w:val="000000"/>
                      <w:szCs w:val="21"/>
                      <w:lang w:val="en-US" w:eastAsia="zh-CN"/>
                    </w:rPr>
                  </w:pPr>
                </w:p>
              </w:tc>
              <w:tc>
                <w:tcPr>
                  <w:tcW w:w="1757" w:type="dxa"/>
                  <w:noWrap w:val="0"/>
                  <w:vAlign w:val="center"/>
                </w:tcPr>
                <w:p w14:paraId="0897FA1A">
                  <w:pPr>
                    <w:pStyle w:val="38"/>
                    <w:rPr>
                      <w:rFonts w:hint="eastAsia"/>
                      <w:color w:val="000000"/>
                      <w:szCs w:val="21"/>
                      <w:lang w:val="en-US" w:eastAsia="zh-CN"/>
                    </w:rPr>
                  </w:pPr>
                  <w:r>
                    <w:rPr>
                      <w:rFonts w:hint="eastAsia"/>
                      <w:color w:val="000000" w:themeColor="text1"/>
                      <w:szCs w:val="21"/>
                      <w:u w:val="none"/>
                      <w14:textFill>
                        <w14:solidFill>
                          <w14:schemeClr w14:val="tx1"/>
                        </w14:solidFill>
                      </w14:textFill>
                    </w:rPr>
                    <w:t>NO</w:t>
                  </w:r>
                  <w:r>
                    <w:rPr>
                      <w:rFonts w:hint="eastAsia"/>
                      <w:color w:val="000000" w:themeColor="text1"/>
                      <w:szCs w:val="21"/>
                      <w:u w:val="none"/>
                      <w:vertAlign w:val="subscript"/>
                      <w14:textFill>
                        <w14:solidFill>
                          <w14:schemeClr w14:val="tx1"/>
                        </w14:solidFill>
                      </w14:textFill>
                    </w:rPr>
                    <w:t>X</w:t>
                  </w:r>
                </w:p>
              </w:tc>
              <w:tc>
                <w:tcPr>
                  <w:tcW w:w="1213" w:type="dxa"/>
                  <w:noWrap w:val="0"/>
                  <w:vAlign w:val="center"/>
                </w:tcPr>
                <w:p w14:paraId="0F2C1BB8">
                  <w:pPr>
                    <w:jc w:val="center"/>
                    <w:rPr>
                      <w:color w:val="000000" w:themeColor="text1"/>
                      <w:szCs w:val="21"/>
                      <w:u w:val="none"/>
                      <w14:textFill>
                        <w14:solidFill>
                          <w14:schemeClr w14:val="tx1"/>
                        </w14:solidFill>
                      </w14:textFill>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3622" w:type="dxa"/>
                  <w:tcBorders>
                    <w:top w:val="single" w:color="auto" w:sz="4" w:space="0"/>
                    <w:bottom w:val="single" w:color="auto" w:sz="4" w:space="0"/>
                  </w:tcBorders>
                  <w:noWrap w:val="0"/>
                  <w:vAlign w:val="center"/>
                </w:tcPr>
                <w:p w14:paraId="5B5E1C55">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369E2F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20F174B1">
                  <w:pPr>
                    <w:jc w:val="center"/>
                    <w:rPr>
                      <w:rFonts w:hint="eastAsia"/>
                      <w:color w:val="000000"/>
                      <w:szCs w:val="21"/>
                      <w:lang w:val="en-US" w:eastAsia="zh-CN"/>
                    </w:rPr>
                  </w:pPr>
                </w:p>
              </w:tc>
              <w:tc>
                <w:tcPr>
                  <w:tcW w:w="706" w:type="pct"/>
                  <w:vMerge w:val="continue"/>
                  <w:noWrap w:val="0"/>
                  <w:vAlign w:val="center"/>
                </w:tcPr>
                <w:p w14:paraId="31B8D5FE">
                  <w:pPr>
                    <w:jc w:val="center"/>
                    <w:rPr>
                      <w:rFonts w:hint="eastAsia" w:eastAsia="宋体"/>
                      <w:color w:val="000000"/>
                      <w:szCs w:val="21"/>
                      <w:lang w:val="en-US" w:eastAsia="zh-CN"/>
                    </w:rPr>
                  </w:pPr>
                </w:p>
              </w:tc>
              <w:tc>
                <w:tcPr>
                  <w:tcW w:w="1757" w:type="dxa"/>
                  <w:noWrap w:val="0"/>
                  <w:vAlign w:val="center"/>
                </w:tcPr>
                <w:p w14:paraId="105C9971">
                  <w:pPr>
                    <w:jc w:val="center"/>
                    <w:rPr>
                      <w:rFonts w:hint="eastAsia" w:eastAsia="宋体"/>
                      <w:color w:val="000000"/>
                      <w:szCs w:val="21"/>
                      <w:lang w:val="en-US" w:eastAsia="zh-CN"/>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1213" w:type="dxa"/>
                  <w:noWrap w:val="0"/>
                  <w:vAlign w:val="center"/>
                </w:tcPr>
                <w:p w14:paraId="04A67723">
                  <w:pPr>
                    <w:jc w:val="center"/>
                    <w:rPr>
                      <w:color w:val="000000"/>
                      <w:kern w:val="0"/>
                      <w:szCs w:val="21"/>
                    </w:rPr>
                  </w:pPr>
                  <w:r>
                    <w:rPr>
                      <w:color w:val="000000" w:themeColor="text1"/>
                      <w:kern w:val="0"/>
                      <w:szCs w:val="21"/>
                      <w:u w:val="none"/>
                      <w14:textFill>
                        <w14:solidFill>
                          <w14:schemeClr w14:val="tx1"/>
                        </w14:solidFill>
                      </w14:textFill>
                    </w:rPr>
                    <w:t>1次/</w:t>
                  </w:r>
                  <w:r>
                    <w:rPr>
                      <w:rFonts w:hint="eastAsia"/>
                      <w:color w:val="000000" w:themeColor="text1"/>
                      <w:kern w:val="0"/>
                      <w:szCs w:val="21"/>
                      <w:u w:val="none"/>
                      <w:lang w:val="en-US" w:eastAsia="zh-CN"/>
                      <w14:textFill>
                        <w14:solidFill>
                          <w14:schemeClr w14:val="tx1"/>
                        </w14:solidFill>
                      </w14:textFill>
                    </w:rPr>
                    <w:t>半年</w:t>
                  </w:r>
                </w:p>
              </w:tc>
              <w:tc>
                <w:tcPr>
                  <w:tcW w:w="3622" w:type="dxa"/>
                  <w:tcBorders>
                    <w:top w:val="single" w:color="auto" w:sz="4" w:space="0"/>
                    <w:bottom w:val="single" w:color="auto" w:sz="4" w:space="0"/>
                  </w:tcBorders>
                  <w:noWrap w:val="0"/>
                  <w:vAlign w:val="center"/>
                </w:tcPr>
                <w:p w14:paraId="75C8B446">
                  <w:pPr>
                    <w:keepNext w:val="0"/>
                    <w:keepLines w:val="0"/>
                    <w:pageBreakBefore w:val="0"/>
                    <w:widowControl w:val="0"/>
                    <w:kinsoku/>
                    <w:wordWrap/>
                    <w:overflowPunct/>
                    <w:topLinePunct w:val="0"/>
                    <w:autoSpaceDE/>
                    <w:autoSpaceDN/>
                    <w:bidi w:val="0"/>
                    <w:jc w:val="center"/>
                    <w:textAlignment w:val="auto"/>
                    <w:outlineLvl w:val="9"/>
                    <w:rPr>
                      <w:rFonts w:hint="eastAsia"/>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《恶臭污染物排放标准》（GB14554-93）中表1标准</w:t>
                  </w:r>
                </w:p>
              </w:tc>
            </w:tr>
            <w:tr w14:paraId="0CADD2B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noWrap w:val="0"/>
                  <w:vAlign w:val="center"/>
                </w:tcPr>
                <w:p w14:paraId="325D58B1">
                  <w:pPr>
                    <w:pStyle w:val="10"/>
                    <w:spacing w:line="240" w:lineRule="auto"/>
                    <w:ind w:left="0" w:leftChars="0" w:right="0" w:rightChars="0" w:firstLine="0" w:firstLineChars="0"/>
                    <w:jc w:val="center"/>
                    <w:rPr>
                      <w:rFonts w:ascii="Times New Roman" w:hAnsi="Times New Roman" w:eastAsia="宋体" w:cs="Times New Roman"/>
                      <w:color w:val="000000"/>
                      <w:kern w:val="0"/>
                      <w:sz w:val="21"/>
                      <w:szCs w:val="21"/>
                      <w:u w:val="none"/>
                      <w:lang w:val="en-US" w:eastAsia="zh-CN" w:bidi="ar-SA"/>
                    </w:rPr>
                  </w:pPr>
                  <w:r>
                    <w:rPr>
                      <w:color w:val="000000"/>
                      <w:sz w:val="21"/>
                      <w:szCs w:val="21"/>
                      <w:u w:val="none"/>
                    </w:rPr>
                    <w:t>废水</w:t>
                  </w:r>
                </w:p>
              </w:tc>
              <w:tc>
                <w:tcPr>
                  <w:tcW w:w="706" w:type="pct"/>
                  <w:noWrap w:val="0"/>
                  <w:vAlign w:val="center"/>
                </w:tcPr>
                <w:p w14:paraId="34D7CB93">
                  <w:pPr>
                    <w:pStyle w:val="10"/>
                    <w:spacing w:line="240" w:lineRule="auto"/>
                    <w:ind w:left="0" w:leftChars="0" w:right="0" w:rightChars="0"/>
                    <w:jc w:val="center"/>
                    <w:rPr>
                      <w:rFonts w:ascii="Times New Roman" w:hAnsi="Times New Roman" w:eastAsia="宋体" w:cs="Times New Roman"/>
                      <w:color w:val="000000"/>
                      <w:kern w:val="0"/>
                      <w:sz w:val="21"/>
                      <w:szCs w:val="21"/>
                      <w:u w:val="none"/>
                      <w:lang w:val="en-US" w:eastAsia="zh-CN" w:bidi="ar-SA"/>
                    </w:rPr>
                  </w:pPr>
                  <w:r>
                    <w:rPr>
                      <w:color w:val="000000" w:themeColor="text1"/>
                      <w:sz w:val="21"/>
                      <w:szCs w:val="21"/>
                      <w14:textFill>
                        <w14:solidFill>
                          <w14:schemeClr w14:val="tx1"/>
                        </w14:solidFill>
                      </w14:textFill>
                    </w:rPr>
                    <w:t>DW001</w:t>
                  </w:r>
                </w:p>
              </w:tc>
              <w:tc>
                <w:tcPr>
                  <w:tcW w:w="947" w:type="pct"/>
                  <w:noWrap w:val="0"/>
                  <w:vAlign w:val="center"/>
                </w:tcPr>
                <w:p w14:paraId="597DFC91">
                  <w:pPr>
                    <w:pStyle w:val="10"/>
                    <w:spacing w:line="240" w:lineRule="auto"/>
                    <w:ind w:left="0" w:leftChars="0" w:right="0" w:rightChars="0"/>
                    <w:jc w:val="center"/>
                    <w:rPr>
                      <w:rFonts w:hint="eastAsia" w:ascii="Times New Roman" w:hAnsi="Times New Roman" w:eastAsia="宋体" w:cs="Times New Roman"/>
                      <w:color w:val="000000"/>
                      <w:kern w:val="0"/>
                      <w:sz w:val="21"/>
                      <w:szCs w:val="21"/>
                      <w:u w:val="none"/>
                      <w:lang w:val="en-US" w:eastAsia="zh-CN" w:bidi="ar-SA"/>
                    </w:rPr>
                  </w:pPr>
                  <w:r>
                    <w:rPr>
                      <w:rFonts w:hint="eastAsia"/>
                      <w:color w:val="000000" w:themeColor="text1"/>
                      <w:sz w:val="21"/>
                      <w:szCs w:val="21"/>
                      <w14:textFill>
                        <w14:solidFill>
                          <w14:schemeClr w14:val="tx1"/>
                        </w14:solidFill>
                      </w14:textFill>
                    </w:rPr>
                    <w:t>pH值、</w:t>
                  </w:r>
                  <w:r>
                    <w:rPr>
                      <w:color w:val="000000" w:themeColor="text1"/>
                      <w:sz w:val="21"/>
                      <w:szCs w:val="21"/>
                      <w14:textFill>
                        <w14:solidFill>
                          <w14:schemeClr w14:val="tx1"/>
                        </w14:solidFill>
                      </w14:textFill>
                    </w:rPr>
                    <w:t>COD、BOD</w:t>
                  </w:r>
                  <w:r>
                    <w:rPr>
                      <w:color w:val="000000" w:themeColor="text1"/>
                      <w:sz w:val="21"/>
                      <w:szCs w:val="21"/>
                      <w:vertAlign w:val="subscript"/>
                      <w14:textFill>
                        <w14:solidFill>
                          <w14:schemeClr w14:val="tx1"/>
                        </w14:solidFill>
                      </w14:textFill>
                    </w:rPr>
                    <w:t>5</w:t>
                  </w:r>
                  <w:r>
                    <w:rPr>
                      <w:color w:val="000000" w:themeColor="text1"/>
                      <w:sz w:val="21"/>
                      <w:szCs w:val="21"/>
                      <w14:textFill>
                        <w14:solidFill>
                          <w14:schemeClr w14:val="tx1"/>
                        </w14:solidFill>
                      </w14:textFill>
                    </w:rPr>
                    <w:t>、SS、NH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w:t>
                  </w:r>
                  <w:r>
                    <w:rPr>
                      <w:rFonts w:hint="eastAsia"/>
                      <w:bCs/>
                      <w:color w:val="000000" w:themeColor="text1"/>
                      <w:sz w:val="21"/>
                      <w:szCs w:val="21"/>
                      <w14:textFill>
                        <w14:solidFill>
                          <w14:schemeClr w14:val="tx1"/>
                        </w14:solidFill>
                      </w14:textFill>
                    </w:rPr>
                    <w:t>TP</w:t>
                  </w:r>
                  <w:r>
                    <w:rPr>
                      <w:rFonts w:hint="eastAsia"/>
                      <w:color w:val="000000" w:themeColor="text1"/>
                      <w:sz w:val="21"/>
                      <w:szCs w:val="21"/>
                      <w14:textFill>
                        <w14:solidFill>
                          <w14:schemeClr w14:val="tx1"/>
                        </w14:solidFill>
                      </w14:textFill>
                    </w:rPr>
                    <w:t>、动植物油</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LAS</w:t>
                  </w:r>
                </w:p>
              </w:tc>
              <w:tc>
                <w:tcPr>
                  <w:tcW w:w="654" w:type="pct"/>
                  <w:noWrap w:val="0"/>
                  <w:vAlign w:val="center"/>
                </w:tcPr>
                <w:p w14:paraId="531E433F">
                  <w:pPr>
                    <w:autoSpaceDE w:val="0"/>
                    <w:autoSpaceDN w:val="0"/>
                    <w:adjustRightInd w:val="0"/>
                    <w:jc w:val="center"/>
                    <w:rPr>
                      <w:rFonts w:hint="default" w:ascii="Times New Roman" w:hAnsi="Times New Roman" w:eastAsia="宋体" w:cs="Times New Roman"/>
                      <w:color w:val="000000"/>
                      <w:kern w:val="2"/>
                      <w:sz w:val="21"/>
                      <w:szCs w:val="21"/>
                      <w:u w:val="none"/>
                      <w:lang w:val="en-US" w:eastAsia="zh-CN" w:bidi="ar-SA"/>
                    </w:rPr>
                  </w:pPr>
                  <w:r>
                    <w:rPr>
                      <w:rFonts w:hint="eastAsia"/>
                      <w:color w:val="000000" w:themeColor="text1"/>
                      <w:szCs w:val="21"/>
                      <w14:textFill>
                        <w14:solidFill>
                          <w14:schemeClr w14:val="tx1"/>
                        </w14:solidFill>
                      </w14:textFill>
                    </w:rPr>
                    <w:t>1次/半</w:t>
                  </w:r>
                  <w:r>
                    <w:rPr>
                      <w:color w:val="000000" w:themeColor="text1"/>
                      <w:szCs w:val="21"/>
                      <w14:textFill>
                        <w14:solidFill>
                          <w14:schemeClr w14:val="tx1"/>
                        </w14:solidFill>
                      </w14:textFill>
                    </w:rPr>
                    <w:t>年</w:t>
                  </w:r>
                </w:p>
              </w:tc>
              <w:tc>
                <w:tcPr>
                  <w:tcW w:w="1953" w:type="pct"/>
                  <w:tcBorders>
                    <w:top w:val="single" w:color="auto" w:sz="4" w:space="0"/>
                  </w:tcBorders>
                  <w:noWrap w:val="0"/>
                  <w:vAlign w:val="center"/>
                </w:tcPr>
                <w:p w14:paraId="5E2FF301">
                  <w:pPr>
                    <w:pStyle w:val="10"/>
                    <w:spacing w:line="240" w:lineRule="auto"/>
                    <w:ind w:left="0" w:leftChars="0" w:right="0" w:rightChars="0"/>
                    <w:jc w:val="center"/>
                    <w:rPr>
                      <w:rFonts w:ascii="Times New Roman" w:hAnsi="Times New Roman" w:eastAsia="宋体" w:cs="Times New Roman"/>
                      <w:color w:val="000000"/>
                      <w:kern w:val="0"/>
                      <w:sz w:val="21"/>
                      <w:szCs w:val="21"/>
                      <w:u w:val="none"/>
                      <w:lang w:val="en-US" w:eastAsia="zh-CN" w:bidi="ar-SA"/>
                    </w:rPr>
                  </w:pPr>
                  <w:r>
                    <w:rPr>
                      <w:rFonts w:hint="eastAsia"/>
                      <w:color w:val="000000" w:themeColor="text1"/>
                      <w:sz w:val="21"/>
                      <w:szCs w:val="21"/>
                      <w14:textFill>
                        <w14:solidFill>
                          <w14:schemeClr w14:val="tx1"/>
                        </w14:solidFill>
                      </w14:textFill>
                    </w:rPr>
                    <w:t>《污水综合排放标准》（GB8978-1996）</w:t>
                  </w:r>
                  <w:r>
                    <w:rPr>
                      <w:color w:val="000000" w:themeColor="text1"/>
                      <w:sz w:val="21"/>
                      <w:szCs w:val="21"/>
                      <w14:textFill>
                        <w14:solidFill>
                          <w14:schemeClr w14:val="tx1"/>
                        </w14:solidFill>
                      </w14:textFill>
                    </w:rPr>
                    <w:t>及镇平县第二污水处理厂进水水质指标要求</w:t>
                  </w:r>
                </w:p>
              </w:tc>
            </w:tr>
            <w:tr w14:paraId="2DD3BC8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restart"/>
                  <w:noWrap w:val="0"/>
                  <w:vAlign w:val="center"/>
                </w:tcPr>
                <w:p w14:paraId="3E6F613D">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color w:val="000000"/>
                      <w:sz w:val="21"/>
                      <w:szCs w:val="21"/>
                      <w:u w:val="none"/>
                    </w:rPr>
                  </w:pPr>
                  <w:r>
                    <w:rPr>
                      <w:rFonts w:hint="default" w:ascii="Times New Roman" w:hAnsi="Times New Roman" w:eastAsia="宋体" w:cs="Times New Roman"/>
                      <w:color w:val="000000"/>
                      <w:sz w:val="21"/>
                      <w:szCs w:val="21"/>
                      <w:u w:val="none"/>
                    </w:rPr>
                    <w:t>噪声</w:t>
                  </w:r>
                </w:p>
              </w:tc>
              <w:tc>
                <w:tcPr>
                  <w:tcW w:w="706" w:type="pct"/>
                  <w:noWrap w:val="0"/>
                  <w:vAlign w:val="center"/>
                </w:tcPr>
                <w:p w14:paraId="7827DD9E">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u w:val="none"/>
                      <w:lang w:val="en-US" w:eastAsia="zh-CN"/>
                    </w:rPr>
                    <w:t>东厂界</w:t>
                  </w:r>
                </w:p>
              </w:tc>
              <w:tc>
                <w:tcPr>
                  <w:tcW w:w="947" w:type="pct"/>
                  <w:vMerge w:val="restart"/>
                  <w:noWrap w:val="0"/>
                  <w:vAlign w:val="center"/>
                </w:tcPr>
                <w:p w14:paraId="62687D33">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u w:val="none"/>
                    </w:rPr>
                    <w:t>等效连续A声级</w:t>
                  </w:r>
                  <w:r>
                    <w:rPr>
                      <w:rFonts w:hint="default" w:ascii="Times New Roman" w:hAnsi="Times New Roman" w:eastAsia="宋体" w:cs="Times New Roman"/>
                      <w:color w:val="000000"/>
                      <w:sz w:val="21"/>
                      <w:szCs w:val="21"/>
                      <w:u w:val="none"/>
                      <w:lang w:eastAsia="zh-CN"/>
                    </w:rPr>
                    <w:t>、</w:t>
                  </w:r>
                  <w:r>
                    <w:rPr>
                      <w:rFonts w:hint="default" w:ascii="Times New Roman" w:hAnsi="Times New Roman" w:eastAsia="宋体" w:cs="Times New Roman"/>
                      <w:color w:val="000000"/>
                      <w:sz w:val="21"/>
                      <w:szCs w:val="21"/>
                      <w:u w:val="none"/>
                      <w:lang w:val="en-US" w:eastAsia="zh-CN"/>
                    </w:rPr>
                    <w:t>最大声级</w:t>
                  </w:r>
                </w:p>
              </w:tc>
              <w:tc>
                <w:tcPr>
                  <w:tcW w:w="654" w:type="pct"/>
                  <w:vMerge w:val="restart"/>
                  <w:noWrap w:val="0"/>
                  <w:vAlign w:val="center"/>
                </w:tcPr>
                <w:p w14:paraId="322B6435">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eastAsia" w:ascii="Times New Roman" w:hAnsi="Times New Roman" w:eastAsia="宋体" w:cs="Times New Roman"/>
                      <w:color w:val="000000"/>
                      <w:kern w:val="0"/>
                      <w:sz w:val="21"/>
                      <w:szCs w:val="21"/>
                      <w:u w:val="none"/>
                      <w:lang w:val="en-US" w:eastAsia="zh-CN" w:bidi="ar-SA"/>
                    </w:rPr>
                  </w:pPr>
                  <w:r>
                    <w:rPr>
                      <w:rFonts w:hint="default" w:ascii="Times New Roman" w:hAnsi="Times New Roman" w:eastAsia="宋体" w:cs="Times New Roman"/>
                      <w:color w:val="000000"/>
                      <w:kern w:val="0"/>
                      <w:sz w:val="21"/>
                      <w:szCs w:val="21"/>
                      <w:u w:val="none"/>
                    </w:rPr>
                    <w:t>1次/季度</w:t>
                  </w:r>
                </w:p>
              </w:tc>
              <w:tc>
                <w:tcPr>
                  <w:tcW w:w="1953" w:type="pct"/>
                  <w:vMerge w:val="restart"/>
                  <w:tcBorders>
                    <w:top w:val="single" w:color="auto" w:sz="4" w:space="0"/>
                  </w:tcBorders>
                  <w:noWrap w:val="0"/>
                  <w:vAlign w:val="center"/>
                </w:tcPr>
                <w:p w14:paraId="6FF25D1F">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eastAsia" w:ascii="Times New Roman" w:hAnsi="Times New Roman" w:eastAsia="宋体" w:cs="Times New Roman"/>
                      <w:color w:val="000000"/>
                      <w:kern w:val="0"/>
                      <w:sz w:val="21"/>
                      <w:szCs w:val="21"/>
                      <w:u w:val="none"/>
                      <w:lang w:val="en-US" w:eastAsia="zh-CN" w:bidi="ar-SA"/>
                    </w:rPr>
                  </w:pPr>
                  <w:r>
                    <w:rPr>
                      <w:rFonts w:hint="default" w:ascii="Times New Roman" w:hAnsi="Times New Roman" w:eastAsia="宋体" w:cs="Times New Roman"/>
                      <w:color w:val="000000"/>
                      <w:kern w:val="0"/>
                      <w:sz w:val="21"/>
                      <w:szCs w:val="21"/>
                      <w:u w:val="none"/>
                    </w:rPr>
                    <w:t>《工业企业厂界环境噪声排放标准》（GB12348-2008）2类标准</w:t>
                  </w:r>
                </w:p>
              </w:tc>
            </w:tr>
            <w:tr w14:paraId="2A473A0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3F62A8A6">
                  <w:pPr>
                    <w:pStyle w:val="10"/>
                    <w:spacing w:line="240" w:lineRule="auto"/>
                    <w:ind w:left="0" w:leftChars="0" w:right="0" w:rightChars="0" w:firstLine="0" w:firstLineChars="0"/>
                    <w:jc w:val="center"/>
                    <w:rPr>
                      <w:color w:val="000000"/>
                      <w:sz w:val="21"/>
                      <w:szCs w:val="21"/>
                      <w:u w:val="none"/>
                    </w:rPr>
                  </w:pPr>
                </w:p>
              </w:tc>
              <w:tc>
                <w:tcPr>
                  <w:tcW w:w="706" w:type="pct"/>
                  <w:noWrap w:val="0"/>
                  <w:vAlign w:val="center"/>
                </w:tcPr>
                <w:p w14:paraId="2FF1BF34">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u w:val="none"/>
                      <w:lang w:val="en-US" w:eastAsia="zh-CN"/>
                    </w:rPr>
                    <w:t>南厂界</w:t>
                  </w:r>
                </w:p>
              </w:tc>
              <w:tc>
                <w:tcPr>
                  <w:tcW w:w="947" w:type="pct"/>
                  <w:vMerge w:val="continue"/>
                  <w:noWrap w:val="0"/>
                  <w:vAlign w:val="center"/>
                </w:tcPr>
                <w:p w14:paraId="276FCB42">
                  <w:pPr>
                    <w:pStyle w:val="10"/>
                    <w:spacing w:line="240" w:lineRule="auto"/>
                    <w:ind w:left="0" w:leftChars="0" w:right="0" w:rightChars="0" w:firstLine="0" w:firstLineChars="0"/>
                    <w:jc w:val="center"/>
                    <w:rPr>
                      <w:color w:val="000000"/>
                      <w:sz w:val="21"/>
                      <w:szCs w:val="21"/>
                      <w:u w:val="none"/>
                    </w:rPr>
                  </w:pPr>
                </w:p>
              </w:tc>
              <w:tc>
                <w:tcPr>
                  <w:tcW w:w="654" w:type="pct"/>
                  <w:vMerge w:val="continue"/>
                  <w:noWrap w:val="0"/>
                  <w:vAlign w:val="center"/>
                </w:tcPr>
                <w:p w14:paraId="1B5C9129">
                  <w:pPr>
                    <w:autoSpaceDE w:val="0"/>
                    <w:autoSpaceDN w:val="0"/>
                    <w:adjustRightInd w:val="0"/>
                    <w:jc w:val="center"/>
                    <w:rPr>
                      <w:rFonts w:hint="eastAsia"/>
                      <w:color w:val="000000"/>
                      <w:sz w:val="21"/>
                      <w:szCs w:val="21"/>
                      <w:u w:val="none"/>
                      <w:lang w:val="en-US" w:eastAsia="zh-CN"/>
                    </w:rPr>
                  </w:pPr>
                </w:p>
              </w:tc>
              <w:tc>
                <w:tcPr>
                  <w:tcW w:w="1953" w:type="pct"/>
                  <w:vMerge w:val="continue"/>
                  <w:noWrap w:val="0"/>
                  <w:vAlign w:val="center"/>
                </w:tcPr>
                <w:p w14:paraId="0A305CB2">
                  <w:pPr>
                    <w:pStyle w:val="10"/>
                    <w:spacing w:line="240" w:lineRule="auto"/>
                    <w:ind w:left="0" w:leftChars="0" w:right="0" w:rightChars="0" w:firstLine="0" w:firstLineChars="0"/>
                    <w:jc w:val="center"/>
                    <w:rPr>
                      <w:rFonts w:hint="eastAsia"/>
                      <w:color w:val="000000"/>
                      <w:kern w:val="0"/>
                      <w:sz w:val="21"/>
                      <w:szCs w:val="21"/>
                      <w:u w:val="none"/>
                      <w:lang w:eastAsia="zh-CN"/>
                    </w:rPr>
                  </w:pPr>
                </w:p>
              </w:tc>
            </w:tr>
            <w:tr w14:paraId="26611F6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2EAD9FAD">
                  <w:pPr>
                    <w:pStyle w:val="10"/>
                    <w:spacing w:line="240" w:lineRule="auto"/>
                    <w:ind w:left="0" w:leftChars="0" w:right="0" w:rightChars="0" w:firstLine="0" w:firstLineChars="0"/>
                    <w:jc w:val="center"/>
                    <w:rPr>
                      <w:color w:val="000000"/>
                      <w:sz w:val="21"/>
                      <w:szCs w:val="21"/>
                      <w:u w:val="none"/>
                    </w:rPr>
                  </w:pPr>
                </w:p>
              </w:tc>
              <w:tc>
                <w:tcPr>
                  <w:tcW w:w="706" w:type="pct"/>
                  <w:noWrap w:val="0"/>
                  <w:vAlign w:val="center"/>
                </w:tcPr>
                <w:p w14:paraId="28C2213C">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u w:val="none"/>
                      <w:lang w:val="en-US" w:eastAsia="zh-CN"/>
                    </w:rPr>
                    <w:t>西厂界</w:t>
                  </w:r>
                </w:p>
              </w:tc>
              <w:tc>
                <w:tcPr>
                  <w:tcW w:w="947" w:type="pct"/>
                  <w:vMerge w:val="continue"/>
                  <w:noWrap w:val="0"/>
                  <w:vAlign w:val="center"/>
                </w:tcPr>
                <w:p w14:paraId="74B0457A">
                  <w:pPr>
                    <w:pStyle w:val="10"/>
                    <w:spacing w:line="240" w:lineRule="auto"/>
                    <w:ind w:left="0" w:leftChars="0" w:right="0" w:rightChars="0" w:firstLine="0" w:firstLineChars="0"/>
                    <w:jc w:val="center"/>
                    <w:rPr>
                      <w:color w:val="000000"/>
                      <w:sz w:val="21"/>
                      <w:szCs w:val="21"/>
                      <w:u w:val="none"/>
                    </w:rPr>
                  </w:pPr>
                </w:p>
              </w:tc>
              <w:tc>
                <w:tcPr>
                  <w:tcW w:w="654" w:type="pct"/>
                  <w:vMerge w:val="continue"/>
                  <w:noWrap w:val="0"/>
                  <w:vAlign w:val="center"/>
                </w:tcPr>
                <w:p w14:paraId="3631A242">
                  <w:pPr>
                    <w:autoSpaceDE w:val="0"/>
                    <w:autoSpaceDN w:val="0"/>
                    <w:adjustRightInd w:val="0"/>
                    <w:jc w:val="center"/>
                    <w:rPr>
                      <w:rFonts w:hint="eastAsia"/>
                      <w:color w:val="000000"/>
                      <w:sz w:val="21"/>
                      <w:szCs w:val="21"/>
                      <w:u w:val="none"/>
                      <w:lang w:val="en-US" w:eastAsia="zh-CN"/>
                    </w:rPr>
                  </w:pPr>
                </w:p>
              </w:tc>
              <w:tc>
                <w:tcPr>
                  <w:tcW w:w="1953" w:type="pct"/>
                  <w:vMerge w:val="continue"/>
                  <w:noWrap w:val="0"/>
                  <w:vAlign w:val="center"/>
                </w:tcPr>
                <w:p w14:paraId="5504AE29">
                  <w:pPr>
                    <w:pStyle w:val="10"/>
                    <w:spacing w:line="240" w:lineRule="auto"/>
                    <w:ind w:left="0" w:leftChars="0" w:right="0" w:rightChars="0" w:firstLine="0" w:firstLineChars="0"/>
                    <w:jc w:val="center"/>
                    <w:rPr>
                      <w:rFonts w:hint="eastAsia"/>
                      <w:color w:val="000000"/>
                      <w:kern w:val="0"/>
                      <w:sz w:val="21"/>
                      <w:szCs w:val="21"/>
                      <w:u w:val="none"/>
                      <w:lang w:eastAsia="zh-CN"/>
                    </w:rPr>
                  </w:pPr>
                </w:p>
              </w:tc>
            </w:tr>
            <w:tr w14:paraId="597537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vMerge w:val="continue"/>
                  <w:noWrap w:val="0"/>
                  <w:vAlign w:val="center"/>
                </w:tcPr>
                <w:p w14:paraId="070F8874">
                  <w:pPr>
                    <w:pStyle w:val="10"/>
                    <w:spacing w:line="240" w:lineRule="auto"/>
                    <w:ind w:left="0" w:leftChars="0" w:right="0" w:rightChars="0" w:firstLine="0" w:firstLineChars="0"/>
                    <w:jc w:val="center"/>
                    <w:rPr>
                      <w:color w:val="000000"/>
                      <w:sz w:val="21"/>
                      <w:szCs w:val="21"/>
                      <w:u w:val="none"/>
                    </w:rPr>
                  </w:pPr>
                </w:p>
              </w:tc>
              <w:tc>
                <w:tcPr>
                  <w:tcW w:w="706" w:type="pct"/>
                  <w:noWrap w:val="0"/>
                  <w:vAlign w:val="center"/>
                </w:tcPr>
                <w:p w14:paraId="0CC53B6B">
                  <w:pPr>
                    <w:keepNext w:val="0"/>
                    <w:keepLines w:val="0"/>
                    <w:pageBreakBefore w:val="0"/>
                    <w:widowControl w:val="0"/>
                    <w:kinsoku/>
                    <w:wordWrap/>
                    <w:overflowPunct/>
                    <w:topLinePunct w:val="0"/>
                    <w:bidi w:val="0"/>
                    <w:snapToGrid/>
                    <w:spacing w:line="240" w:lineRule="auto"/>
                    <w:ind w:left="0" w:leftChars="0" w:right="0" w:right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u w:val="none"/>
                      <w:lang w:val="en-US" w:eastAsia="zh-CN"/>
                    </w:rPr>
                    <w:t>北厂界</w:t>
                  </w:r>
                </w:p>
              </w:tc>
              <w:tc>
                <w:tcPr>
                  <w:tcW w:w="947" w:type="pct"/>
                  <w:vMerge w:val="continue"/>
                  <w:noWrap w:val="0"/>
                  <w:vAlign w:val="center"/>
                </w:tcPr>
                <w:p w14:paraId="00243664">
                  <w:pPr>
                    <w:pStyle w:val="10"/>
                    <w:spacing w:line="240" w:lineRule="auto"/>
                    <w:ind w:left="0" w:leftChars="0" w:right="0" w:rightChars="0" w:firstLine="0" w:firstLineChars="0"/>
                    <w:jc w:val="center"/>
                    <w:rPr>
                      <w:color w:val="000000"/>
                      <w:sz w:val="21"/>
                      <w:szCs w:val="21"/>
                      <w:u w:val="none"/>
                    </w:rPr>
                  </w:pPr>
                </w:p>
              </w:tc>
              <w:tc>
                <w:tcPr>
                  <w:tcW w:w="654" w:type="pct"/>
                  <w:vMerge w:val="continue"/>
                  <w:noWrap w:val="0"/>
                  <w:vAlign w:val="center"/>
                </w:tcPr>
                <w:p w14:paraId="15C1936A">
                  <w:pPr>
                    <w:autoSpaceDE w:val="0"/>
                    <w:autoSpaceDN w:val="0"/>
                    <w:adjustRightInd w:val="0"/>
                    <w:jc w:val="center"/>
                    <w:rPr>
                      <w:rFonts w:hint="eastAsia"/>
                      <w:color w:val="000000"/>
                      <w:sz w:val="21"/>
                      <w:szCs w:val="21"/>
                      <w:u w:val="none"/>
                      <w:lang w:val="en-US" w:eastAsia="zh-CN"/>
                    </w:rPr>
                  </w:pPr>
                </w:p>
              </w:tc>
              <w:tc>
                <w:tcPr>
                  <w:tcW w:w="1953" w:type="pct"/>
                  <w:vMerge w:val="continue"/>
                  <w:noWrap w:val="0"/>
                  <w:vAlign w:val="center"/>
                </w:tcPr>
                <w:p w14:paraId="1B0D1220">
                  <w:pPr>
                    <w:pStyle w:val="10"/>
                    <w:spacing w:line="240" w:lineRule="auto"/>
                    <w:ind w:left="0" w:leftChars="0" w:right="0" w:rightChars="0" w:firstLine="0" w:firstLineChars="0"/>
                    <w:jc w:val="center"/>
                    <w:rPr>
                      <w:rFonts w:hint="eastAsia"/>
                      <w:color w:val="000000"/>
                      <w:kern w:val="0"/>
                      <w:sz w:val="21"/>
                      <w:szCs w:val="21"/>
                      <w:u w:val="none"/>
                      <w:lang w:eastAsia="zh-CN"/>
                    </w:rPr>
                  </w:pPr>
                </w:p>
              </w:tc>
            </w:tr>
          </w:tbl>
          <w:p w14:paraId="6BD772C3">
            <w:pPr>
              <w:keepNext w:val="0"/>
              <w:keepLines w:val="0"/>
              <w:pageBreakBefore w:val="0"/>
              <w:widowControl w:val="0"/>
              <w:tabs>
                <w:tab w:val="left" w:pos="1081"/>
              </w:tabs>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bCs/>
                <w:color w:val="000000"/>
                <w:sz w:val="24"/>
                <w:szCs w:val="24"/>
                <w:u w:val="none"/>
              </w:rPr>
            </w:pPr>
            <w:r>
              <w:rPr>
                <w:rFonts w:hint="default" w:ascii="Times New Roman" w:hAnsi="Times New Roman" w:eastAsia="宋体" w:cs="Times New Roman"/>
                <w:b/>
                <w:bCs/>
                <w:color w:val="000000"/>
                <w:sz w:val="24"/>
                <w:szCs w:val="24"/>
                <w:u w:val="none"/>
              </w:rPr>
              <w:t>9、规范化排污口</w:t>
            </w:r>
          </w:p>
          <w:p w14:paraId="3791CC3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本项目</w:t>
            </w:r>
            <w:r>
              <w:rPr>
                <w:rFonts w:hint="eastAsia" w:ascii="Times New Roman" w:hAnsi="Times New Roman" w:eastAsia="宋体" w:cs="Times New Roman"/>
                <w:color w:val="000000"/>
                <w:sz w:val="24"/>
                <w:szCs w:val="24"/>
                <w:u w:val="none"/>
                <w:lang w:val="en-US" w:eastAsia="zh-CN"/>
              </w:rPr>
              <w:t>共设置</w:t>
            </w:r>
            <w:r>
              <w:rPr>
                <w:rFonts w:hint="eastAsia" w:cs="Times New Roman"/>
                <w:color w:val="000000"/>
                <w:sz w:val="24"/>
                <w:szCs w:val="24"/>
                <w:u w:val="none"/>
                <w:lang w:val="en-US" w:eastAsia="zh-CN"/>
              </w:rPr>
              <w:t>4个废气排放口（DA001-DA004）、</w:t>
            </w:r>
            <w:r>
              <w:rPr>
                <w:rFonts w:hint="eastAsia" w:ascii="Times New Roman" w:hAnsi="Times New Roman" w:eastAsia="宋体" w:cs="Times New Roman"/>
                <w:color w:val="000000"/>
                <w:sz w:val="24"/>
                <w:szCs w:val="24"/>
                <w:u w:val="none"/>
                <w:lang w:val="en-US" w:eastAsia="zh-CN"/>
              </w:rPr>
              <w:t>1个</w:t>
            </w:r>
            <w:r>
              <w:rPr>
                <w:rFonts w:hint="default" w:ascii="Times New Roman" w:hAnsi="Times New Roman" w:eastAsia="宋体" w:cs="Times New Roman"/>
                <w:color w:val="000000"/>
                <w:sz w:val="24"/>
                <w:szCs w:val="24"/>
                <w:u w:val="none"/>
              </w:rPr>
              <w:t>废水排放口（DW001）。</w:t>
            </w:r>
          </w:p>
          <w:p w14:paraId="03A6277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根据《排污口规范化整治技术要求》（环监[1996]470号）提出如下建议：</w:t>
            </w:r>
          </w:p>
          <w:p w14:paraId="42A851A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①排污口规范化整治应遵循便于采集样品，便于计量监测，便于日常现场监督检查的原则。厂区实行雨污分流，合理确定污水排放口位置，按照《污染源监测技术规范》设置采样点，应设置规范的、便于测量流量、流速的测流段；</w:t>
            </w:r>
          </w:p>
          <w:p w14:paraId="75106A9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②采样口位置无法满足</w:t>
            </w:r>
            <w:r>
              <w:rPr>
                <w:rFonts w:hint="eastAsia" w:ascii="Times New Roman" w:hAnsi="Times New Roman" w:eastAsia="宋体" w:cs="Times New Roman"/>
                <w:color w:val="000000"/>
                <w:sz w:val="24"/>
                <w:szCs w:val="24"/>
                <w:u w:val="none"/>
                <w:lang w:eastAsia="zh-CN"/>
              </w:rPr>
              <w:t>“</w:t>
            </w:r>
            <w:r>
              <w:rPr>
                <w:rFonts w:hint="default" w:ascii="Times New Roman" w:hAnsi="Times New Roman" w:eastAsia="宋体" w:cs="Times New Roman"/>
                <w:color w:val="000000"/>
                <w:sz w:val="24"/>
                <w:szCs w:val="24"/>
                <w:u w:val="none"/>
              </w:rPr>
              <w:t>规范</w:t>
            </w:r>
            <w:r>
              <w:rPr>
                <w:rFonts w:hint="eastAsia" w:ascii="Times New Roman" w:hAnsi="Times New Roman" w:eastAsia="宋体" w:cs="Times New Roman"/>
                <w:color w:val="000000"/>
                <w:sz w:val="24"/>
                <w:szCs w:val="24"/>
                <w:u w:val="none"/>
                <w:lang w:eastAsia="zh-CN"/>
              </w:rPr>
              <w:t>”</w:t>
            </w:r>
            <w:r>
              <w:rPr>
                <w:rFonts w:hint="default" w:ascii="Times New Roman" w:hAnsi="Times New Roman" w:eastAsia="宋体" w:cs="Times New Roman"/>
                <w:color w:val="000000"/>
                <w:sz w:val="24"/>
                <w:szCs w:val="24"/>
                <w:u w:val="none"/>
              </w:rPr>
              <w:t>要求的，其监测位置由当地环境监测部门确认；</w:t>
            </w:r>
          </w:p>
          <w:p w14:paraId="714ECC0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③污染物排放口必须实行规范化整治，按照国家标准《环境保护图形标志 排放口（源）》（GB15562.1-1995）、《环境保护图形标志 固体废物贮存（处置）场》（GB15562.2-1995）及2023年修改单、《危险废物识别标志设置技术规范》（HJ1276-2022）等标准规定，设置与之相适应的环境保护图形标志牌；</w:t>
            </w:r>
          </w:p>
          <w:p w14:paraId="03344FA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④排放口必须使用由国家统一定点制作和监制的环境保护图形标志牌；</w:t>
            </w:r>
          </w:p>
          <w:p w14:paraId="07D8A47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⑤环境保护图形标志牌设置位置应距污染物排放口(源)及采样点较近且醒目处，并能长久保留，设置高度一般为：环境保护图形标志牌上缘距离地面2米；</w:t>
            </w:r>
          </w:p>
          <w:p w14:paraId="4E393CA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⑥环境保护图形标志牌的辅助标志上，需要填写的栏目，要求字迹工整，字的颜色，与标志牌颜色要总体协调。</w:t>
            </w:r>
          </w:p>
          <w:p w14:paraId="4BD48ED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000000"/>
                <w:sz w:val="24"/>
                <w:szCs w:val="24"/>
                <w:u w:val="none"/>
              </w:rPr>
            </w:pPr>
            <w:r>
              <w:rPr>
                <w:rFonts w:hint="default" w:ascii="Times New Roman" w:hAnsi="Times New Roman" w:eastAsia="宋体" w:cs="Times New Roman"/>
                <w:color w:val="000000"/>
                <w:sz w:val="24"/>
                <w:szCs w:val="24"/>
                <w:u w:val="none"/>
              </w:rPr>
              <w:t>项目环境保护图形符号见下表。</w:t>
            </w:r>
          </w:p>
          <w:p w14:paraId="5D88635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default"/>
                <w:b/>
                <w:bCs/>
                <w:color w:val="000000"/>
                <w:sz w:val="24"/>
                <w:szCs w:val="24"/>
              </w:rPr>
            </w:pPr>
            <w:r>
              <w:rPr>
                <w:rFonts w:hint="default"/>
                <w:b/>
                <w:bCs/>
                <w:color w:val="000000"/>
                <w:sz w:val="24"/>
                <w:szCs w:val="24"/>
                <w:highlight w:val="none"/>
              </w:rPr>
              <w:t>表4-</w:t>
            </w:r>
            <w:r>
              <w:rPr>
                <w:rFonts w:hint="eastAsia"/>
                <w:b/>
                <w:bCs/>
                <w:color w:val="000000"/>
                <w:sz w:val="24"/>
                <w:szCs w:val="24"/>
                <w:highlight w:val="none"/>
                <w:lang w:val="en-US" w:eastAsia="zh-CN"/>
              </w:rPr>
              <w:t xml:space="preserve">31 </w:t>
            </w:r>
            <w:r>
              <w:rPr>
                <w:rFonts w:hint="eastAsia"/>
                <w:b/>
                <w:bCs/>
                <w:color w:val="000000"/>
                <w:sz w:val="24"/>
                <w:szCs w:val="24"/>
                <w:lang w:val="en-US" w:eastAsia="zh-CN"/>
              </w:rPr>
              <w:t xml:space="preserve"> </w:t>
            </w:r>
            <w:r>
              <w:rPr>
                <w:rFonts w:hint="default"/>
                <w:b/>
                <w:bCs/>
                <w:color w:val="000000"/>
                <w:sz w:val="24"/>
                <w:szCs w:val="24"/>
              </w:rPr>
              <w:t>项目排污口环境保护图形标志一览表</w:t>
            </w:r>
          </w:p>
          <w:tbl>
            <w:tblPr>
              <w:tblStyle w:val="2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67"/>
              <w:gridCol w:w="3480"/>
              <w:gridCol w:w="3419"/>
            </w:tblGrid>
            <w:tr w14:paraId="7285C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10DD8D5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排污口名称</w:t>
                  </w:r>
                </w:p>
              </w:tc>
              <w:tc>
                <w:tcPr>
                  <w:tcW w:w="1877" w:type="pct"/>
                  <w:noWrap w:val="0"/>
                  <w:vAlign w:val="center"/>
                </w:tcPr>
                <w:p w14:paraId="2EEDE40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提示图形符号</w:t>
                  </w:r>
                </w:p>
              </w:tc>
              <w:tc>
                <w:tcPr>
                  <w:tcW w:w="1844" w:type="pct"/>
                  <w:noWrap w:val="0"/>
                  <w:vAlign w:val="center"/>
                </w:tcPr>
                <w:p w14:paraId="062E027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警告图形符号</w:t>
                  </w:r>
                </w:p>
              </w:tc>
            </w:tr>
            <w:tr w14:paraId="053DF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075C8E08">
                  <w:pPr>
                    <w:spacing w:line="320" w:lineRule="exact"/>
                    <w:jc w:val="center"/>
                    <w:outlineLvl w:val="1"/>
                    <w:rPr>
                      <w:rFonts w:hint="default" w:ascii="Times New Roman" w:hAnsi="宋体" w:eastAsia="宋体" w:cs="Times New Roman"/>
                      <w:color w:val="000000"/>
                      <w:kern w:val="2"/>
                      <w:sz w:val="21"/>
                      <w:szCs w:val="21"/>
                      <w:lang w:val="en-US" w:eastAsia="zh-CN" w:bidi="ar-SA"/>
                    </w:rPr>
                  </w:pPr>
                  <w:r>
                    <w:rPr>
                      <w:rFonts w:hint="eastAsia" w:hAnsi="宋体"/>
                      <w:color w:val="000000"/>
                      <w:szCs w:val="21"/>
                    </w:rPr>
                    <w:t>废气排放口</w:t>
                  </w:r>
                </w:p>
              </w:tc>
              <w:tc>
                <w:tcPr>
                  <w:tcW w:w="1877" w:type="pct"/>
                  <w:noWrap w:val="0"/>
                  <w:vAlign w:val="bottom"/>
                </w:tcPr>
                <w:p w14:paraId="44019FEB">
                  <w:pPr>
                    <w:spacing w:line="360" w:lineRule="auto"/>
                    <w:jc w:val="center"/>
                    <w:outlineLvl w:val="1"/>
                    <w:rPr>
                      <w:rFonts w:hint="default" w:ascii="Times New Roman" w:hAnsi="Times New Roman" w:eastAsia="宋体" w:cs="Times New Roman"/>
                      <w:color w:val="000000"/>
                      <w:kern w:val="2"/>
                      <w:sz w:val="21"/>
                      <w:szCs w:val="24"/>
                      <w:lang w:val="en-US" w:eastAsia="zh-CN" w:bidi="ar-SA"/>
                    </w:rPr>
                  </w:pPr>
                  <w:r>
                    <w:rPr>
                      <w:color w:val="000000"/>
                    </w:rPr>
                    <w:drawing>
                      <wp:inline distT="0" distB="0" distL="114300" distR="114300">
                        <wp:extent cx="914400" cy="914400"/>
                        <wp:effectExtent l="0" t="0" r="0" b="0"/>
                        <wp:docPr id="1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1"/>
                                <pic:cNvPicPr>
                                  <a:picLocks noChangeAspect="1"/>
                                </pic:cNvPicPr>
                              </pic:nvPicPr>
                              <pic:blipFill>
                                <a:blip r:embed="rId29"/>
                                <a:stretch>
                                  <a:fillRect/>
                                </a:stretch>
                              </pic:blipFill>
                              <pic:spPr>
                                <a:xfrm>
                                  <a:off x="0" y="0"/>
                                  <a:ext cx="914400" cy="914400"/>
                                </a:xfrm>
                                <a:prstGeom prst="rect">
                                  <a:avLst/>
                                </a:prstGeom>
                                <a:noFill/>
                                <a:ln>
                                  <a:noFill/>
                                </a:ln>
                              </pic:spPr>
                            </pic:pic>
                          </a:graphicData>
                        </a:graphic>
                      </wp:inline>
                    </w:drawing>
                  </w:r>
                </w:p>
              </w:tc>
              <w:tc>
                <w:tcPr>
                  <w:tcW w:w="1844" w:type="pct"/>
                  <w:noWrap w:val="0"/>
                  <w:vAlign w:val="bottom"/>
                </w:tcPr>
                <w:p w14:paraId="04996CA1">
                  <w:pPr>
                    <w:spacing w:line="360" w:lineRule="auto"/>
                    <w:jc w:val="center"/>
                    <w:outlineLvl w:val="1"/>
                    <w:rPr>
                      <w:rFonts w:hint="default" w:ascii="Times New Roman" w:hAnsi="Times New Roman" w:eastAsia="宋体" w:cs="Times New Roman"/>
                      <w:color w:val="000000"/>
                      <w:kern w:val="2"/>
                      <w:sz w:val="21"/>
                      <w:szCs w:val="24"/>
                      <w:lang w:val="en-US" w:eastAsia="zh-CN" w:bidi="ar-SA"/>
                    </w:rPr>
                  </w:pPr>
                  <w:r>
                    <w:rPr>
                      <w:color w:val="000000"/>
                    </w:rPr>
                    <w:drawing>
                      <wp:inline distT="0" distB="0" distL="114300" distR="114300">
                        <wp:extent cx="1016000" cy="921385"/>
                        <wp:effectExtent l="0" t="0" r="12700" b="12065"/>
                        <wp:docPr id="1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
                                <pic:cNvPicPr>
                                  <a:picLocks noChangeAspect="1"/>
                                </pic:cNvPicPr>
                              </pic:nvPicPr>
                              <pic:blipFill>
                                <a:blip r:embed="rId30"/>
                                <a:stretch>
                                  <a:fillRect/>
                                </a:stretch>
                              </pic:blipFill>
                              <pic:spPr>
                                <a:xfrm>
                                  <a:off x="0" y="0"/>
                                  <a:ext cx="1016000" cy="921385"/>
                                </a:xfrm>
                                <a:prstGeom prst="rect">
                                  <a:avLst/>
                                </a:prstGeom>
                                <a:noFill/>
                                <a:ln>
                                  <a:noFill/>
                                </a:ln>
                              </pic:spPr>
                            </pic:pic>
                          </a:graphicData>
                        </a:graphic>
                      </wp:inline>
                    </w:drawing>
                  </w:r>
                </w:p>
              </w:tc>
            </w:tr>
            <w:tr w14:paraId="72AC2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15B7803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污水总排口</w:t>
                  </w:r>
                </w:p>
              </w:tc>
              <w:tc>
                <w:tcPr>
                  <w:tcW w:w="1877" w:type="pct"/>
                  <w:noWrap w:val="0"/>
                  <w:vAlign w:val="center"/>
                </w:tcPr>
                <w:p w14:paraId="06968C2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913130" cy="1022350"/>
                        <wp:effectExtent l="0" t="0" r="1270" b="6350"/>
                        <wp:docPr id="1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
                                <pic:cNvPicPr>
                                  <a:picLocks noChangeAspect="1"/>
                                </pic:cNvPicPr>
                              </pic:nvPicPr>
                              <pic:blipFill>
                                <a:blip r:embed="rId31"/>
                                <a:stretch>
                                  <a:fillRect/>
                                </a:stretch>
                              </pic:blipFill>
                              <pic:spPr>
                                <a:xfrm>
                                  <a:off x="0" y="0"/>
                                  <a:ext cx="913130" cy="1022350"/>
                                </a:xfrm>
                                <a:prstGeom prst="rect">
                                  <a:avLst/>
                                </a:prstGeom>
                                <a:noFill/>
                                <a:ln>
                                  <a:noFill/>
                                </a:ln>
                              </pic:spPr>
                            </pic:pic>
                          </a:graphicData>
                        </a:graphic>
                      </wp:inline>
                    </w:drawing>
                  </w:r>
                </w:p>
              </w:tc>
              <w:tc>
                <w:tcPr>
                  <w:tcW w:w="1844" w:type="pct"/>
                  <w:noWrap w:val="0"/>
                  <w:vAlign w:val="center"/>
                </w:tcPr>
                <w:p w14:paraId="1A73F9B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1083310" cy="936625"/>
                        <wp:effectExtent l="0" t="0" r="2540" b="15875"/>
                        <wp:docPr id="1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4"/>
                                <pic:cNvPicPr>
                                  <a:picLocks noChangeAspect="1"/>
                                </pic:cNvPicPr>
                              </pic:nvPicPr>
                              <pic:blipFill>
                                <a:blip r:embed="rId32"/>
                                <a:stretch>
                                  <a:fillRect/>
                                </a:stretch>
                              </pic:blipFill>
                              <pic:spPr>
                                <a:xfrm>
                                  <a:off x="0" y="0"/>
                                  <a:ext cx="1083310" cy="936625"/>
                                </a:xfrm>
                                <a:prstGeom prst="rect">
                                  <a:avLst/>
                                </a:prstGeom>
                                <a:noFill/>
                                <a:ln>
                                  <a:noFill/>
                                </a:ln>
                              </pic:spPr>
                            </pic:pic>
                          </a:graphicData>
                        </a:graphic>
                      </wp:inline>
                    </w:drawing>
                  </w:r>
                </w:p>
              </w:tc>
            </w:tr>
            <w:tr w14:paraId="5703B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2FDAEA4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噪声排放源</w:t>
                  </w:r>
                </w:p>
              </w:tc>
              <w:tc>
                <w:tcPr>
                  <w:tcW w:w="1877" w:type="pct"/>
                  <w:noWrap w:val="0"/>
                  <w:vAlign w:val="center"/>
                </w:tcPr>
                <w:p w14:paraId="165C265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961390" cy="951865"/>
                        <wp:effectExtent l="0" t="0" r="10160" b="635"/>
                        <wp:docPr id="1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5"/>
                                <pic:cNvPicPr>
                                  <a:picLocks noChangeAspect="1"/>
                                </pic:cNvPicPr>
                              </pic:nvPicPr>
                              <pic:blipFill>
                                <a:blip r:embed="rId33"/>
                                <a:stretch>
                                  <a:fillRect/>
                                </a:stretch>
                              </pic:blipFill>
                              <pic:spPr>
                                <a:xfrm>
                                  <a:off x="0" y="0"/>
                                  <a:ext cx="961390" cy="951865"/>
                                </a:xfrm>
                                <a:prstGeom prst="rect">
                                  <a:avLst/>
                                </a:prstGeom>
                                <a:noFill/>
                                <a:ln>
                                  <a:noFill/>
                                </a:ln>
                              </pic:spPr>
                            </pic:pic>
                          </a:graphicData>
                        </a:graphic>
                      </wp:inline>
                    </w:drawing>
                  </w:r>
                </w:p>
              </w:tc>
              <w:tc>
                <w:tcPr>
                  <w:tcW w:w="1844" w:type="pct"/>
                  <w:noWrap w:val="0"/>
                  <w:vAlign w:val="center"/>
                </w:tcPr>
                <w:p w14:paraId="212C518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1138555" cy="1014095"/>
                        <wp:effectExtent l="0" t="0" r="4445" b="14605"/>
                        <wp:docPr id="1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6"/>
                                <pic:cNvPicPr>
                                  <a:picLocks noChangeAspect="1"/>
                                </pic:cNvPicPr>
                              </pic:nvPicPr>
                              <pic:blipFill>
                                <a:blip r:embed="rId34"/>
                                <a:stretch>
                                  <a:fillRect/>
                                </a:stretch>
                              </pic:blipFill>
                              <pic:spPr>
                                <a:xfrm>
                                  <a:off x="0" y="0"/>
                                  <a:ext cx="1138555" cy="1014095"/>
                                </a:xfrm>
                                <a:prstGeom prst="rect">
                                  <a:avLst/>
                                </a:prstGeom>
                                <a:noFill/>
                                <a:ln>
                                  <a:noFill/>
                                </a:ln>
                              </pic:spPr>
                            </pic:pic>
                          </a:graphicData>
                        </a:graphic>
                      </wp:inline>
                    </w:drawing>
                  </w:r>
                </w:p>
              </w:tc>
            </w:tr>
            <w:tr w14:paraId="75090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3249064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一般固废</w:t>
                  </w:r>
                </w:p>
              </w:tc>
              <w:tc>
                <w:tcPr>
                  <w:tcW w:w="1877" w:type="pct"/>
                  <w:noWrap w:val="0"/>
                  <w:vAlign w:val="center"/>
                </w:tcPr>
                <w:p w14:paraId="0003355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998220" cy="1010285"/>
                        <wp:effectExtent l="0" t="0" r="11430" b="18415"/>
                        <wp:docPr id="1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7"/>
                                <pic:cNvPicPr>
                                  <a:picLocks noChangeAspect="1"/>
                                </pic:cNvPicPr>
                              </pic:nvPicPr>
                              <pic:blipFill>
                                <a:blip r:embed="rId35"/>
                                <a:stretch>
                                  <a:fillRect/>
                                </a:stretch>
                              </pic:blipFill>
                              <pic:spPr>
                                <a:xfrm>
                                  <a:off x="0" y="0"/>
                                  <a:ext cx="998220" cy="1010285"/>
                                </a:xfrm>
                                <a:prstGeom prst="rect">
                                  <a:avLst/>
                                </a:prstGeom>
                                <a:noFill/>
                                <a:ln>
                                  <a:noFill/>
                                </a:ln>
                              </pic:spPr>
                            </pic:pic>
                          </a:graphicData>
                        </a:graphic>
                      </wp:inline>
                    </w:drawing>
                  </w:r>
                </w:p>
              </w:tc>
              <w:tc>
                <w:tcPr>
                  <w:tcW w:w="1844" w:type="pct"/>
                  <w:noWrap w:val="0"/>
                  <w:vAlign w:val="center"/>
                </w:tcPr>
                <w:p w14:paraId="05CFF09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1148080" cy="1040130"/>
                        <wp:effectExtent l="0" t="0" r="13970" b="7620"/>
                        <wp:docPr id="13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8"/>
                                <pic:cNvPicPr>
                                  <a:picLocks noChangeAspect="1"/>
                                </pic:cNvPicPr>
                              </pic:nvPicPr>
                              <pic:blipFill>
                                <a:blip r:embed="rId36"/>
                                <a:stretch>
                                  <a:fillRect/>
                                </a:stretch>
                              </pic:blipFill>
                              <pic:spPr>
                                <a:xfrm>
                                  <a:off x="0" y="0"/>
                                  <a:ext cx="1148080" cy="1040130"/>
                                </a:xfrm>
                                <a:prstGeom prst="rect">
                                  <a:avLst/>
                                </a:prstGeom>
                                <a:noFill/>
                                <a:ln>
                                  <a:noFill/>
                                </a:ln>
                              </pic:spPr>
                            </pic:pic>
                          </a:graphicData>
                        </a:graphic>
                      </wp:inline>
                    </w:drawing>
                  </w:r>
                </w:p>
              </w:tc>
            </w:tr>
            <w:tr w14:paraId="7A5EB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noWrap w:val="0"/>
                  <w:vAlign w:val="center"/>
                </w:tcPr>
                <w:p w14:paraId="0891584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危险废物</w:t>
                  </w:r>
                </w:p>
              </w:tc>
              <w:tc>
                <w:tcPr>
                  <w:tcW w:w="1877" w:type="pct"/>
                  <w:noWrap w:val="0"/>
                  <w:vAlign w:val="center"/>
                </w:tcPr>
                <w:p w14:paraId="57F0676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t>/</w:t>
                  </w:r>
                </w:p>
              </w:tc>
              <w:tc>
                <w:tcPr>
                  <w:tcW w:w="1844" w:type="pct"/>
                  <w:noWrap w:val="0"/>
                  <w:vAlign w:val="center"/>
                </w:tcPr>
                <w:p w14:paraId="7854690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000000"/>
                      <w:sz w:val="21"/>
                      <w:szCs w:val="21"/>
                      <w:u w:val="none"/>
                    </w:rPr>
                  </w:pPr>
                  <w:r>
                    <w:rPr>
                      <w:rFonts w:hint="default" w:ascii="Times New Roman" w:hAnsi="Times New Roman" w:eastAsia="宋体" w:cs="Times New Roman"/>
                      <w:color w:val="000000"/>
                      <w:sz w:val="21"/>
                      <w:szCs w:val="21"/>
                      <w:u w:val="none"/>
                    </w:rPr>
                    <w:drawing>
                      <wp:inline distT="0" distB="0" distL="114300" distR="114300">
                        <wp:extent cx="1179830" cy="1099185"/>
                        <wp:effectExtent l="0" t="0" r="1270" b="5715"/>
                        <wp:docPr id="1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9"/>
                                <pic:cNvPicPr>
                                  <a:picLocks noChangeAspect="1"/>
                                </pic:cNvPicPr>
                              </pic:nvPicPr>
                              <pic:blipFill>
                                <a:blip r:embed="rId37"/>
                                <a:stretch>
                                  <a:fillRect/>
                                </a:stretch>
                              </pic:blipFill>
                              <pic:spPr>
                                <a:xfrm>
                                  <a:off x="0" y="0"/>
                                  <a:ext cx="1179830" cy="1099185"/>
                                </a:xfrm>
                                <a:prstGeom prst="rect">
                                  <a:avLst/>
                                </a:prstGeom>
                                <a:noFill/>
                                <a:ln>
                                  <a:noFill/>
                                </a:ln>
                              </pic:spPr>
                            </pic:pic>
                          </a:graphicData>
                        </a:graphic>
                      </wp:inline>
                    </w:drawing>
                  </w:r>
                </w:p>
              </w:tc>
            </w:tr>
          </w:tbl>
          <w:p w14:paraId="2D7C97B0">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000000" w:themeColor="text1"/>
                <w:kern w:val="0"/>
                <w:sz w:val="24"/>
                <w:szCs w:val="24"/>
                <w:u w:val="none"/>
                <w14:textFill>
                  <w14:solidFill>
                    <w14:schemeClr w14:val="tx1"/>
                  </w14:solidFill>
                </w14:textFill>
              </w:rPr>
            </w:pPr>
            <w:r>
              <w:rPr>
                <w:rFonts w:hint="default" w:ascii="Times New Roman" w:hAnsi="Times New Roman" w:eastAsia="宋体" w:cs="Times New Roman"/>
                <w:b/>
                <w:color w:val="000000" w:themeColor="text1"/>
                <w:kern w:val="0"/>
                <w:sz w:val="24"/>
                <w:szCs w:val="24"/>
                <w:u w:val="none"/>
                <w14:textFill>
                  <w14:solidFill>
                    <w14:schemeClr w14:val="tx1"/>
                  </w14:solidFill>
                </w14:textFill>
              </w:rPr>
              <w:t>10、环保投资</w:t>
            </w:r>
          </w:p>
          <w:p w14:paraId="5703D362">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000000" w:themeColor="text1"/>
                <w:sz w:val="24"/>
                <w:szCs w:val="24"/>
                <w:u w:val="none"/>
                <w14:textFill>
                  <w14:solidFill>
                    <w14:schemeClr w14:val="tx1"/>
                  </w14:solidFill>
                </w14:textFill>
              </w:rPr>
            </w:pPr>
            <w:r>
              <w:rPr>
                <w:rFonts w:hint="default" w:ascii="Times New Roman" w:hAnsi="Times New Roman" w:eastAsia="宋体" w:cs="Times New Roman"/>
                <w:bCs/>
                <w:color w:val="000000" w:themeColor="text1"/>
                <w:sz w:val="24"/>
                <w:szCs w:val="24"/>
                <w:u w:val="none"/>
                <w14:textFill>
                  <w14:solidFill>
                    <w14:schemeClr w14:val="tx1"/>
                  </w14:solidFill>
                </w14:textFill>
              </w:rPr>
              <w:t>工程环保投资估算见下表。</w:t>
            </w:r>
          </w:p>
          <w:p w14:paraId="65651F3C">
            <w:pPr>
              <w:pStyle w:val="19"/>
              <w:ind w:firstLine="482"/>
              <w:jc w:val="center"/>
              <w:rPr>
                <w:rFonts w:hint="default" w:ascii="Times New Roman" w:hAnsi="Times New Roman" w:eastAsia="宋体" w:cs="Times New Roman"/>
                <w:b/>
                <w:color w:val="000000" w:themeColor="text1"/>
                <w:sz w:val="24"/>
                <w:szCs w:val="24"/>
                <w:u w:val="none"/>
                <w14:textFill>
                  <w14:solidFill>
                    <w14:schemeClr w14:val="tx1"/>
                  </w14:solidFill>
                </w14:textFill>
              </w:rPr>
            </w:pPr>
            <w:r>
              <w:rPr>
                <w:rFonts w:hint="default" w:ascii="Times New Roman" w:hAnsi="Times New Roman" w:eastAsia="宋体" w:cs="Times New Roman"/>
                <w:b/>
                <w:color w:val="000000" w:themeColor="text1"/>
                <w:sz w:val="24"/>
                <w:szCs w:val="24"/>
                <w:u w:val="none"/>
                <w14:textFill>
                  <w14:solidFill>
                    <w14:schemeClr w14:val="tx1"/>
                  </w14:solidFill>
                </w14:textFill>
              </w:rPr>
              <w:t>表4-</w:t>
            </w:r>
            <w:r>
              <w:rPr>
                <w:rFonts w:hint="eastAsia" w:ascii="Times New Roman" w:hAnsi="Times New Roman" w:eastAsia="宋体" w:cs="Times New Roman"/>
                <w:b/>
                <w:color w:val="000000" w:themeColor="text1"/>
                <w:sz w:val="24"/>
                <w:szCs w:val="24"/>
                <w:u w:val="none"/>
                <w:lang w:val="en-US" w:eastAsia="zh-CN"/>
                <w14:textFill>
                  <w14:solidFill>
                    <w14:schemeClr w14:val="tx1"/>
                  </w14:solidFill>
                </w14:textFill>
              </w:rPr>
              <w:t>32</w:t>
            </w:r>
            <w:r>
              <w:rPr>
                <w:rFonts w:hint="default" w:ascii="Times New Roman" w:hAnsi="Times New Roman" w:eastAsia="宋体" w:cs="Times New Roman"/>
                <w:b/>
                <w:color w:val="000000" w:themeColor="text1"/>
                <w:sz w:val="24"/>
                <w:szCs w:val="24"/>
                <w:u w:val="none"/>
                <w14:textFill>
                  <w14:solidFill>
                    <w14:schemeClr w14:val="tx1"/>
                  </w14:solidFill>
                </w14:textFill>
              </w:rPr>
              <w:t xml:space="preserve">  项目环保投资一览表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562"/>
              <w:gridCol w:w="1529"/>
              <w:gridCol w:w="1464"/>
              <w:gridCol w:w="3922"/>
              <w:gridCol w:w="1106"/>
            </w:tblGrid>
            <w:tr w14:paraId="6C60B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noWrap w:val="0"/>
                  <w:tcMar>
                    <w:top w:w="57" w:type="dxa"/>
                    <w:bottom w:w="57" w:type="dxa"/>
                  </w:tcMar>
                  <w:vAlign w:val="center"/>
                </w:tcPr>
                <w:p w14:paraId="51D3AC70">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类型</w:t>
                  </w:r>
                </w:p>
              </w:tc>
              <w:tc>
                <w:tcPr>
                  <w:tcW w:w="1128" w:type="pct"/>
                  <w:gridSpan w:val="2"/>
                  <w:noWrap w:val="0"/>
                  <w:tcMar>
                    <w:top w:w="57" w:type="dxa"/>
                    <w:bottom w:w="57" w:type="dxa"/>
                  </w:tcMar>
                  <w:vAlign w:val="center"/>
                </w:tcPr>
                <w:p w14:paraId="2DD1AAB4">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主要污染源</w:t>
                  </w:r>
                </w:p>
              </w:tc>
              <w:tc>
                <w:tcPr>
                  <w:tcW w:w="790" w:type="pct"/>
                  <w:noWrap w:val="0"/>
                  <w:tcMar>
                    <w:top w:w="57" w:type="dxa"/>
                    <w:bottom w:w="57" w:type="dxa"/>
                  </w:tcMar>
                  <w:vAlign w:val="center"/>
                </w:tcPr>
                <w:p w14:paraId="38ABA9B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主要污染物</w:t>
                  </w:r>
                </w:p>
              </w:tc>
              <w:tc>
                <w:tcPr>
                  <w:tcW w:w="2116" w:type="pct"/>
                  <w:noWrap w:val="0"/>
                  <w:tcMar>
                    <w:top w:w="57" w:type="dxa"/>
                    <w:bottom w:w="57" w:type="dxa"/>
                  </w:tcMar>
                  <w:vAlign w:val="center"/>
                </w:tcPr>
                <w:p w14:paraId="7E5C9D4B">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采取措施</w:t>
                  </w:r>
                </w:p>
              </w:tc>
              <w:tc>
                <w:tcPr>
                  <w:tcW w:w="596" w:type="pct"/>
                  <w:noWrap w:val="0"/>
                  <w:vAlign w:val="center"/>
                </w:tcPr>
                <w:p w14:paraId="291EFA32">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环保投资</w:t>
                  </w:r>
                </w:p>
                <w:p w14:paraId="392BA5F1">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（万元）</w:t>
                  </w:r>
                </w:p>
              </w:tc>
            </w:tr>
            <w:tr w14:paraId="13B82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restart"/>
                  <w:noWrap w:val="0"/>
                  <w:tcMar>
                    <w:top w:w="57" w:type="dxa"/>
                    <w:bottom w:w="57" w:type="dxa"/>
                  </w:tcMar>
                  <w:vAlign w:val="center"/>
                </w:tcPr>
                <w:p w14:paraId="5D05AD05">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废气</w:t>
                  </w:r>
                </w:p>
              </w:tc>
              <w:tc>
                <w:tcPr>
                  <w:tcW w:w="303" w:type="pct"/>
                  <w:vMerge w:val="restart"/>
                  <w:noWrap w:val="0"/>
                  <w:tcMar>
                    <w:top w:w="57" w:type="dxa"/>
                    <w:bottom w:w="57" w:type="dxa"/>
                  </w:tcMar>
                  <w:vAlign w:val="center"/>
                </w:tcPr>
                <w:p w14:paraId="5E9F59A0">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有组织</w:t>
                  </w:r>
                </w:p>
              </w:tc>
              <w:tc>
                <w:tcPr>
                  <w:tcW w:w="825" w:type="pct"/>
                  <w:shd w:val="clear" w:color="auto" w:fill="auto"/>
                  <w:noWrap w:val="0"/>
                  <w:tcMar>
                    <w:top w:w="57" w:type="dxa"/>
                    <w:bottom w:w="57" w:type="dxa"/>
                  </w:tcMar>
                  <w:vAlign w:val="center"/>
                </w:tcPr>
                <w:p w14:paraId="7EF4D783">
                  <w:pPr>
                    <w:jc w:val="center"/>
                    <w:outlineLvl w:val="0"/>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color w:val="000000" w:themeColor="text1"/>
                      <w:sz w:val="21"/>
                      <w:szCs w:val="21"/>
                      <w:u w:val="none"/>
                      <w:lang w:val="en-US" w:eastAsia="zh-CN"/>
                      <w14:textFill>
                        <w14:solidFill>
                          <w14:schemeClr w14:val="tx1"/>
                        </w14:solidFill>
                      </w14:textFill>
                    </w:rPr>
                    <w:t>熟化废气</w:t>
                  </w:r>
                </w:p>
              </w:tc>
              <w:tc>
                <w:tcPr>
                  <w:tcW w:w="790" w:type="pct"/>
                  <w:noWrap w:val="0"/>
                  <w:tcMar>
                    <w:top w:w="57" w:type="dxa"/>
                    <w:bottom w:w="57" w:type="dxa"/>
                  </w:tcMar>
                  <w:vAlign w:val="center"/>
                </w:tcPr>
                <w:p w14:paraId="71372721">
                  <w:pPr>
                    <w:jc w:val="center"/>
                    <w:outlineLvl w:val="0"/>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油烟、非甲烷总烃</w:t>
                  </w:r>
                </w:p>
              </w:tc>
              <w:tc>
                <w:tcPr>
                  <w:tcW w:w="2116" w:type="pct"/>
                  <w:noWrap w:val="0"/>
                  <w:tcMar>
                    <w:top w:w="57" w:type="dxa"/>
                    <w:bottom w:w="57" w:type="dxa"/>
                  </w:tcMar>
                  <w:vAlign w:val="center"/>
                </w:tcPr>
                <w:p w14:paraId="2C831C03">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lang w:val="en-US"/>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经集气罩</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收集后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通过静电油烟净化器</w:t>
                  </w:r>
                  <w:r>
                    <w:rPr>
                      <w:rFonts w:hint="eastAsia" w:cs="Times New Roman"/>
                      <w:color w:val="000000" w:themeColor="text1"/>
                      <w:sz w:val="21"/>
                      <w:szCs w:val="21"/>
                      <w:u w:val="none"/>
                      <w:lang w:val="en-US" w:eastAsia="zh-CN"/>
                      <w14:textFill>
                        <w14:solidFill>
                          <w14:schemeClr w14:val="tx1"/>
                        </w14:solidFill>
                      </w14:textFill>
                    </w:rPr>
                    <w:t>（TA001-TA004）</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处理后经1根15m排气筒（DA001</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-DA003</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）排放</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（其中TA001、TA002静电油烟净化器共用1根15m排气筒（DA001）排放；TA003、TA004静电油烟净化器分别通过1根15m排气筒（DA002-DA003）排放）</w:t>
                  </w:r>
                </w:p>
              </w:tc>
              <w:tc>
                <w:tcPr>
                  <w:tcW w:w="596" w:type="pct"/>
                  <w:noWrap w:val="0"/>
                  <w:vAlign w:val="center"/>
                </w:tcPr>
                <w:p w14:paraId="524EAAA0">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35</w:t>
                  </w:r>
                </w:p>
              </w:tc>
            </w:tr>
            <w:tr w14:paraId="5F96A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084C23FD">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303" w:type="pct"/>
                  <w:vMerge w:val="continue"/>
                  <w:noWrap w:val="0"/>
                  <w:tcMar>
                    <w:top w:w="57" w:type="dxa"/>
                    <w:bottom w:w="57" w:type="dxa"/>
                  </w:tcMar>
                  <w:vAlign w:val="center"/>
                </w:tcPr>
                <w:p w14:paraId="2600D4F4">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825" w:type="pct"/>
                  <w:shd w:val="clear" w:color="auto" w:fill="auto"/>
                  <w:noWrap w:val="0"/>
                  <w:tcMar>
                    <w:top w:w="57" w:type="dxa"/>
                    <w:bottom w:w="57" w:type="dxa"/>
                  </w:tcMar>
                  <w:vAlign w:val="center"/>
                </w:tcPr>
                <w:p w14:paraId="610934AF">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蒸汽发生器废气</w:t>
                  </w:r>
                </w:p>
              </w:tc>
              <w:tc>
                <w:tcPr>
                  <w:tcW w:w="790" w:type="pct"/>
                  <w:shd w:val="clear" w:color="auto" w:fill="auto"/>
                  <w:noWrap w:val="0"/>
                  <w:tcMar>
                    <w:top w:w="57" w:type="dxa"/>
                    <w:bottom w:w="57" w:type="dxa"/>
                  </w:tcMar>
                  <w:vAlign w:val="center"/>
                </w:tcPr>
                <w:p w14:paraId="5656A280">
                  <w:pPr>
                    <w:keepNext w:val="0"/>
                    <w:keepLines w:val="0"/>
                    <w:pageBreakBefore w:val="0"/>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颗粒物、SO</w:t>
                  </w:r>
                  <w:r>
                    <w:rPr>
                      <w:rFonts w:hint="eastAsia"/>
                      <w:color w:val="000000" w:themeColor="text1"/>
                      <w:szCs w:val="21"/>
                      <w:u w:val="none"/>
                      <w:vertAlign w:val="subscript"/>
                      <w14:textFill>
                        <w14:solidFill>
                          <w14:schemeClr w14:val="tx1"/>
                        </w14:solidFill>
                      </w14:textFill>
                    </w:rPr>
                    <w:t>2</w:t>
                  </w:r>
                  <w:r>
                    <w:rPr>
                      <w:rFonts w:hint="eastAsia"/>
                      <w:color w:val="000000" w:themeColor="text1"/>
                      <w:szCs w:val="21"/>
                      <w:u w:val="none"/>
                      <w14:textFill>
                        <w14:solidFill>
                          <w14:schemeClr w14:val="tx1"/>
                        </w14:solidFill>
                      </w14:textFill>
                    </w:rPr>
                    <w:t>、NOx</w:t>
                  </w:r>
                </w:p>
              </w:tc>
              <w:tc>
                <w:tcPr>
                  <w:tcW w:w="2116" w:type="pct"/>
                  <w:shd w:val="clear" w:color="auto" w:fill="auto"/>
                  <w:noWrap w:val="0"/>
                  <w:tcMar>
                    <w:top w:w="57" w:type="dxa"/>
                    <w:bottom w:w="57" w:type="dxa"/>
                  </w:tcMar>
                  <w:vAlign w:val="center"/>
                </w:tcPr>
                <w:p w14:paraId="0E9999EE">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分别经1套低氮燃烧+烟气循环系统（TA005-TA019）处理后通过1根15m高排气筒（DA004）排放</w:t>
                  </w:r>
                </w:p>
              </w:tc>
              <w:tc>
                <w:tcPr>
                  <w:tcW w:w="596" w:type="pct"/>
                  <w:shd w:val="clear" w:color="auto" w:fill="auto"/>
                  <w:noWrap w:val="0"/>
                  <w:vAlign w:val="center"/>
                </w:tcPr>
                <w:p w14:paraId="6B1D0248">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20</w:t>
                  </w:r>
                </w:p>
              </w:tc>
            </w:tr>
            <w:tr w14:paraId="3EF41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48EA1AB">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303" w:type="pct"/>
                  <w:vMerge w:val="restart"/>
                  <w:noWrap w:val="0"/>
                  <w:tcMar>
                    <w:top w:w="57" w:type="dxa"/>
                    <w:bottom w:w="57" w:type="dxa"/>
                  </w:tcMar>
                  <w:vAlign w:val="center"/>
                </w:tcPr>
                <w:p w14:paraId="6BC94BB5">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无组织</w:t>
                  </w:r>
                </w:p>
              </w:tc>
              <w:tc>
                <w:tcPr>
                  <w:tcW w:w="825" w:type="pct"/>
                  <w:shd w:val="clear" w:color="auto" w:fill="auto"/>
                  <w:noWrap w:val="0"/>
                  <w:tcMar>
                    <w:top w:w="57" w:type="dxa"/>
                    <w:bottom w:w="57" w:type="dxa"/>
                  </w:tcMar>
                  <w:vAlign w:val="center"/>
                </w:tcPr>
                <w:p w14:paraId="4DAB2ED0">
                  <w:pPr>
                    <w:jc w:val="center"/>
                    <w:outlineLvl w:val="0"/>
                    <w:rPr>
                      <w:rFonts w:hint="eastAsia"/>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t>和面废气</w:t>
                  </w:r>
                </w:p>
              </w:tc>
              <w:tc>
                <w:tcPr>
                  <w:tcW w:w="790" w:type="pct"/>
                  <w:shd w:val="clear" w:color="auto" w:fill="auto"/>
                  <w:noWrap w:val="0"/>
                  <w:tcMar>
                    <w:top w:w="57" w:type="dxa"/>
                    <w:bottom w:w="57" w:type="dxa"/>
                  </w:tcMar>
                  <w:vAlign w:val="center"/>
                </w:tcPr>
                <w:p w14:paraId="190E2456">
                  <w:pPr>
                    <w:jc w:val="center"/>
                    <w:outlineLvl w:val="0"/>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2116" w:type="pct"/>
                  <w:vMerge w:val="restart"/>
                  <w:shd w:val="clear" w:color="auto" w:fill="auto"/>
                  <w:noWrap w:val="0"/>
                  <w:tcMar>
                    <w:top w:w="57" w:type="dxa"/>
                    <w:bottom w:w="57" w:type="dxa"/>
                  </w:tcMar>
                  <w:vAlign w:val="center"/>
                </w:tcPr>
                <w:p w14:paraId="42EA23C5">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eastAsia="zh-CN"/>
                    </w:rPr>
                    <w:t>车间密闭，定期对废气环保设备维护，保证废气收集效率</w:t>
                  </w:r>
                </w:p>
              </w:tc>
              <w:tc>
                <w:tcPr>
                  <w:tcW w:w="596" w:type="pct"/>
                  <w:vMerge w:val="restart"/>
                  <w:shd w:val="clear" w:color="auto" w:fill="auto"/>
                  <w:noWrap w:val="0"/>
                  <w:vAlign w:val="center"/>
                </w:tcPr>
                <w:p w14:paraId="36E330C6">
                  <w:pPr>
                    <w:keepNext w:val="0"/>
                    <w:keepLines w:val="0"/>
                    <w:pageBreakBefore w:val="0"/>
                    <w:kinsoku/>
                    <w:wordWrap/>
                    <w:overflowPunct/>
                    <w:topLinePunct w:val="0"/>
                    <w:autoSpaceDE/>
                    <w:autoSpaceDN/>
                    <w:bidi w:val="0"/>
                    <w:snapToGrid w:val="0"/>
                    <w:spacing w:line="240" w:lineRule="auto"/>
                    <w:jc w:val="center"/>
                    <w:textAlignment w:val="auto"/>
                    <w:rPr>
                      <w:rFonts w:hint="default"/>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5</w:t>
                  </w:r>
                </w:p>
              </w:tc>
            </w:tr>
            <w:tr w14:paraId="5FD2C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8C64021">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303" w:type="pct"/>
                  <w:vMerge w:val="continue"/>
                  <w:noWrap w:val="0"/>
                  <w:tcMar>
                    <w:top w:w="57" w:type="dxa"/>
                    <w:bottom w:w="57" w:type="dxa"/>
                  </w:tcMar>
                  <w:vAlign w:val="center"/>
                </w:tcPr>
                <w:p w14:paraId="755C629C">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825" w:type="pct"/>
                  <w:shd w:val="clear" w:color="auto" w:fill="auto"/>
                  <w:noWrap w:val="0"/>
                  <w:tcMar>
                    <w:top w:w="57" w:type="dxa"/>
                    <w:bottom w:w="57" w:type="dxa"/>
                  </w:tcMar>
                  <w:vAlign w:val="center"/>
                </w:tcPr>
                <w:p w14:paraId="58B29AAE">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t>熟化过程</w:t>
                  </w:r>
                  <w:r>
                    <w:rPr>
                      <w:rFonts w:hint="eastAsia" w:cs="Times New Roman"/>
                      <w:color w:val="000000" w:themeColor="text1"/>
                      <w:sz w:val="21"/>
                      <w:szCs w:val="21"/>
                      <w:u w:val="none"/>
                      <w:lang w:val="en-US" w:eastAsia="zh-CN" w:bidi="ar"/>
                      <w14:textFill>
                        <w14:solidFill>
                          <w14:schemeClr w14:val="tx1"/>
                        </w14:solidFill>
                      </w14:textFill>
                    </w:rPr>
                    <w:t>未收集废气</w:t>
                  </w:r>
                </w:p>
              </w:tc>
              <w:tc>
                <w:tcPr>
                  <w:tcW w:w="790" w:type="pct"/>
                  <w:shd w:val="clear" w:color="auto" w:fill="auto"/>
                  <w:noWrap w:val="0"/>
                  <w:tcMar>
                    <w:top w:w="57" w:type="dxa"/>
                    <w:bottom w:w="57" w:type="dxa"/>
                  </w:tcMar>
                  <w:vAlign w:val="center"/>
                </w:tcPr>
                <w:p w14:paraId="32070B1E">
                  <w:pPr>
                    <w:keepNext w:val="0"/>
                    <w:keepLines w:val="0"/>
                    <w:pageBreakBefore w:val="0"/>
                    <w:kinsoku/>
                    <w:wordWrap/>
                    <w:overflowPunct/>
                    <w:topLinePunct w:val="0"/>
                    <w:autoSpaceDE/>
                    <w:autoSpaceDN/>
                    <w:bidi w:val="0"/>
                    <w:spacing w:line="240" w:lineRule="auto"/>
                    <w:jc w:val="center"/>
                    <w:textAlignment w:val="auto"/>
                    <w:outlineLvl w:val="0"/>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油烟、非甲烷总烃</w:t>
                  </w:r>
                </w:p>
              </w:tc>
              <w:tc>
                <w:tcPr>
                  <w:tcW w:w="2116" w:type="pct"/>
                  <w:vMerge w:val="continue"/>
                  <w:shd w:val="clear" w:color="auto" w:fill="auto"/>
                  <w:noWrap w:val="0"/>
                  <w:tcMar>
                    <w:top w:w="57" w:type="dxa"/>
                    <w:bottom w:w="57" w:type="dxa"/>
                  </w:tcMar>
                  <w:vAlign w:val="center"/>
                </w:tcPr>
                <w:p w14:paraId="15278094">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eastAsia="zh-CN"/>
                    </w:rPr>
                  </w:pPr>
                </w:p>
              </w:tc>
              <w:tc>
                <w:tcPr>
                  <w:tcW w:w="596" w:type="pct"/>
                  <w:vMerge w:val="continue"/>
                  <w:shd w:val="clear" w:color="auto" w:fill="auto"/>
                  <w:noWrap w:val="0"/>
                  <w:vAlign w:val="center"/>
                </w:tcPr>
                <w:p w14:paraId="0375F3D0">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Cs w:val="21"/>
                      <w:u w:val="none"/>
                      <w:lang w:val="en-US" w:eastAsia="zh-CN"/>
                      <w14:textFill>
                        <w14:solidFill>
                          <w14:schemeClr w14:val="tx1"/>
                        </w14:solidFill>
                      </w14:textFill>
                    </w:rPr>
                  </w:pPr>
                </w:p>
              </w:tc>
            </w:tr>
            <w:tr w14:paraId="34810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EC821C2">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303" w:type="pct"/>
                  <w:vMerge w:val="continue"/>
                  <w:noWrap w:val="0"/>
                  <w:tcMar>
                    <w:top w:w="57" w:type="dxa"/>
                    <w:bottom w:w="57" w:type="dxa"/>
                  </w:tcMar>
                  <w:vAlign w:val="center"/>
                </w:tcPr>
                <w:p w14:paraId="438264C8">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825" w:type="pct"/>
                  <w:shd w:val="clear" w:color="auto" w:fill="auto"/>
                  <w:noWrap w:val="0"/>
                  <w:tcMar>
                    <w:top w:w="57" w:type="dxa"/>
                    <w:bottom w:w="57" w:type="dxa"/>
                  </w:tcMar>
                  <w:vAlign w:val="center"/>
                </w:tcPr>
                <w:p w14:paraId="002F1FA0">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熟化过程天然气燃烧废气</w:t>
                  </w:r>
                </w:p>
              </w:tc>
              <w:tc>
                <w:tcPr>
                  <w:tcW w:w="790" w:type="pct"/>
                  <w:shd w:val="clear" w:color="auto" w:fill="auto"/>
                  <w:noWrap w:val="0"/>
                  <w:tcMar>
                    <w:top w:w="57" w:type="dxa"/>
                    <w:bottom w:w="57" w:type="dxa"/>
                  </w:tcMar>
                  <w:vAlign w:val="center"/>
                </w:tcPr>
                <w:p w14:paraId="66B8AB26">
                  <w:pPr>
                    <w:keepNext w:val="0"/>
                    <w:keepLines w:val="0"/>
                    <w:pageBreakBefore w:val="0"/>
                    <w:kinsoku/>
                    <w:wordWrap/>
                    <w:overflowPunct/>
                    <w:topLinePunct w:val="0"/>
                    <w:autoSpaceDE/>
                    <w:autoSpaceDN/>
                    <w:bidi w:val="0"/>
                    <w:spacing w:line="240" w:lineRule="auto"/>
                    <w:jc w:val="center"/>
                    <w:textAlignment w:val="auto"/>
                    <w:outlineLvl w:val="0"/>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Cs w:val="21"/>
                      <w:u w:val="none"/>
                      <w14:textFill>
                        <w14:solidFill>
                          <w14:schemeClr w14:val="tx1"/>
                        </w14:solidFill>
                      </w14:textFill>
                    </w:rPr>
                    <w:t>颗粒物、SO</w:t>
                  </w:r>
                  <w:r>
                    <w:rPr>
                      <w:rFonts w:hint="eastAsia"/>
                      <w:color w:val="000000" w:themeColor="text1"/>
                      <w:szCs w:val="21"/>
                      <w:u w:val="none"/>
                      <w:vertAlign w:val="subscript"/>
                      <w14:textFill>
                        <w14:solidFill>
                          <w14:schemeClr w14:val="tx1"/>
                        </w14:solidFill>
                      </w14:textFill>
                    </w:rPr>
                    <w:t>2</w:t>
                  </w:r>
                  <w:r>
                    <w:rPr>
                      <w:rFonts w:hint="eastAsia"/>
                      <w:color w:val="000000" w:themeColor="text1"/>
                      <w:szCs w:val="21"/>
                      <w:u w:val="none"/>
                      <w14:textFill>
                        <w14:solidFill>
                          <w14:schemeClr w14:val="tx1"/>
                        </w14:solidFill>
                      </w14:textFill>
                    </w:rPr>
                    <w:t>、NOx</w:t>
                  </w:r>
                </w:p>
              </w:tc>
              <w:tc>
                <w:tcPr>
                  <w:tcW w:w="2116" w:type="pct"/>
                  <w:vMerge w:val="continue"/>
                  <w:shd w:val="clear" w:color="auto" w:fill="auto"/>
                  <w:noWrap w:val="0"/>
                  <w:tcMar>
                    <w:top w:w="57" w:type="dxa"/>
                    <w:bottom w:w="57" w:type="dxa"/>
                  </w:tcMar>
                  <w:vAlign w:val="center"/>
                </w:tcPr>
                <w:p w14:paraId="54D23014">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eastAsia="zh-CN"/>
                    </w:rPr>
                  </w:pPr>
                </w:p>
              </w:tc>
              <w:tc>
                <w:tcPr>
                  <w:tcW w:w="596" w:type="pct"/>
                  <w:vMerge w:val="continue"/>
                  <w:shd w:val="clear" w:color="auto" w:fill="auto"/>
                  <w:noWrap w:val="0"/>
                  <w:vAlign w:val="center"/>
                </w:tcPr>
                <w:p w14:paraId="1C85EEFB">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Cs w:val="21"/>
                      <w:u w:val="none"/>
                      <w:lang w:val="en-US" w:eastAsia="zh-CN"/>
                      <w14:textFill>
                        <w14:solidFill>
                          <w14:schemeClr w14:val="tx1"/>
                        </w14:solidFill>
                      </w14:textFill>
                    </w:rPr>
                  </w:pPr>
                </w:p>
              </w:tc>
            </w:tr>
            <w:tr w14:paraId="17D54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4CD1980B">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303" w:type="pct"/>
                  <w:vMerge w:val="continue"/>
                  <w:noWrap w:val="0"/>
                  <w:tcMar>
                    <w:top w:w="57" w:type="dxa"/>
                    <w:bottom w:w="57" w:type="dxa"/>
                  </w:tcMar>
                  <w:vAlign w:val="center"/>
                </w:tcPr>
                <w:p w14:paraId="20BA56BA">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p>
              </w:tc>
              <w:tc>
                <w:tcPr>
                  <w:tcW w:w="825" w:type="pct"/>
                  <w:shd w:val="clear" w:color="auto" w:fill="auto"/>
                  <w:noWrap w:val="0"/>
                  <w:tcMar>
                    <w:top w:w="57" w:type="dxa"/>
                    <w:bottom w:w="57" w:type="dxa"/>
                  </w:tcMar>
                  <w:vAlign w:val="center"/>
                </w:tcPr>
                <w:p w14:paraId="0CFCAE7C">
                  <w:pPr>
                    <w:keepNext w:val="0"/>
                    <w:keepLines w:val="0"/>
                    <w:pageBreakBefore w:val="0"/>
                    <w:kinsoku/>
                    <w:wordWrap/>
                    <w:overflowPunct/>
                    <w:topLinePunct w:val="0"/>
                    <w:autoSpaceDE/>
                    <w:autoSpaceDN/>
                    <w:bidi w:val="0"/>
                    <w:snapToGrid w:val="0"/>
                    <w:spacing w:line="240" w:lineRule="auto"/>
                    <w:jc w:val="center"/>
                    <w:textAlignment w:val="auto"/>
                    <w:rPr>
                      <w:rFonts w:hint="default"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污水处理站产生恶臭</w:t>
                  </w:r>
                </w:p>
              </w:tc>
              <w:tc>
                <w:tcPr>
                  <w:tcW w:w="790" w:type="pct"/>
                  <w:shd w:val="clear" w:color="auto" w:fill="auto"/>
                  <w:noWrap w:val="0"/>
                  <w:tcMar>
                    <w:top w:w="57" w:type="dxa"/>
                    <w:bottom w:w="57" w:type="dxa"/>
                  </w:tcMar>
                  <w:vAlign w:val="center"/>
                </w:tcPr>
                <w:p w14:paraId="3462390E">
                  <w:pPr>
                    <w:keepNext w:val="0"/>
                    <w:keepLines w:val="0"/>
                    <w:pageBreakBefore w:val="0"/>
                    <w:kinsoku/>
                    <w:wordWrap/>
                    <w:overflowPunct/>
                    <w:topLinePunct w:val="0"/>
                    <w:autoSpaceDE/>
                    <w:autoSpaceDN/>
                    <w:bidi w:val="0"/>
                    <w:spacing w:line="240" w:lineRule="auto"/>
                    <w:jc w:val="center"/>
                    <w:textAlignment w:val="auto"/>
                    <w:outlineLvl w:val="0"/>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2116" w:type="pct"/>
                  <w:shd w:val="clear" w:color="auto" w:fill="auto"/>
                  <w:noWrap w:val="0"/>
                  <w:tcMar>
                    <w:top w:w="57" w:type="dxa"/>
                    <w:bottom w:w="57" w:type="dxa"/>
                  </w:tcMar>
                  <w:vAlign w:val="center"/>
                </w:tcPr>
                <w:p w14:paraId="1FBBDDF0">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szCs w:val="21"/>
                      <w:u w:val="none"/>
                      <w14:textFill>
                        <w14:solidFill>
                          <w14:schemeClr w14:val="tx1"/>
                        </w14:solidFill>
                      </w14:textFill>
                    </w:rPr>
                  </w:pPr>
                  <w:r>
                    <w:rPr>
                      <w:rFonts w:hint="eastAsia"/>
                      <w:color w:val="000000" w:themeColor="text1"/>
                      <w:szCs w:val="21"/>
                      <w14:textFill>
                        <w14:solidFill>
                          <w14:schemeClr w14:val="tx1"/>
                        </w14:solidFill>
                      </w14:textFill>
                    </w:rPr>
                    <w:t>污水处理站加盖密闭，定期喷洒除臭剂等</w:t>
                  </w:r>
                </w:p>
              </w:tc>
              <w:tc>
                <w:tcPr>
                  <w:tcW w:w="596" w:type="pct"/>
                  <w:shd w:val="clear" w:color="auto" w:fill="auto"/>
                  <w:noWrap w:val="0"/>
                  <w:vAlign w:val="center"/>
                </w:tcPr>
                <w:p w14:paraId="403A1064">
                  <w:pPr>
                    <w:keepNext w:val="0"/>
                    <w:keepLines w:val="0"/>
                    <w:pageBreakBefore w:val="0"/>
                    <w:kinsoku/>
                    <w:wordWrap/>
                    <w:overflowPunct/>
                    <w:topLinePunct w:val="0"/>
                    <w:autoSpaceDE/>
                    <w:autoSpaceDN/>
                    <w:bidi w:val="0"/>
                    <w:snapToGrid w:val="0"/>
                    <w:spacing w:line="240" w:lineRule="auto"/>
                    <w:jc w:val="center"/>
                    <w:textAlignment w:val="auto"/>
                    <w:rPr>
                      <w:rFonts w:hint="default"/>
                      <w:color w:val="000000" w:themeColor="text1"/>
                      <w:szCs w:val="21"/>
                      <w:u w:val="none"/>
                      <w:lang w:val="en-US" w:eastAsia="zh-CN"/>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2</w:t>
                  </w:r>
                </w:p>
              </w:tc>
            </w:tr>
            <w:tr w14:paraId="3CAE8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restart"/>
                  <w:noWrap w:val="0"/>
                  <w:tcMar>
                    <w:top w:w="57" w:type="dxa"/>
                    <w:bottom w:w="57" w:type="dxa"/>
                  </w:tcMar>
                  <w:vAlign w:val="center"/>
                </w:tcPr>
                <w:p w14:paraId="148F3C85">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废水</w:t>
                  </w:r>
                </w:p>
              </w:tc>
              <w:tc>
                <w:tcPr>
                  <w:tcW w:w="1128" w:type="pct"/>
                  <w:gridSpan w:val="2"/>
                  <w:shd w:val="clear" w:color="auto" w:fill="auto"/>
                  <w:noWrap w:val="0"/>
                  <w:tcMar>
                    <w:top w:w="57" w:type="dxa"/>
                    <w:bottom w:w="57" w:type="dxa"/>
                  </w:tcMar>
                  <w:vAlign w:val="center"/>
                </w:tcPr>
                <w:p w14:paraId="5EF8762A">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职工生活污水</w:t>
                  </w:r>
                </w:p>
              </w:tc>
              <w:tc>
                <w:tcPr>
                  <w:tcW w:w="790" w:type="pct"/>
                  <w:shd w:val="clear" w:color="auto" w:fill="auto"/>
                  <w:noWrap w:val="0"/>
                  <w:tcMar>
                    <w:top w:w="57" w:type="dxa"/>
                    <w:bottom w:w="57" w:type="dxa"/>
                  </w:tcMar>
                  <w:vAlign w:val="center"/>
                </w:tcPr>
                <w:p w14:paraId="32119A3D">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u w:val="none"/>
                      <w14:textFill>
                        <w14:solidFill>
                          <w14:schemeClr w14:val="tx1"/>
                        </w14:solidFill>
                      </w14:textFill>
                    </w:rPr>
                    <w:t>COD、BOD</w:t>
                  </w:r>
                  <w:r>
                    <w:rPr>
                      <w:color w:val="000000" w:themeColor="text1"/>
                      <w:szCs w:val="21"/>
                      <w:u w:val="none"/>
                      <w:vertAlign w:val="subscript"/>
                      <w14:textFill>
                        <w14:solidFill>
                          <w14:schemeClr w14:val="tx1"/>
                        </w14:solidFill>
                      </w14:textFill>
                    </w:rPr>
                    <w:t>5</w:t>
                  </w:r>
                  <w:r>
                    <w:rPr>
                      <w:color w:val="000000" w:themeColor="text1"/>
                      <w:szCs w:val="21"/>
                      <w:u w:val="none"/>
                      <w14:textFill>
                        <w14:solidFill>
                          <w14:schemeClr w14:val="tx1"/>
                        </w14:solidFill>
                      </w14:textFill>
                    </w:rPr>
                    <w:t>、NH</w:t>
                  </w:r>
                  <w:r>
                    <w:rPr>
                      <w:color w:val="000000" w:themeColor="text1"/>
                      <w:szCs w:val="21"/>
                      <w:u w:val="none"/>
                      <w:vertAlign w:val="subscript"/>
                      <w14:textFill>
                        <w14:solidFill>
                          <w14:schemeClr w14:val="tx1"/>
                        </w14:solidFill>
                      </w14:textFill>
                    </w:rPr>
                    <w:t>3</w:t>
                  </w:r>
                  <w:r>
                    <w:rPr>
                      <w:color w:val="000000" w:themeColor="text1"/>
                      <w:szCs w:val="21"/>
                      <w:u w:val="none"/>
                      <w14:textFill>
                        <w14:solidFill>
                          <w14:schemeClr w14:val="tx1"/>
                        </w14:solidFill>
                      </w14:textFill>
                    </w:rPr>
                    <w:t>-N、SS</w:t>
                  </w:r>
                </w:p>
              </w:tc>
              <w:tc>
                <w:tcPr>
                  <w:tcW w:w="2116" w:type="pct"/>
                  <w:vMerge w:val="restart"/>
                  <w:shd w:val="clear" w:color="auto" w:fill="auto"/>
                  <w:noWrap w:val="0"/>
                  <w:tcMar>
                    <w:top w:w="57" w:type="dxa"/>
                    <w:bottom w:w="57" w:type="dxa"/>
                  </w:tcMar>
                  <w:vAlign w:val="center"/>
                </w:tcPr>
                <w:p w14:paraId="6325B3BE">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color w:val="000000"/>
                    </w:rPr>
                    <w:t>生活污水经化粪池（容积</w:t>
                  </w:r>
                  <w:r>
                    <w:rPr>
                      <w:rFonts w:hint="eastAsia"/>
                      <w:color w:val="000000"/>
                      <w:lang w:val="en-US" w:eastAsia="zh-CN"/>
                    </w:rPr>
                    <w:t>15</w:t>
                  </w:r>
                  <w:r>
                    <w:rPr>
                      <w:rFonts w:hint="eastAsia"/>
                      <w:color w:val="000000"/>
                    </w:rPr>
                    <w:t>m</w:t>
                  </w:r>
                  <w:r>
                    <w:rPr>
                      <w:rFonts w:hint="eastAsia"/>
                      <w:color w:val="000000"/>
                      <w:vertAlign w:val="superscript"/>
                    </w:rPr>
                    <w:t>3</w:t>
                  </w:r>
                  <w:r>
                    <w:rPr>
                      <w:rFonts w:hint="eastAsia"/>
                      <w:color w:val="000000"/>
                    </w:rPr>
                    <w:t>）处理后</w:t>
                  </w:r>
                  <w:r>
                    <w:rPr>
                      <w:rFonts w:hint="eastAsia"/>
                      <w:color w:val="000000"/>
                      <w:lang w:val="en-US" w:eastAsia="zh-CN"/>
                    </w:rPr>
                    <w:t>与</w:t>
                  </w:r>
                  <w:r>
                    <w:rPr>
                      <w:rFonts w:hint="eastAsia" w:ascii="Times New Roman" w:eastAsia="宋体"/>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r>
                    <w:rPr>
                      <w:rFonts w:hint="eastAsia"/>
                      <w:color w:val="000000"/>
                    </w:rPr>
                    <w:t>混合后</w:t>
                  </w:r>
                  <w:r>
                    <w:rPr>
                      <w:rFonts w:hint="eastAsia"/>
                      <w:color w:val="000000"/>
                      <w:lang w:val="en-US" w:eastAsia="zh-CN"/>
                    </w:rPr>
                    <w:t>一起经厂区污水处理站</w:t>
                  </w:r>
                  <w:r>
                    <w:rPr>
                      <w:rFonts w:hint="eastAsia"/>
                      <w:color w:val="000000"/>
                    </w:rPr>
                    <w:t>（</w:t>
                  </w:r>
                  <w:r>
                    <w:rPr>
                      <w:rFonts w:hint="default" w:ascii="Times New Roman" w:hAnsi="Times New Roman" w:eastAsia="宋体" w:cs="Times New Roman"/>
                      <w:color w:val="auto"/>
                      <w:sz w:val="21"/>
                      <w:szCs w:val="21"/>
                      <w:u w:val="none"/>
                    </w:rPr>
                    <w:t>处理规模为</w:t>
                  </w:r>
                  <w:r>
                    <w:rPr>
                      <w:rFonts w:hint="eastAsia" w:cs="Times New Roman"/>
                      <w:color w:val="auto"/>
                      <w:sz w:val="21"/>
                      <w:szCs w:val="21"/>
                      <w:u w:val="none"/>
                      <w:lang w:val="en-US" w:eastAsia="zh-CN"/>
                    </w:rPr>
                    <w:t>5</w:t>
                  </w:r>
                  <w:r>
                    <w:rPr>
                      <w:rFonts w:hint="eastAsia" w:ascii="Times New Roman" w:hAnsi="Times New Roman" w:eastAsia="宋体" w:cs="Times New Roman"/>
                      <w:color w:val="auto"/>
                      <w:sz w:val="21"/>
                      <w:szCs w:val="21"/>
                      <w:u w:val="none"/>
                      <w:lang w:val="en-US" w:eastAsia="zh-CN"/>
                    </w:rPr>
                    <w:t>0</w:t>
                  </w:r>
                  <w:r>
                    <w:rPr>
                      <w:rFonts w:hint="default" w:ascii="Times New Roman" w:hAnsi="Times New Roman" w:eastAsia="宋体" w:cs="Times New Roman"/>
                      <w:color w:val="auto"/>
                      <w:sz w:val="21"/>
                      <w:szCs w:val="21"/>
                      <w:u w:val="none"/>
                    </w:rPr>
                    <w:t>m</w:t>
                  </w:r>
                  <w:r>
                    <w:rPr>
                      <w:rFonts w:hint="default" w:ascii="Times New Roman" w:hAnsi="Times New Roman" w:eastAsia="宋体"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/d</w:t>
                  </w:r>
                  <w:r>
                    <w:rPr>
                      <w:rFonts w:hint="eastAsia"/>
                      <w:color w:val="000000"/>
                    </w:rPr>
                    <w:t>）</w:t>
                  </w:r>
                  <w:r>
                    <w:rPr>
                      <w:rFonts w:hint="eastAsia"/>
                      <w:color w:val="000000"/>
                      <w:lang w:val="en-US" w:eastAsia="zh-CN"/>
                    </w:rPr>
                    <w:t>处理后</w:t>
                  </w:r>
                  <w:r>
                    <w:rPr>
                      <w:rFonts w:hint="eastAsia"/>
                      <w:color w:val="000000"/>
                    </w:rPr>
                    <w:t>经污水总排口排入市政污水管网进入镇平县第二污水处理厂进一步处理达标后排放</w:t>
                  </w:r>
                </w:p>
              </w:tc>
              <w:tc>
                <w:tcPr>
                  <w:tcW w:w="596" w:type="pct"/>
                  <w:vMerge w:val="restart"/>
                  <w:shd w:val="clear" w:color="auto" w:fill="auto"/>
                  <w:noWrap w:val="0"/>
                  <w:vAlign w:val="center"/>
                </w:tcPr>
                <w:p w14:paraId="1D620D56">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5</w:t>
                  </w:r>
                </w:p>
              </w:tc>
            </w:tr>
            <w:tr w14:paraId="4A3AB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F2269DD">
                  <w:pPr>
                    <w:keepNext w:val="0"/>
                    <w:keepLines w:val="0"/>
                    <w:pageBreakBefore w:val="0"/>
                    <w:kinsoku/>
                    <w:wordWrap/>
                    <w:overflowPunct/>
                    <w:topLinePunct w:val="0"/>
                    <w:autoSpaceDE/>
                    <w:autoSpaceDN/>
                    <w:bidi w:val="0"/>
                    <w:snapToGrid w:val="0"/>
                    <w:spacing w:line="240" w:lineRule="auto"/>
                    <w:jc w:val="center"/>
                    <w:textAlignment w:val="auto"/>
                  </w:pPr>
                </w:p>
              </w:tc>
              <w:tc>
                <w:tcPr>
                  <w:tcW w:w="1128" w:type="pct"/>
                  <w:gridSpan w:val="2"/>
                  <w:shd w:val="clear" w:color="auto" w:fill="auto"/>
                  <w:noWrap w:val="0"/>
                  <w:tcMar>
                    <w:top w:w="57" w:type="dxa"/>
                    <w:bottom w:w="57" w:type="dxa"/>
                  </w:tcMar>
                  <w:vAlign w:val="center"/>
                </w:tcPr>
                <w:p w14:paraId="468EE22A">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p>
              </w:tc>
              <w:tc>
                <w:tcPr>
                  <w:tcW w:w="790" w:type="pct"/>
                  <w:shd w:val="clear" w:color="auto" w:fill="auto"/>
                  <w:noWrap w:val="0"/>
                  <w:tcMar>
                    <w:top w:w="57" w:type="dxa"/>
                    <w:bottom w:w="57" w:type="dxa"/>
                  </w:tcMar>
                  <w:vAlign w:val="center"/>
                </w:tcPr>
                <w:p w14:paraId="1B86AF41">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TP、</w:t>
                  </w:r>
                  <w:r>
                    <w:rPr>
                      <w:rFonts w:hint="eastAsia"/>
                      <w:bCs/>
                      <w:color w:val="000000" w:themeColor="text1"/>
                      <w:szCs w:val="21"/>
                      <w:lang w:val="en-US" w:eastAsia="zh-CN"/>
                      <w14:textFill>
                        <w14:solidFill>
                          <w14:schemeClr w14:val="tx1"/>
                        </w14:solidFill>
                      </w14:textFill>
                    </w:rPr>
                    <w:t>动植物油、LAS</w:t>
                  </w:r>
                </w:p>
              </w:tc>
              <w:tc>
                <w:tcPr>
                  <w:tcW w:w="2116" w:type="pct"/>
                  <w:vMerge w:val="continue"/>
                  <w:shd w:val="clear" w:color="auto" w:fill="auto"/>
                  <w:noWrap w:val="0"/>
                  <w:tcMar>
                    <w:top w:w="57" w:type="dxa"/>
                    <w:bottom w:w="57" w:type="dxa"/>
                  </w:tcMar>
                  <w:vAlign w:val="center"/>
                </w:tcPr>
                <w:p w14:paraId="10BD3E7B">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p>
              </w:tc>
              <w:tc>
                <w:tcPr>
                  <w:tcW w:w="596" w:type="pct"/>
                  <w:vMerge w:val="continue"/>
                  <w:shd w:val="clear" w:color="auto" w:fill="auto"/>
                  <w:noWrap w:val="0"/>
                  <w:vAlign w:val="center"/>
                </w:tcPr>
                <w:p w14:paraId="6803EE03">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p>
              </w:tc>
            </w:tr>
            <w:tr w14:paraId="4552A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restart"/>
                  <w:noWrap w:val="0"/>
                  <w:tcMar>
                    <w:top w:w="57" w:type="dxa"/>
                    <w:bottom w:w="57" w:type="dxa"/>
                  </w:tcMar>
                  <w:vAlign w:val="center"/>
                </w:tcPr>
                <w:p w14:paraId="0C140CF5">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r>
                    <w:rPr>
                      <w:rFonts w:hint="default" w:ascii="Times New Roman" w:hAnsi="Times New Roman" w:eastAsia="宋体" w:cs="Times New Roman"/>
                      <w:color w:val="000000" w:themeColor="text1"/>
                      <w:sz w:val="21"/>
                      <w:szCs w:val="21"/>
                      <w:u w:val="none"/>
                      <w14:textFill>
                        <w14:solidFill>
                          <w14:schemeClr w14:val="tx1"/>
                        </w14:solidFill>
                      </w14:textFill>
                    </w:rPr>
                    <w:t>固废</w:t>
                  </w:r>
                </w:p>
              </w:tc>
              <w:tc>
                <w:tcPr>
                  <w:tcW w:w="1128" w:type="pct"/>
                  <w:gridSpan w:val="2"/>
                  <w:noWrap w:val="0"/>
                  <w:tcMar>
                    <w:top w:w="57" w:type="dxa"/>
                    <w:bottom w:w="57" w:type="dxa"/>
                  </w:tcMar>
                  <w:vAlign w:val="center"/>
                </w:tcPr>
                <w:p w14:paraId="7501B60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w:t>
                  </w:r>
                </w:p>
              </w:tc>
              <w:tc>
                <w:tcPr>
                  <w:tcW w:w="790" w:type="pct"/>
                  <w:noWrap w:val="0"/>
                  <w:tcMar>
                    <w:top w:w="57" w:type="dxa"/>
                    <w:bottom w:w="57" w:type="dxa"/>
                  </w:tcMar>
                  <w:vAlign w:val="center"/>
                </w:tcPr>
                <w:p w14:paraId="42BD91F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生活垃圾</w:t>
                  </w:r>
                </w:p>
              </w:tc>
              <w:tc>
                <w:tcPr>
                  <w:tcW w:w="3922" w:type="dxa"/>
                  <w:noWrap w:val="0"/>
                  <w:tcMar>
                    <w:top w:w="57" w:type="dxa"/>
                    <w:bottom w:w="57" w:type="dxa"/>
                  </w:tcMar>
                  <w:vAlign w:val="center"/>
                </w:tcPr>
                <w:p w14:paraId="61254B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分类收集后交由环卫部门运至垃圾中转站处理</w:t>
                  </w:r>
                </w:p>
              </w:tc>
              <w:tc>
                <w:tcPr>
                  <w:tcW w:w="596" w:type="pct"/>
                  <w:noWrap w:val="0"/>
                  <w:vAlign w:val="center"/>
                </w:tcPr>
                <w:p w14:paraId="5A6F7B4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07481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6ED5651">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128" w:type="pct"/>
                  <w:gridSpan w:val="2"/>
                  <w:noWrap w:val="0"/>
                  <w:tcMar>
                    <w:top w:w="57" w:type="dxa"/>
                    <w:bottom w:w="57" w:type="dxa"/>
                  </w:tcMar>
                  <w:vAlign w:val="center"/>
                </w:tcPr>
                <w:p w14:paraId="509A89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w:t>
                  </w:r>
                </w:p>
              </w:tc>
              <w:tc>
                <w:tcPr>
                  <w:tcW w:w="790" w:type="pct"/>
                  <w:noWrap w:val="0"/>
                  <w:tcMar>
                    <w:top w:w="57" w:type="dxa"/>
                    <w:bottom w:w="57" w:type="dxa"/>
                  </w:tcMar>
                  <w:vAlign w:val="center"/>
                </w:tcPr>
                <w:p w14:paraId="435B1F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污泥</w:t>
                  </w:r>
                </w:p>
              </w:tc>
              <w:tc>
                <w:tcPr>
                  <w:tcW w:w="3922" w:type="dxa"/>
                  <w:noWrap w:val="0"/>
                  <w:tcMar>
                    <w:top w:w="57" w:type="dxa"/>
                    <w:bottom w:w="57" w:type="dxa"/>
                  </w:tcMar>
                  <w:vAlign w:val="center"/>
                </w:tcPr>
                <w:p w14:paraId="58CFBF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定期清掏后交由环卫部门处理</w:t>
                  </w:r>
                </w:p>
              </w:tc>
              <w:tc>
                <w:tcPr>
                  <w:tcW w:w="596" w:type="pct"/>
                  <w:noWrap w:val="0"/>
                  <w:vAlign w:val="center"/>
                </w:tcPr>
                <w:p w14:paraId="38E4691F">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10942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7163EE1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4EAE2E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肉类清洗</w:t>
                  </w:r>
                </w:p>
              </w:tc>
              <w:tc>
                <w:tcPr>
                  <w:tcW w:w="790" w:type="pct"/>
                  <w:shd w:val="clear" w:color="auto" w:fill="auto"/>
                  <w:noWrap w:val="0"/>
                  <w:tcMar>
                    <w:top w:w="57" w:type="dxa"/>
                    <w:bottom w:w="57" w:type="dxa"/>
                  </w:tcMar>
                  <w:vAlign w:val="center"/>
                </w:tcPr>
                <w:p w14:paraId="5B917C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肉末残渣</w:t>
                  </w:r>
                </w:p>
              </w:tc>
              <w:tc>
                <w:tcPr>
                  <w:tcW w:w="3922" w:type="dxa"/>
                  <w:shd w:val="clear" w:color="auto" w:fill="auto"/>
                  <w:noWrap w:val="0"/>
                  <w:tcMar>
                    <w:top w:w="57" w:type="dxa"/>
                    <w:bottom w:w="57" w:type="dxa"/>
                  </w:tcMar>
                  <w:vAlign w:val="center"/>
                </w:tcPr>
                <w:p w14:paraId="62BA60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596" w:type="pct"/>
                  <w:shd w:val="clear" w:color="auto" w:fill="auto"/>
                  <w:noWrap w:val="0"/>
                  <w:vAlign w:val="center"/>
                </w:tcPr>
                <w:p w14:paraId="13DBDEAF">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3CFEC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33D8094">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3BBF19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蔬菜清洗</w:t>
                  </w:r>
                </w:p>
              </w:tc>
              <w:tc>
                <w:tcPr>
                  <w:tcW w:w="790" w:type="pct"/>
                  <w:shd w:val="clear" w:color="auto" w:fill="auto"/>
                  <w:noWrap w:val="0"/>
                  <w:tcMar>
                    <w:top w:w="57" w:type="dxa"/>
                    <w:bottom w:w="57" w:type="dxa"/>
                  </w:tcMar>
                  <w:vAlign w:val="center"/>
                </w:tcPr>
                <w:p w14:paraId="3B75B2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c>
                <w:tcPr>
                  <w:tcW w:w="3922" w:type="dxa"/>
                  <w:shd w:val="clear" w:color="auto" w:fill="auto"/>
                  <w:noWrap w:val="0"/>
                  <w:tcMar>
                    <w:top w:w="57" w:type="dxa"/>
                    <w:bottom w:w="57" w:type="dxa"/>
                  </w:tcMar>
                  <w:vAlign w:val="center"/>
                </w:tcPr>
                <w:p w14:paraId="41774D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596" w:type="pct"/>
                  <w:shd w:val="clear" w:color="auto" w:fill="auto"/>
                  <w:noWrap w:val="0"/>
                  <w:vAlign w:val="center"/>
                </w:tcPr>
                <w:p w14:paraId="24C6AE47">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074AB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4AED38D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105B6454">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隔油池、</w:t>
                  </w: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静电</w:t>
                  </w:r>
                  <w:r>
                    <w:rPr>
                      <w:rFonts w:hint="default" w:ascii="Times New Roman" w:hAnsi="Times New Roman" w:eastAsia="宋体" w:cs="Times New Roman"/>
                      <w:bCs/>
                      <w:color w:val="000000" w:themeColor="text1"/>
                      <w:kern w:val="0"/>
                      <w:sz w:val="21"/>
                      <w:szCs w:val="21"/>
                      <w:u w:val="none"/>
                      <w14:textFill>
                        <w14:solidFill>
                          <w14:schemeClr w14:val="tx1"/>
                        </w14:solidFill>
                      </w14:textFill>
                    </w:rPr>
                    <w:t>油烟净化器</w:t>
                  </w:r>
                </w:p>
              </w:tc>
              <w:tc>
                <w:tcPr>
                  <w:tcW w:w="790" w:type="pct"/>
                  <w:shd w:val="clear" w:color="auto" w:fill="auto"/>
                  <w:noWrap w:val="0"/>
                  <w:tcMar>
                    <w:top w:w="57" w:type="dxa"/>
                    <w:bottom w:w="57" w:type="dxa"/>
                  </w:tcMar>
                  <w:vAlign w:val="center"/>
                </w:tcPr>
                <w:p w14:paraId="27FB83F3">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废油脂</w:t>
                  </w:r>
                </w:p>
              </w:tc>
              <w:tc>
                <w:tcPr>
                  <w:tcW w:w="3922" w:type="dxa"/>
                  <w:shd w:val="clear" w:color="auto" w:fill="auto"/>
                  <w:noWrap w:val="0"/>
                  <w:tcMar>
                    <w:top w:w="57" w:type="dxa"/>
                    <w:bottom w:w="57" w:type="dxa"/>
                  </w:tcMar>
                  <w:vAlign w:val="center"/>
                </w:tcPr>
                <w:p w14:paraId="0075190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使用专用垃圾桶收集，加盖密闭交由餐厨垃圾回收单位处置</w:t>
                  </w:r>
                </w:p>
              </w:tc>
              <w:tc>
                <w:tcPr>
                  <w:tcW w:w="596" w:type="pct"/>
                  <w:shd w:val="clear" w:color="auto" w:fill="auto"/>
                  <w:noWrap w:val="0"/>
                  <w:vAlign w:val="center"/>
                </w:tcPr>
                <w:p w14:paraId="6F97CC3E">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46560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2EA566E9">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7D9A0357">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cs="Times New Roman"/>
                      <w:bCs/>
                      <w:color w:val="000000" w:themeColor="text1"/>
                      <w:kern w:val="0"/>
                      <w:sz w:val="21"/>
                      <w:szCs w:val="21"/>
                      <w:u w:val="none"/>
                      <w:lang w:val="en-US" w:eastAsia="zh-CN"/>
                      <w14:textFill>
                        <w14:solidFill>
                          <w14:schemeClr w14:val="tx1"/>
                        </w14:solidFill>
                      </w14:textFill>
                    </w:rPr>
                    <w:t>餐具及设备清洗</w:t>
                  </w:r>
                </w:p>
              </w:tc>
              <w:tc>
                <w:tcPr>
                  <w:tcW w:w="790" w:type="pct"/>
                  <w:shd w:val="clear" w:color="auto" w:fill="auto"/>
                  <w:noWrap w:val="0"/>
                  <w:tcMar>
                    <w:top w:w="57" w:type="dxa"/>
                    <w:bottom w:w="57" w:type="dxa"/>
                  </w:tcMar>
                  <w:vAlign w:val="center"/>
                </w:tcPr>
                <w:p w14:paraId="2F0EE12D">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食品残渣</w:t>
                  </w:r>
                </w:p>
              </w:tc>
              <w:tc>
                <w:tcPr>
                  <w:tcW w:w="3922" w:type="dxa"/>
                  <w:shd w:val="clear" w:color="auto" w:fill="auto"/>
                  <w:noWrap w:val="0"/>
                  <w:tcMar>
                    <w:top w:w="57" w:type="dxa"/>
                    <w:bottom w:w="57" w:type="dxa"/>
                  </w:tcMar>
                  <w:vAlign w:val="center"/>
                </w:tcPr>
                <w:p w14:paraId="491852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596" w:type="pct"/>
                  <w:shd w:val="clear" w:color="auto" w:fill="auto"/>
                  <w:noWrap w:val="0"/>
                  <w:vAlign w:val="center"/>
                </w:tcPr>
                <w:p w14:paraId="2A2A589A">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7C0F7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645F12F1">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00E7E2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原料拆包及产品包装</w:t>
                  </w:r>
                </w:p>
              </w:tc>
              <w:tc>
                <w:tcPr>
                  <w:tcW w:w="790" w:type="pct"/>
                  <w:shd w:val="clear" w:color="auto" w:fill="auto"/>
                  <w:noWrap w:val="0"/>
                  <w:tcMar>
                    <w:top w:w="57" w:type="dxa"/>
                    <w:bottom w:w="57" w:type="dxa"/>
                  </w:tcMar>
                  <w:vAlign w:val="center"/>
                </w:tcPr>
                <w:p w14:paraId="687B34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3922" w:type="dxa"/>
                  <w:shd w:val="clear" w:color="auto" w:fill="auto"/>
                  <w:noWrap w:val="0"/>
                  <w:tcMar>
                    <w:top w:w="57" w:type="dxa"/>
                    <w:bottom w:w="57" w:type="dxa"/>
                  </w:tcMar>
                  <w:vAlign w:val="center"/>
                </w:tcPr>
                <w:p w14:paraId="5B2D030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596" w:type="pct"/>
                  <w:shd w:val="clear" w:color="auto" w:fill="auto"/>
                  <w:noWrap w:val="0"/>
                  <w:vAlign w:val="center"/>
                </w:tcPr>
                <w:p w14:paraId="15545E9D">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05E67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68451F3A">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7EB787E4">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790" w:type="pct"/>
                  <w:shd w:val="clear" w:color="auto" w:fill="auto"/>
                  <w:noWrap w:val="0"/>
                  <w:tcMar>
                    <w:top w:w="57" w:type="dxa"/>
                    <w:bottom w:w="57" w:type="dxa"/>
                  </w:tcMar>
                  <w:vAlign w:val="center"/>
                </w:tcPr>
                <w:p w14:paraId="1525AE1B">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color w:val="000000" w:themeColor="text1"/>
                      <w:szCs w:val="21"/>
                      <w14:textFill>
                        <w14:solidFill>
                          <w14:schemeClr w14:val="tx1"/>
                        </w14:solidFill>
                      </w14:textFill>
                    </w:rPr>
                    <w:t>废石英砂</w:t>
                  </w:r>
                </w:p>
              </w:tc>
              <w:tc>
                <w:tcPr>
                  <w:tcW w:w="3922" w:type="dxa"/>
                  <w:shd w:val="clear" w:color="auto" w:fill="auto"/>
                  <w:noWrap w:val="0"/>
                  <w:tcMar>
                    <w:top w:w="57" w:type="dxa"/>
                    <w:bottom w:w="57" w:type="dxa"/>
                  </w:tcMar>
                  <w:vAlign w:val="center"/>
                </w:tcPr>
                <w:p w14:paraId="699722A3">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596" w:type="pct"/>
                  <w:shd w:val="clear" w:color="auto" w:fill="auto"/>
                  <w:noWrap w:val="0"/>
                  <w:vAlign w:val="center"/>
                </w:tcPr>
                <w:p w14:paraId="09A15302">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55BA6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2A5ED932">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6C44EF2E">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790" w:type="pct"/>
                  <w:shd w:val="clear" w:color="auto" w:fill="auto"/>
                  <w:noWrap w:val="0"/>
                  <w:tcMar>
                    <w:top w:w="57" w:type="dxa"/>
                    <w:bottom w:w="57" w:type="dxa"/>
                  </w:tcMar>
                  <w:vAlign w:val="center"/>
                </w:tcPr>
                <w:p w14:paraId="46886012">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color w:val="000000" w:themeColor="text1"/>
                      <w:szCs w:val="21"/>
                      <w14:textFill>
                        <w14:solidFill>
                          <w14:schemeClr w14:val="tx1"/>
                        </w14:solidFill>
                      </w14:textFill>
                    </w:rPr>
                    <w:t>废滤芯</w:t>
                  </w:r>
                </w:p>
              </w:tc>
              <w:tc>
                <w:tcPr>
                  <w:tcW w:w="3922" w:type="dxa"/>
                  <w:shd w:val="clear" w:color="auto" w:fill="auto"/>
                  <w:noWrap w:val="0"/>
                  <w:tcMar>
                    <w:top w:w="57" w:type="dxa"/>
                    <w:bottom w:w="57" w:type="dxa"/>
                  </w:tcMar>
                  <w:vAlign w:val="center"/>
                </w:tcPr>
                <w:p w14:paraId="4CC4B54D">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596" w:type="pct"/>
                  <w:shd w:val="clear" w:color="auto" w:fill="auto"/>
                  <w:noWrap w:val="0"/>
                  <w:vAlign w:val="center"/>
                </w:tcPr>
                <w:p w14:paraId="0E5AE0E7">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4EACD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4FA48977">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6F29E459">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790" w:type="pct"/>
                  <w:shd w:val="clear" w:color="auto" w:fill="auto"/>
                  <w:noWrap w:val="0"/>
                  <w:tcMar>
                    <w:top w:w="57" w:type="dxa"/>
                    <w:bottom w:w="57" w:type="dxa"/>
                  </w:tcMar>
                  <w:vAlign w:val="center"/>
                </w:tcPr>
                <w:p w14:paraId="6FEA2DE4">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color w:val="000000" w:themeColor="text1"/>
                      <w:szCs w:val="21"/>
                      <w14:textFill>
                        <w14:solidFill>
                          <w14:schemeClr w14:val="tx1"/>
                        </w14:solidFill>
                      </w14:textFill>
                    </w:rPr>
                    <w:t>废活性炭</w:t>
                  </w:r>
                </w:p>
              </w:tc>
              <w:tc>
                <w:tcPr>
                  <w:tcW w:w="3922" w:type="dxa"/>
                  <w:shd w:val="clear" w:color="auto" w:fill="auto"/>
                  <w:noWrap w:val="0"/>
                  <w:tcMar>
                    <w:top w:w="57" w:type="dxa"/>
                    <w:bottom w:w="57" w:type="dxa"/>
                  </w:tcMar>
                  <w:vAlign w:val="center"/>
                </w:tcPr>
                <w:p w14:paraId="0292EE50">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596" w:type="pct"/>
                  <w:shd w:val="clear" w:color="auto" w:fill="auto"/>
                  <w:noWrap w:val="0"/>
                  <w:vAlign w:val="center"/>
                </w:tcPr>
                <w:p w14:paraId="786DE301">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7FCFF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DEFA459">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361586F8">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790" w:type="pct"/>
                  <w:shd w:val="clear" w:color="auto" w:fill="auto"/>
                  <w:noWrap w:val="0"/>
                  <w:tcMar>
                    <w:top w:w="57" w:type="dxa"/>
                    <w:bottom w:w="57" w:type="dxa"/>
                  </w:tcMar>
                  <w:vAlign w:val="center"/>
                </w:tcPr>
                <w:p w14:paraId="51030F07">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废反渗透膜</w:t>
                  </w:r>
                </w:p>
              </w:tc>
              <w:tc>
                <w:tcPr>
                  <w:tcW w:w="3922" w:type="dxa"/>
                  <w:shd w:val="clear" w:color="auto" w:fill="auto"/>
                  <w:noWrap w:val="0"/>
                  <w:tcMar>
                    <w:top w:w="57" w:type="dxa"/>
                    <w:bottom w:w="57" w:type="dxa"/>
                  </w:tcMar>
                  <w:vAlign w:val="center"/>
                </w:tcPr>
                <w:p w14:paraId="023F61F2">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596" w:type="pct"/>
                  <w:shd w:val="clear" w:color="auto" w:fill="auto"/>
                  <w:noWrap w:val="0"/>
                  <w:vAlign w:val="center"/>
                </w:tcPr>
                <w:p w14:paraId="73A112C8">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755F7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B04FB6D">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FF0000"/>
                      <w:sz w:val="21"/>
                      <w:szCs w:val="21"/>
                      <w:u w:val="single"/>
                    </w:rPr>
                  </w:pPr>
                </w:p>
              </w:tc>
              <w:tc>
                <w:tcPr>
                  <w:tcW w:w="1128" w:type="pct"/>
                  <w:gridSpan w:val="2"/>
                  <w:shd w:val="clear" w:color="auto" w:fill="auto"/>
                  <w:noWrap w:val="0"/>
                  <w:tcMar>
                    <w:top w:w="57" w:type="dxa"/>
                    <w:bottom w:w="57" w:type="dxa"/>
                  </w:tcMar>
                  <w:vAlign w:val="center"/>
                </w:tcPr>
                <w:p w14:paraId="265CC7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790" w:type="pct"/>
                  <w:shd w:val="clear" w:color="auto" w:fill="auto"/>
                  <w:noWrap w:val="0"/>
                  <w:tcMar>
                    <w:top w:w="57" w:type="dxa"/>
                    <w:bottom w:w="57" w:type="dxa"/>
                  </w:tcMar>
                  <w:vAlign w:val="center"/>
                </w:tcPr>
                <w:p w14:paraId="31F26CA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c>
                <w:tcPr>
                  <w:tcW w:w="3922" w:type="dxa"/>
                  <w:shd w:val="clear" w:color="auto" w:fill="auto"/>
                  <w:noWrap w:val="0"/>
                  <w:tcMar>
                    <w:top w:w="57" w:type="dxa"/>
                    <w:bottom w:w="57" w:type="dxa"/>
                  </w:tcMar>
                  <w:vAlign w:val="center"/>
                </w:tcPr>
                <w:p w14:paraId="799EDE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c>
                <w:tcPr>
                  <w:tcW w:w="596" w:type="pct"/>
                  <w:shd w:val="clear" w:color="auto" w:fill="auto"/>
                  <w:noWrap w:val="0"/>
                  <w:vAlign w:val="center"/>
                </w:tcPr>
                <w:p w14:paraId="56C98A01">
                  <w:pPr>
                    <w:keepNext w:val="0"/>
                    <w:keepLines w:val="0"/>
                    <w:pageBreakBefore w:val="0"/>
                    <w:kinsoku/>
                    <w:wordWrap/>
                    <w:overflowPunct/>
                    <w:topLinePunct w:val="0"/>
                    <w:autoSpaceDE/>
                    <w:autoSpaceDN/>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0.5</w:t>
                  </w:r>
                </w:p>
              </w:tc>
            </w:tr>
            <w:tr w14:paraId="109EC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noWrap w:val="0"/>
                  <w:tcMar>
                    <w:top w:w="57" w:type="dxa"/>
                    <w:bottom w:w="57" w:type="dxa"/>
                  </w:tcMar>
                  <w:vAlign w:val="center"/>
                </w:tcPr>
                <w:p w14:paraId="7C91FAFC">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危废</w:t>
                  </w:r>
                </w:p>
              </w:tc>
              <w:tc>
                <w:tcPr>
                  <w:tcW w:w="1128" w:type="pct"/>
                  <w:gridSpan w:val="2"/>
                  <w:shd w:val="clear" w:color="auto" w:fill="auto"/>
                  <w:noWrap w:val="0"/>
                  <w:tcMar>
                    <w:top w:w="57" w:type="dxa"/>
                    <w:bottom w:w="57" w:type="dxa"/>
                  </w:tcMar>
                  <w:vAlign w:val="center"/>
                </w:tcPr>
                <w:p w14:paraId="526D95A0">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设备维护过程</w:t>
                  </w:r>
                </w:p>
              </w:tc>
              <w:tc>
                <w:tcPr>
                  <w:tcW w:w="790" w:type="pct"/>
                  <w:shd w:val="clear" w:color="auto" w:fill="auto"/>
                  <w:noWrap w:val="0"/>
                  <w:tcMar>
                    <w:top w:w="57" w:type="dxa"/>
                    <w:bottom w:w="57" w:type="dxa"/>
                  </w:tcMar>
                  <w:vAlign w:val="center"/>
                </w:tcPr>
                <w:p w14:paraId="53E50F93">
                  <w:pPr>
                    <w:keepNext w:val="0"/>
                    <w:keepLines w:val="0"/>
                    <w:pageBreakBefore w:val="0"/>
                    <w:tabs>
                      <w:tab w:val="left" w:pos="525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废润滑油、废润滑油桶</w:t>
                  </w:r>
                </w:p>
              </w:tc>
              <w:tc>
                <w:tcPr>
                  <w:tcW w:w="2116" w:type="pct"/>
                  <w:noWrap w:val="0"/>
                  <w:tcMar>
                    <w:top w:w="57" w:type="dxa"/>
                    <w:bottom w:w="57" w:type="dxa"/>
                  </w:tcMar>
                  <w:vAlign w:val="center"/>
                </w:tcPr>
                <w:p w14:paraId="6D7E2B7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分类集中收集于危废暂存间（面积</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14:textFill>
                        <w14:solidFill>
                          <w14:schemeClr w14:val="tx1"/>
                        </w14:solidFill>
                      </w14:textFill>
                    </w:rPr>
                    <w:t>0m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14:textFill>
                        <w14:solidFill>
                          <w14:schemeClr w14:val="tx1"/>
                        </w14:solidFill>
                      </w14:textFill>
                    </w:rPr>
                    <w:t>，采取“六防”措施），定期交由有危废处理资质单位进行处置</w:t>
                  </w:r>
                </w:p>
              </w:tc>
              <w:tc>
                <w:tcPr>
                  <w:tcW w:w="596" w:type="pct"/>
                  <w:noWrap w:val="0"/>
                  <w:vAlign w:val="center"/>
                </w:tcPr>
                <w:p w14:paraId="06DE7219">
                  <w:pPr>
                    <w:keepNext w:val="0"/>
                    <w:keepLines w:val="0"/>
                    <w:pageBreakBefore w:val="0"/>
                    <w:kinsoku/>
                    <w:wordWrap/>
                    <w:overflowPunct/>
                    <w:topLinePunct w:val="0"/>
                    <w:autoSpaceDE/>
                    <w:autoSpaceDN/>
                    <w:bidi w:val="0"/>
                    <w:snapToGrid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2</w:t>
                  </w:r>
                </w:p>
              </w:tc>
            </w:tr>
            <w:tr w14:paraId="6B854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noWrap w:val="0"/>
                  <w:tcMar>
                    <w:top w:w="57" w:type="dxa"/>
                    <w:bottom w:w="57" w:type="dxa"/>
                  </w:tcMar>
                  <w:vAlign w:val="center"/>
                </w:tcPr>
                <w:p w14:paraId="303447FD">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噪声</w:t>
                  </w:r>
                </w:p>
              </w:tc>
              <w:tc>
                <w:tcPr>
                  <w:tcW w:w="1128" w:type="pct"/>
                  <w:gridSpan w:val="2"/>
                  <w:noWrap w:val="0"/>
                  <w:tcMar>
                    <w:top w:w="57" w:type="dxa"/>
                    <w:bottom w:w="57" w:type="dxa"/>
                  </w:tcMar>
                  <w:vAlign w:val="center"/>
                </w:tcPr>
                <w:p w14:paraId="1E02D109">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切菜机</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w:t>
                  </w:r>
                  <w:r>
                    <w:rPr>
                      <w:rFonts w:hint="eastAsia" w:cs="Times New Roman"/>
                      <w:bCs/>
                      <w:color w:val="000000" w:themeColor="text1"/>
                      <w:sz w:val="21"/>
                      <w:szCs w:val="21"/>
                      <w:u w:val="none"/>
                      <w:lang w:val="en-US" w:eastAsia="zh-CN"/>
                      <w14:textFill>
                        <w14:solidFill>
                          <w14:schemeClr w14:val="tx1"/>
                        </w14:solidFill>
                      </w14:textFill>
                    </w:rPr>
                    <w:t>和</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面机、</w:t>
                  </w:r>
                  <w:r>
                    <w:rPr>
                      <w:rFonts w:hint="default" w:eastAsia="宋体"/>
                      <w:color w:val="000000" w:themeColor="text1"/>
                      <w:sz w:val="21"/>
                      <w:szCs w:val="21"/>
                      <w:vertAlign w:val="baseline"/>
                      <w:lang w:val="en-US" w:eastAsia="zh-CN"/>
                      <w14:textFill>
                        <w14:solidFill>
                          <w14:schemeClr w14:val="tx1"/>
                        </w14:solidFill>
                      </w14:textFill>
                    </w:rPr>
                    <w:t>鲜肉开条机</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以及风机</w:t>
                  </w:r>
                  <w:r>
                    <w:rPr>
                      <w:rFonts w:hint="default" w:ascii="Times New Roman" w:hAnsi="Times New Roman" w:eastAsia="宋体" w:cs="Times New Roman"/>
                      <w:bCs/>
                      <w:color w:val="000000" w:themeColor="text1"/>
                      <w:sz w:val="21"/>
                      <w:szCs w:val="21"/>
                      <w:u w:val="none"/>
                      <w14:textFill>
                        <w14:solidFill>
                          <w14:schemeClr w14:val="tx1"/>
                        </w14:solidFill>
                      </w14:textFill>
                    </w:rPr>
                    <w:t>等设备</w:t>
                  </w:r>
                </w:p>
              </w:tc>
              <w:tc>
                <w:tcPr>
                  <w:tcW w:w="790" w:type="pct"/>
                  <w:noWrap w:val="0"/>
                  <w:vAlign w:val="center"/>
                </w:tcPr>
                <w:p w14:paraId="67A1F6BD">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机械噪声</w:t>
                  </w:r>
                </w:p>
              </w:tc>
              <w:tc>
                <w:tcPr>
                  <w:tcW w:w="2116" w:type="pct"/>
                  <w:noWrap w:val="0"/>
                  <w:tcMar>
                    <w:top w:w="57" w:type="dxa"/>
                    <w:bottom w:w="57" w:type="dxa"/>
                  </w:tcMar>
                  <w:vAlign w:val="center"/>
                </w:tcPr>
                <w:p w14:paraId="7418CEBE">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产噪设备采取基础减振、厂房隔声等降噪措施；设备定期维护保养</w:t>
                  </w:r>
                </w:p>
              </w:tc>
              <w:tc>
                <w:tcPr>
                  <w:tcW w:w="596" w:type="pct"/>
                  <w:noWrap w:val="0"/>
                  <w:vAlign w:val="center"/>
                </w:tcPr>
                <w:p w14:paraId="408F5162">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r>
                    <w:rPr>
                      <w:rFonts w:hint="default" w:ascii="Times New Roman" w:hAnsi="Times New Roman" w:eastAsia="宋体" w:cs="Times New Roman"/>
                      <w:color w:val="000000" w:themeColor="text1"/>
                      <w:kern w:val="0"/>
                      <w:sz w:val="21"/>
                      <w:szCs w:val="21"/>
                      <w:u w:val="none"/>
                      <w14:textFill>
                        <w14:solidFill>
                          <w14:schemeClr w14:val="tx1"/>
                        </w14:solidFill>
                      </w14:textFill>
                    </w:rPr>
                    <w:t>2</w:t>
                  </w:r>
                </w:p>
              </w:tc>
            </w:tr>
            <w:tr w14:paraId="31122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restart"/>
                  <w:noWrap w:val="0"/>
                  <w:tcMar>
                    <w:top w:w="57" w:type="dxa"/>
                    <w:bottom w:w="57" w:type="dxa"/>
                  </w:tcMar>
                  <w:vAlign w:val="center"/>
                </w:tcPr>
                <w:p w14:paraId="66C89A4C">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其他</w:t>
                  </w:r>
                </w:p>
              </w:tc>
              <w:tc>
                <w:tcPr>
                  <w:tcW w:w="1918" w:type="pct"/>
                  <w:gridSpan w:val="3"/>
                  <w:vMerge w:val="restart"/>
                  <w:noWrap w:val="0"/>
                  <w:tcMar>
                    <w:top w:w="57" w:type="dxa"/>
                    <w:bottom w:w="57" w:type="dxa"/>
                  </w:tcMar>
                  <w:vAlign w:val="center"/>
                </w:tcPr>
                <w:p w14:paraId="2D1A4D4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风险防范措施</w:t>
                  </w:r>
                </w:p>
              </w:tc>
              <w:tc>
                <w:tcPr>
                  <w:tcW w:w="2116" w:type="pct"/>
                  <w:noWrap w:val="0"/>
                  <w:tcMar>
                    <w:top w:w="57" w:type="dxa"/>
                    <w:bottom w:w="57" w:type="dxa"/>
                  </w:tcMar>
                  <w:vAlign w:val="center"/>
                </w:tcPr>
                <w:p w14:paraId="3CFB4A4A">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14:textFill>
                        <w14:solidFill>
                          <w14:schemeClr w14:val="tx1"/>
                        </w14:solidFill>
                      </w14:textFill>
                    </w:rPr>
                    <w:t>润滑油储存区四周设置围堰（容积2m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p>
              </w:tc>
              <w:tc>
                <w:tcPr>
                  <w:tcW w:w="596" w:type="pct"/>
                  <w:noWrap w:val="0"/>
                  <w:vAlign w:val="center"/>
                </w:tcPr>
                <w:p w14:paraId="15C1A93A">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1</w:t>
                  </w:r>
                </w:p>
              </w:tc>
            </w:tr>
            <w:tr w14:paraId="23A2F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1A160C3">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918" w:type="pct"/>
                  <w:gridSpan w:val="3"/>
                  <w:vMerge w:val="continue"/>
                  <w:noWrap w:val="0"/>
                  <w:tcMar>
                    <w:top w:w="57" w:type="dxa"/>
                    <w:bottom w:w="57" w:type="dxa"/>
                  </w:tcMar>
                  <w:vAlign w:val="center"/>
                </w:tcPr>
                <w:p w14:paraId="423A911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116" w:type="pct"/>
                  <w:noWrap w:val="0"/>
                  <w:tcMar>
                    <w:top w:w="57" w:type="dxa"/>
                    <w:bottom w:w="57" w:type="dxa"/>
                  </w:tcMar>
                  <w:vAlign w:val="center"/>
                </w:tcPr>
                <w:p w14:paraId="48AFE95C">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sz w:val="21"/>
                      <w:szCs w:val="21"/>
                      <w:u w:val="none"/>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危废暂存间设置危废事故池</w:t>
                  </w:r>
                  <w:r>
                    <w:rPr>
                      <w:rFonts w:hint="eastAsia"/>
                      <w:color w:val="000000" w:themeColor="text1"/>
                      <w:sz w:val="21"/>
                      <w:szCs w:val="21"/>
                      <w:u w:val="none"/>
                      <w14:textFill>
                        <w14:solidFill>
                          <w14:schemeClr w14:val="tx1"/>
                        </w14:solidFill>
                      </w14:textFill>
                    </w:rPr>
                    <w:t>（容积</w:t>
                  </w:r>
                  <w:r>
                    <w:rPr>
                      <w:rFonts w:hint="eastAsia"/>
                      <w:color w:val="000000" w:themeColor="text1"/>
                      <w:sz w:val="21"/>
                      <w:szCs w:val="21"/>
                      <w:u w:val="none"/>
                      <w:lang w:val="en-US" w:eastAsia="zh-CN"/>
                      <w14:textFill>
                        <w14:solidFill>
                          <w14:schemeClr w14:val="tx1"/>
                        </w14:solidFill>
                      </w14:textFill>
                    </w:rPr>
                    <w:t>1.0</w:t>
                  </w:r>
                  <w:r>
                    <w:rPr>
                      <w:rFonts w:hint="eastAsia"/>
                      <w:color w:val="000000" w:themeColor="text1"/>
                      <w:sz w:val="21"/>
                      <w:szCs w:val="21"/>
                      <w:u w:val="none"/>
                      <w14:textFill>
                        <w14:solidFill>
                          <w14:schemeClr w14:val="tx1"/>
                        </w14:solidFill>
                      </w14:textFill>
                    </w:rPr>
                    <w:t>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p>
              </w:tc>
              <w:tc>
                <w:tcPr>
                  <w:tcW w:w="596" w:type="pct"/>
                  <w:noWrap w:val="0"/>
                  <w:vAlign w:val="center"/>
                </w:tcPr>
                <w:p w14:paraId="1FD999C7">
                  <w:pPr>
                    <w:keepNext w:val="0"/>
                    <w:keepLines w:val="0"/>
                    <w:pageBreakBefore w:val="0"/>
                    <w:kinsoku/>
                    <w:wordWrap/>
                    <w:overflowPunct/>
                    <w:topLinePunct w:val="0"/>
                    <w:autoSpaceDE/>
                    <w:autoSpaceDN/>
                    <w:bidi w:val="0"/>
                    <w:spacing w:line="240" w:lineRule="auto"/>
                    <w:jc w:val="center"/>
                    <w:textAlignment w:val="auto"/>
                    <w:rPr>
                      <w:rFonts w:hint="default"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0.5</w:t>
                  </w:r>
                </w:p>
              </w:tc>
            </w:tr>
            <w:tr w14:paraId="05598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341EB714">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918" w:type="pct"/>
                  <w:gridSpan w:val="3"/>
                  <w:vMerge w:val="continue"/>
                  <w:noWrap w:val="0"/>
                  <w:tcMar>
                    <w:top w:w="57" w:type="dxa"/>
                    <w:bottom w:w="57" w:type="dxa"/>
                  </w:tcMar>
                  <w:vAlign w:val="center"/>
                </w:tcPr>
                <w:p w14:paraId="6126DB3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116" w:type="pct"/>
                  <w:noWrap w:val="0"/>
                  <w:tcMar>
                    <w:top w:w="57" w:type="dxa"/>
                    <w:bottom w:w="57" w:type="dxa"/>
                  </w:tcMar>
                  <w:vAlign w:val="center"/>
                </w:tcPr>
                <w:p w14:paraId="7C70C760">
                  <w:pPr>
                    <w:keepNext w:val="0"/>
                    <w:keepLines w:val="0"/>
                    <w:pageBreakBefore w:val="0"/>
                    <w:kinsoku/>
                    <w:wordWrap/>
                    <w:overflowPunct/>
                    <w:topLinePunct w:val="0"/>
                    <w:autoSpaceDE/>
                    <w:autoSpaceDN/>
                    <w:bidi w:val="0"/>
                    <w:spacing w:line="240" w:lineRule="auto"/>
                    <w:jc w:val="center"/>
                    <w:textAlignment w:val="auto"/>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设置天然气泄漏报警和紧急切断装置，发生泄漏可快速检测并切断阀门；做好生产装置、各种检测、报警装置等的定期检查和保养维修；对天然气使用单元及设备定期检查；配备有应急器材和个人防护用品</w:t>
                  </w:r>
                </w:p>
              </w:tc>
              <w:tc>
                <w:tcPr>
                  <w:tcW w:w="596" w:type="pct"/>
                  <w:noWrap w:val="0"/>
                  <w:vAlign w:val="center"/>
                </w:tcPr>
                <w:p w14:paraId="4B803675">
                  <w:pPr>
                    <w:keepNext w:val="0"/>
                    <w:keepLines w:val="0"/>
                    <w:pageBreakBefore w:val="0"/>
                    <w:kinsoku/>
                    <w:wordWrap/>
                    <w:overflowPunct/>
                    <w:topLinePunct w:val="0"/>
                    <w:autoSpaceDE/>
                    <w:autoSpaceDN/>
                    <w:bidi w:val="0"/>
                    <w:spacing w:line="240" w:lineRule="auto"/>
                    <w:jc w:val="center"/>
                    <w:textAlignment w:val="auto"/>
                    <w:rPr>
                      <w:rFonts w:hint="default"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2</w:t>
                  </w:r>
                </w:p>
              </w:tc>
            </w:tr>
            <w:tr w14:paraId="40D27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965724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918" w:type="pct"/>
                  <w:gridSpan w:val="3"/>
                  <w:vMerge w:val="continue"/>
                  <w:noWrap w:val="0"/>
                  <w:tcMar>
                    <w:top w:w="57" w:type="dxa"/>
                    <w:bottom w:w="57" w:type="dxa"/>
                  </w:tcMar>
                  <w:vAlign w:val="center"/>
                </w:tcPr>
                <w:p w14:paraId="37B2C51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116" w:type="pct"/>
                  <w:shd w:val="clear" w:color="auto" w:fill="auto"/>
                  <w:noWrap w:val="0"/>
                  <w:tcMar>
                    <w:top w:w="57" w:type="dxa"/>
                    <w:bottom w:w="57" w:type="dxa"/>
                  </w:tcMar>
                  <w:vAlign w:val="center"/>
                </w:tcPr>
                <w:p w14:paraId="5E4E91FB">
                  <w:pPr>
                    <w:keepNext w:val="0"/>
                    <w:keepLines w:val="0"/>
                    <w:pageBreakBefore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车间设置禁火标识，在仓库以及危废暂存间配备消防沙、灭火器等消防器材</w:t>
                  </w:r>
                  <w:r>
                    <w:rPr>
                      <w:rFonts w:hint="eastAsia" w:ascii="Times New Roman" w:hAnsi="Times New Roman" w:eastAsia="宋体" w:cs="Times New Roman"/>
                      <w:color w:val="000000" w:themeColor="text1"/>
                      <w:sz w:val="21"/>
                      <w:szCs w:val="21"/>
                      <w:u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14:textFill>
                        <w14:solidFill>
                          <w14:schemeClr w14:val="tx1"/>
                        </w14:solidFill>
                      </w14:textFill>
                    </w:rPr>
                    <w:t>制定针对车间、仓库火灾的现场应急处置方案，加强员工生产安全培训及事故应急处理培训</w:t>
                  </w:r>
                </w:p>
              </w:tc>
              <w:tc>
                <w:tcPr>
                  <w:tcW w:w="596" w:type="pct"/>
                  <w:shd w:val="clear" w:color="auto" w:fill="auto"/>
                  <w:noWrap w:val="0"/>
                  <w:vAlign w:val="center"/>
                </w:tcPr>
                <w:p w14:paraId="594CD7F0">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5</w:t>
                  </w:r>
                </w:p>
              </w:tc>
            </w:tr>
            <w:tr w14:paraId="673F1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0F2C4A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918" w:type="pct"/>
                  <w:gridSpan w:val="3"/>
                  <w:vMerge w:val="continue"/>
                  <w:noWrap w:val="0"/>
                  <w:tcMar>
                    <w:top w:w="57" w:type="dxa"/>
                    <w:bottom w:w="57" w:type="dxa"/>
                  </w:tcMar>
                  <w:vAlign w:val="center"/>
                </w:tcPr>
                <w:p w14:paraId="7D2CCD75">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116" w:type="pct"/>
                  <w:noWrap w:val="0"/>
                  <w:tcMar>
                    <w:top w:w="57" w:type="dxa"/>
                    <w:bottom w:w="57" w:type="dxa"/>
                  </w:tcMar>
                  <w:vAlign w:val="center"/>
                </w:tcPr>
                <w:p w14:paraId="3A16B9B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设置</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14:textFill>
                        <w14:solidFill>
                          <w14:schemeClr w14:val="tx1"/>
                        </w14:solidFill>
                      </w14:textFill>
                    </w:rPr>
                    <w:t>座</w:t>
                  </w:r>
                  <w:r>
                    <w:rPr>
                      <w:rFonts w:hint="eastAsia" w:cs="Times New Roman"/>
                      <w:color w:val="000000" w:themeColor="text1"/>
                      <w:sz w:val="21"/>
                      <w:szCs w:val="21"/>
                      <w:u w:val="none"/>
                      <w:lang w:val="en-US" w:eastAsia="zh-CN"/>
                      <w14:textFill>
                        <w14:solidFill>
                          <w14:schemeClr w14:val="tx1"/>
                        </w14:solidFill>
                      </w14:textFill>
                    </w:rPr>
                    <w:t>50</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u w:val="none"/>
                      <w14:textFill>
                        <w14:solidFill>
                          <w14:schemeClr w14:val="tx1"/>
                        </w14:solidFill>
                      </w14:textFill>
                    </w:rPr>
                    <w:t>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u w:val="none"/>
                      <w14:textFill>
                        <w14:solidFill>
                          <w14:schemeClr w14:val="tx1"/>
                        </w14:solidFill>
                      </w14:textFill>
                    </w:rPr>
                    <w:t>的事故应急池，并配收集管道</w:t>
                  </w:r>
                </w:p>
              </w:tc>
              <w:tc>
                <w:tcPr>
                  <w:tcW w:w="596" w:type="pct"/>
                  <w:noWrap w:val="0"/>
                  <w:vAlign w:val="center"/>
                </w:tcPr>
                <w:p w14:paraId="5245DA71">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20</w:t>
                  </w:r>
                </w:p>
              </w:tc>
            </w:tr>
            <w:tr w14:paraId="6E2B8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8" w:type="pct"/>
                  <w:vMerge w:val="continue"/>
                  <w:noWrap w:val="0"/>
                  <w:tcMar>
                    <w:top w:w="57" w:type="dxa"/>
                    <w:bottom w:w="57" w:type="dxa"/>
                  </w:tcMar>
                  <w:vAlign w:val="center"/>
                </w:tcPr>
                <w:p w14:paraId="1AD723C3">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918" w:type="pct"/>
                  <w:gridSpan w:val="3"/>
                  <w:noWrap w:val="0"/>
                  <w:tcMar>
                    <w:top w:w="57" w:type="dxa"/>
                    <w:bottom w:w="57" w:type="dxa"/>
                  </w:tcMar>
                  <w:vAlign w:val="center"/>
                </w:tcPr>
                <w:p w14:paraId="558C493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地下水、土壤防渗措施</w:t>
                  </w:r>
                </w:p>
              </w:tc>
              <w:tc>
                <w:tcPr>
                  <w:tcW w:w="2116" w:type="pct"/>
                  <w:noWrap w:val="0"/>
                  <w:tcMar>
                    <w:top w:w="57" w:type="dxa"/>
                    <w:bottom w:w="57" w:type="dxa"/>
                  </w:tcMar>
                  <w:vAlign w:val="center"/>
                </w:tcPr>
                <w:p w14:paraId="4F7DDBAF">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根据本次评价防渗分区要求进行分区防渗</w:t>
                  </w:r>
                </w:p>
              </w:tc>
              <w:tc>
                <w:tcPr>
                  <w:tcW w:w="596" w:type="pct"/>
                  <w:noWrap w:val="0"/>
                  <w:vAlign w:val="center"/>
                </w:tcPr>
                <w:p w14:paraId="69D71E2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14:textFill>
                        <w14:solidFill>
                          <w14:schemeClr w14:val="tx1"/>
                        </w14:solidFill>
                      </w14:textFill>
                    </w:rPr>
                    <w:t>0</w:t>
                  </w:r>
                </w:p>
              </w:tc>
            </w:tr>
            <w:tr w14:paraId="7D5BD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3" w:type="pct"/>
                  <w:gridSpan w:val="5"/>
                  <w:noWrap w:val="0"/>
                  <w:tcMar>
                    <w:top w:w="57" w:type="dxa"/>
                    <w:bottom w:w="57" w:type="dxa"/>
                  </w:tcMar>
                  <w:vAlign w:val="center"/>
                </w:tcPr>
                <w:p w14:paraId="05CBD3E1">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合计</w:t>
                  </w:r>
                </w:p>
              </w:tc>
              <w:tc>
                <w:tcPr>
                  <w:tcW w:w="596" w:type="pct"/>
                  <w:noWrap w:val="0"/>
                  <w:vAlign w:val="center"/>
                </w:tcPr>
                <w:p w14:paraId="1305B65B">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lang w:val="en-US" w:eastAsia="zh-CN"/>
                      <w14:textFill>
                        <w14:solidFill>
                          <w14:schemeClr w14:val="tx1"/>
                        </w14:solidFill>
                      </w14:textFill>
                    </w:rPr>
                  </w:pPr>
                  <w:r>
                    <w:rPr>
                      <w:rFonts w:hint="eastAsia" w:cs="Times New Roman"/>
                      <w:color w:val="000000" w:themeColor="text1"/>
                      <w:kern w:val="0"/>
                      <w:sz w:val="21"/>
                      <w:szCs w:val="21"/>
                      <w:u w:val="none"/>
                      <w:lang w:val="en-US" w:eastAsia="zh-CN"/>
                      <w14:textFill>
                        <w14:solidFill>
                          <w14:schemeClr w14:val="tx1"/>
                        </w14:solidFill>
                      </w14:textFill>
                    </w:rPr>
                    <w:t>125.5</w:t>
                  </w:r>
                </w:p>
              </w:tc>
            </w:tr>
          </w:tbl>
          <w:p w14:paraId="25AFFB35">
            <w:pPr>
              <w:jc w:val="both"/>
              <w:rPr>
                <w:vertAlign w:val="baseline"/>
              </w:rPr>
            </w:pPr>
          </w:p>
        </w:tc>
      </w:tr>
    </w:tbl>
    <w:p w14:paraId="6A927F63">
      <w:pPr>
        <w:ind w:left="0" w:leftChars="0" w:firstLine="0" w:firstLineChars="0"/>
        <w:sectPr>
          <w:pgSz w:w="11906" w:h="16838"/>
          <w:pgMar w:top="1440" w:right="1083" w:bottom="1440" w:left="1083" w:header="851" w:footer="992" w:gutter="0"/>
          <w:pgNumType w:fmt="decimal"/>
          <w:cols w:space="0" w:num="1"/>
          <w:rtlGutter w:val="0"/>
          <w:docGrid w:type="lines" w:linePitch="312" w:charSpace="0"/>
        </w:sectPr>
      </w:pPr>
    </w:p>
    <w:p w14:paraId="1E397C0C">
      <w:pPr>
        <w:pStyle w:val="3"/>
        <w:bidi w:val="0"/>
        <w:jc w:val="center"/>
      </w:pPr>
      <w:r>
        <w:t>五、</w:t>
      </w:r>
      <w:bookmarkStart w:id="19" w:name="_Hlk54167917"/>
      <w:r>
        <w:t>环境保护措施监督检查清单</w:t>
      </w:r>
      <w:bookmarkEnd w:id="19"/>
    </w:p>
    <w:tbl>
      <w:tblPr>
        <w:tblStyle w:val="20"/>
        <w:tblW w:w="498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87"/>
        <w:gridCol w:w="456"/>
        <w:gridCol w:w="1176"/>
        <w:gridCol w:w="1180"/>
        <w:gridCol w:w="2737"/>
        <w:gridCol w:w="3080"/>
      </w:tblGrid>
      <w:tr w14:paraId="609100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tcBorders>
              <w:bottom w:val="single" w:color="auto" w:sz="4" w:space="0"/>
              <w:tl2br w:val="single" w:color="auto" w:sz="4" w:space="0"/>
            </w:tcBorders>
            <w:noWrap w:val="0"/>
            <w:vAlign w:val="top"/>
          </w:tcPr>
          <w:p w14:paraId="0570BA64">
            <w:pPr>
              <w:keepNext w:val="0"/>
              <w:keepLines w:val="0"/>
              <w:pageBreakBefore w:val="0"/>
              <w:kinsoku/>
              <w:wordWrap/>
              <w:overflowPunct/>
              <w:topLinePunct w:val="0"/>
              <w:bidi w:val="0"/>
              <w:spacing w:line="240" w:lineRule="auto"/>
              <w:jc w:val="right"/>
              <w:textAlignment w:val="auto"/>
              <w:outlineLvl w:val="0"/>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内容</w:t>
            </w:r>
          </w:p>
          <w:p w14:paraId="60687182">
            <w:pPr>
              <w:keepNext w:val="0"/>
              <w:keepLines w:val="0"/>
              <w:pageBreakBefore w:val="0"/>
              <w:kinsoku/>
              <w:wordWrap/>
              <w:overflowPunct/>
              <w:topLinePunct w:val="0"/>
              <w:bidi w:val="0"/>
              <w:spacing w:line="240" w:lineRule="auto"/>
              <w:jc w:val="left"/>
              <w:textAlignment w:val="auto"/>
              <w:outlineLvl w:val="0"/>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要素</w:t>
            </w:r>
          </w:p>
        </w:tc>
        <w:tc>
          <w:tcPr>
            <w:tcW w:w="823" w:type="pct"/>
            <w:gridSpan w:val="2"/>
            <w:noWrap w:val="0"/>
            <w:vAlign w:val="center"/>
          </w:tcPr>
          <w:p w14:paraId="39BEA5CA">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排放口(编号、名称)/污染源</w:t>
            </w:r>
          </w:p>
        </w:tc>
        <w:tc>
          <w:tcPr>
            <w:tcW w:w="595" w:type="pct"/>
            <w:noWrap w:val="0"/>
            <w:vAlign w:val="center"/>
          </w:tcPr>
          <w:p w14:paraId="30EB8DD9">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污染物</w:t>
            </w:r>
          </w:p>
          <w:p w14:paraId="0A55D5BA">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项目</w:t>
            </w:r>
          </w:p>
        </w:tc>
        <w:tc>
          <w:tcPr>
            <w:tcW w:w="1380" w:type="pct"/>
            <w:noWrap w:val="0"/>
            <w:vAlign w:val="center"/>
          </w:tcPr>
          <w:p w14:paraId="3C65F7E5">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环境保护措施</w:t>
            </w:r>
          </w:p>
        </w:tc>
        <w:tc>
          <w:tcPr>
            <w:tcW w:w="1551" w:type="pct"/>
            <w:noWrap w:val="0"/>
            <w:vAlign w:val="center"/>
          </w:tcPr>
          <w:p w14:paraId="5586EC7F">
            <w:pPr>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执行标准</w:t>
            </w:r>
          </w:p>
        </w:tc>
      </w:tr>
      <w:tr w14:paraId="7D1741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10" w:hRule="atLeast"/>
          <w:jc w:val="center"/>
        </w:trPr>
        <w:tc>
          <w:tcPr>
            <w:tcW w:w="649" w:type="pct"/>
            <w:vMerge w:val="restart"/>
            <w:shd w:val="clear" w:color="auto" w:fill="auto"/>
            <w:noWrap w:val="0"/>
            <w:vAlign w:val="center"/>
          </w:tcPr>
          <w:p w14:paraId="40DE37BB">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大气环境</w:t>
            </w:r>
          </w:p>
        </w:tc>
        <w:tc>
          <w:tcPr>
            <w:tcW w:w="230" w:type="pct"/>
            <w:vMerge w:val="restart"/>
            <w:shd w:val="clear" w:color="auto" w:fill="auto"/>
            <w:noWrap w:val="0"/>
            <w:vAlign w:val="center"/>
          </w:tcPr>
          <w:p w14:paraId="1EE421CE">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有组织</w:t>
            </w:r>
          </w:p>
        </w:tc>
        <w:tc>
          <w:tcPr>
            <w:tcW w:w="592" w:type="pct"/>
            <w:shd w:val="clear" w:color="auto" w:fill="auto"/>
            <w:noWrap w:val="0"/>
            <w:vAlign w:val="center"/>
          </w:tcPr>
          <w:p w14:paraId="3E0931DA">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color w:val="000000" w:themeColor="text1"/>
                <w:sz w:val="21"/>
                <w:szCs w:val="21"/>
                <w:u w:val="none"/>
                <w:lang w:val="en-US" w:eastAsia="zh-CN"/>
                <w14:textFill>
                  <w14:solidFill>
                    <w14:schemeClr w14:val="tx1"/>
                  </w14:solidFill>
                </w14:textFill>
              </w:rPr>
              <w:t>熟化废气</w:t>
            </w:r>
          </w:p>
        </w:tc>
        <w:tc>
          <w:tcPr>
            <w:tcW w:w="595" w:type="pct"/>
            <w:shd w:val="clear" w:color="auto" w:fill="auto"/>
            <w:noWrap w:val="0"/>
            <w:vAlign w:val="center"/>
          </w:tcPr>
          <w:p w14:paraId="35D7C5CB">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油烟、非甲烷总烃</w:t>
            </w:r>
          </w:p>
        </w:tc>
        <w:tc>
          <w:tcPr>
            <w:tcW w:w="1380" w:type="pct"/>
            <w:shd w:val="clear" w:color="auto" w:fill="auto"/>
            <w:noWrap w:val="0"/>
            <w:vAlign w:val="center"/>
          </w:tcPr>
          <w:p w14:paraId="498B42B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经集气罩</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收集后</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通过静电油烟净化器</w:t>
            </w:r>
            <w:r>
              <w:rPr>
                <w:rFonts w:hint="eastAsia" w:cs="Times New Roman"/>
                <w:color w:val="000000" w:themeColor="text1"/>
                <w:sz w:val="21"/>
                <w:szCs w:val="21"/>
                <w:u w:val="none"/>
                <w:lang w:val="en-US" w:eastAsia="zh-CN"/>
                <w14:textFill>
                  <w14:solidFill>
                    <w14:schemeClr w14:val="tx1"/>
                  </w14:solidFill>
                </w14:textFill>
              </w:rPr>
              <w:t>（TA001-TA004）</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处理后经1根15m排气筒（DA001</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-DA003</w:t>
            </w: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）排放</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（其中TA001、TA002静电油烟净化器共用1根15m排气筒（DA001）排放；TA003、TA004静电油烟净化器分别通过1根15m排气筒（DA002-DA003）排放）</w:t>
            </w:r>
          </w:p>
        </w:tc>
        <w:tc>
          <w:tcPr>
            <w:tcW w:w="1551" w:type="pct"/>
            <w:noWrap w:val="0"/>
            <w:vAlign w:val="center"/>
          </w:tcPr>
          <w:p w14:paraId="163186C1">
            <w:pPr>
              <w:keepNext w:val="0"/>
              <w:keepLines w:val="0"/>
              <w:pageBreakBefore w:val="0"/>
              <w:widowControl w:val="0"/>
              <w:kinsoku/>
              <w:wordWrap/>
              <w:overflowPunct/>
              <w:topLinePunct w:val="0"/>
              <w:autoSpaceDE/>
              <w:autoSpaceDN/>
              <w:bidi w:val="0"/>
              <w:jc w:val="center"/>
              <w:textAlignment w:val="auto"/>
              <w:outlineLvl w:val="9"/>
              <w:rPr>
                <w:rFonts w:hint="default"/>
                <w:sz w:val="21"/>
                <w:szCs w:val="21"/>
              </w:rPr>
            </w:pPr>
            <w:r>
              <w:rPr>
                <w:rFonts w:hint="eastAsia"/>
                <w:color w:val="000000" w:themeColor="text1"/>
                <w:sz w:val="21"/>
                <w:szCs w:val="21"/>
                <w14:textFill>
                  <w14:solidFill>
                    <w14:schemeClr w14:val="tx1"/>
                  </w14:solidFill>
                </w14:textFill>
              </w:rPr>
              <w:t>《餐饮业油烟污染物排放标准》（DB41/1604-2018）</w:t>
            </w:r>
          </w:p>
        </w:tc>
      </w:tr>
      <w:tr w14:paraId="6FABDD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noWrap w:val="0"/>
            <w:vAlign w:val="center"/>
          </w:tcPr>
          <w:p w14:paraId="6B600C86">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0" w:type="pct"/>
            <w:vMerge w:val="continue"/>
            <w:noWrap w:val="0"/>
            <w:vAlign w:val="center"/>
          </w:tcPr>
          <w:p w14:paraId="4E331986">
            <w:pPr>
              <w:keepNext w:val="0"/>
              <w:keepLines w:val="0"/>
              <w:pageBreakBefore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p>
        </w:tc>
        <w:tc>
          <w:tcPr>
            <w:tcW w:w="592" w:type="pct"/>
            <w:vMerge w:val="restart"/>
            <w:shd w:val="clear" w:color="auto" w:fill="auto"/>
            <w:noWrap w:val="0"/>
            <w:vAlign w:val="center"/>
          </w:tcPr>
          <w:p w14:paraId="17E79DB6">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蒸汽发生器废气</w:t>
            </w:r>
          </w:p>
        </w:tc>
        <w:tc>
          <w:tcPr>
            <w:tcW w:w="595" w:type="pct"/>
            <w:vMerge w:val="restart"/>
            <w:shd w:val="clear" w:color="auto" w:fill="auto"/>
            <w:noWrap w:val="0"/>
            <w:vAlign w:val="center"/>
          </w:tcPr>
          <w:p w14:paraId="60C9E9B8">
            <w:pPr>
              <w:keepNext w:val="0"/>
              <w:keepLines w:val="0"/>
              <w:pageBreakBefore w:val="0"/>
              <w:kinsoku/>
              <w:wordWrap/>
              <w:overflowPunct/>
              <w:topLinePunct w:val="0"/>
              <w:autoSpaceDE/>
              <w:autoSpaceDN/>
              <w:bidi w:val="0"/>
              <w:spacing w:line="240" w:lineRule="auto"/>
              <w:jc w:val="center"/>
              <w:textAlignment w:val="auto"/>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Cs w:val="21"/>
                <w:u w:val="none"/>
                <w14:textFill>
                  <w14:solidFill>
                    <w14:schemeClr w14:val="tx1"/>
                  </w14:solidFill>
                </w14:textFill>
              </w:rPr>
              <w:t>颗粒物、SO</w:t>
            </w:r>
            <w:r>
              <w:rPr>
                <w:rFonts w:hint="eastAsia"/>
                <w:color w:val="000000" w:themeColor="text1"/>
                <w:szCs w:val="21"/>
                <w:u w:val="none"/>
                <w:vertAlign w:val="subscript"/>
                <w14:textFill>
                  <w14:solidFill>
                    <w14:schemeClr w14:val="tx1"/>
                  </w14:solidFill>
                </w14:textFill>
              </w:rPr>
              <w:t>2</w:t>
            </w:r>
            <w:r>
              <w:rPr>
                <w:rFonts w:hint="eastAsia"/>
                <w:color w:val="000000" w:themeColor="text1"/>
                <w:szCs w:val="21"/>
                <w:u w:val="none"/>
                <w14:textFill>
                  <w14:solidFill>
                    <w14:schemeClr w14:val="tx1"/>
                  </w14:solidFill>
                </w14:textFill>
              </w:rPr>
              <w:t>、NOx</w:t>
            </w:r>
          </w:p>
        </w:tc>
        <w:tc>
          <w:tcPr>
            <w:tcW w:w="1380" w:type="pct"/>
            <w:vMerge w:val="restart"/>
            <w:shd w:val="clear" w:color="auto" w:fill="auto"/>
            <w:noWrap w:val="0"/>
            <w:vAlign w:val="center"/>
          </w:tcPr>
          <w:p w14:paraId="45CE4CBE">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t>分别经1套低氮燃烧+烟气循环系统（TA005-TA019）处理后通过1根15m高排气筒（DA004）排放</w:t>
            </w:r>
          </w:p>
        </w:tc>
        <w:tc>
          <w:tcPr>
            <w:tcW w:w="1551" w:type="pct"/>
            <w:noWrap w:val="0"/>
            <w:vAlign w:val="center"/>
          </w:tcPr>
          <w:p w14:paraId="7E655201">
            <w:pPr>
              <w:jc w:val="center"/>
              <w:rPr>
                <w:rFonts w:hint="default"/>
                <w:color w:val="000000"/>
                <w:sz w:val="21"/>
                <w:szCs w:val="21"/>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4692FE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noWrap w:val="0"/>
            <w:vAlign w:val="center"/>
          </w:tcPr>
          <w:p w14:paraId="063F962C">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230" w:type="pct"/>
            <w:vMerge w:val="continue"/>
            <w:noWrap w:val="0"/>
            <w:vAlign w:val="center"/>
          </w:tcPr>
          <w:p w14:paraId="124C20E0">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592" w:type="pct"/>
            <w:vMerge w:val="continue"/>
            <w:shd w:val="clear" w:color="auto" w:fill="auto"/>
            <w:noWrap w:val="0"/>
            <w:vAlign w:val="center"/>
          </w:tcPr>
          <w:p w14:paraId="23B90586">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595" w:type="pct"/>
            <w:vMerge w:val="continue"/>
            <w:shd w:val="clear" w:color="auto" w:fill="auto"/>
            <w:noWrap w:val="0"/>
            <w:vAlign w:val="center"/>
          </w:tcPr>
          <w:p w14:paraId="5AEC66D6">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1380" w:type="pct"/>
            <w:vMerge w:val="continue"/>
            <w:shd w:val="clear" w:color="auto" w:fill="auto"/>
            <w:noWrap w:val="0"/>
            <w:vAlign w:val="center"/>
          </w:tcPr>
          <w:p w14:paraId="62A6CBCF">
            <w:pPr>
              <w:keepNext w:val="0"/>
              <w:keepLines w:val="0"/>
              <w:pageBreakBefore w:val="0"/>
              <w:tabs>
                <w:tab w:val="left" w:pos="5250"/>
              </w:tabs>
              <w:kinsoku/>
              <w:wordWrap/>
              <w:overflowPunct/>
              <w:topLinePunct w:val="0"/>
              <w:bidi w:val="0"/>
              <w:adjustRightInd w:val="0"/>
              <w:snapToGrid w:val="0"/>
              <w:spacing w:line="240" w:lineRule="auto"/>
              <w:jc w:val="center"/>
              <w:textAlignment w:val="auto"/>
            </w:pPr>
          </w:p>
        </w:tc>
        <w:tc>
          <w:tcPr>
            <w:tcW w:w="1551" w:type="pct"/>
            <w:noWrap w:val="0"/>
            <w:vAlign w:val="center"/>
          </w:tcPr>
          <w:p w14:paraId="11C6A158">
            <w:pPr>
              <w:adjustRightInd w:val="0"/>
              <w:snapToGrid w:val="0"/>
              <w:jc w:val="center"/>
              <w:rPr>
                <w:rFonts w:hint="eastAsia"/>
                <w:color w:val="000000"/>
                <w:sz w:val="21"/>
                <w:szCs w:val="21"/>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5A52EA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noWrap w:val="0"/>
            <w:vAlign w:val="center"/>
          </w:tcPr>
          <w:p w14:paraId="7BA01D1B">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0" w:type="pct"/>
            <w:vMerge w:val="restart"/>
            <w:shd w:val="clear" w:color="auto" w:fill="auto"/>
            <w:noWrap w:val="0"/>
            <w:vAlign w:val="center"/>
          </w:tcPr>
          <w:p w14:paraId="4546BF81">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s="Times New Roman"/>
                <w:color w:val="000000" w:themeColor="text1"/>
                <w:sz w:val="21"/>
                <w:szCs w:val="21"/>
                <w:u w:val="none"/>
                <w:lang w:val="en-US" w:eastAsia="zh-CN"/>
                <w14:textFill>
                  <w14:solidFill>
                    <w14:schemeClr w14:val="tx1"/>
                  </w14:solidFill>
                </w14:textFill>
              </w:rPr>
              <w:t>无组织</w:t>
            </w:r>
          </w:p>
        </w:tc>
        <w:tc>
          <w:tcPr>
            <w:tcW w:w="592" w:type="pct"/>
            <w:shd w:val="clear" w:color="auto" w:fill="auto"/>
            <w:noWrap w:val="0"/>
            <w:vAlign w:val="center"/>
          </w:tcPr>
          <w:p w14:paraId="013A1CDC">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t>和面废气</w:t>
            </w:r>
          </w:p>
        </w:tc>
        <w:tc>
          <w:tcPr>
            <w:tcW w:w="595" w:type="pct"/>
            <w:shd w:val="clear" w:color="auto" w:fill="auto"/>
            <w:noWrap w:val="0"/>
            <w:vAlign w:val="center"/>
          </w:tcPr>
          <w:p w14:paraId="51D435D0">
            <w:pPr>
              <w:jc w:val="center"/>
              <w:outlineLvl w:val="0"/>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颗粒物</w:t>
            </w:r>
          </w:p>
        </w:tc>
        <w:tc>
          <w:tcPr>
            <w:tcW w:w="1380" w:type="pct"/>
            <w:vMerge w:val="restart"/>
            <w:shd w:val="clear" w:color="auto" w:fill="auto"/>
            <w:noWrap w:val="0"/>
            <w:vAlign w:val="center"/>
          </w:tcPr>
          <w:p w14:paraId="60FC8012">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auto"/>
                <w:sz w:val="21"/>
                <w:szCs w:val="21"/>
                <w:u w:val="none"/>
                <w:lang w:eastAsia="zh-CN"/>
              </w:rPr>
              <w:t>车间密闭，定期对废气环保设备维护，保证废气收集效率</w:t>
            </w:r>
          </w:p>
        </w:tc>
        <w:tc>
          <w:tcPr>
            <w:tcW w:w="1551" w:type="pct"/>
            <w:noWrap w:val="0"/>
            <w:vAlign w:val="center"/>
          </w:tcPr>
          <w:p w14:paraId="7D566D37">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color w:val="000000"/>
                <w:sz w:val="21"/>
                <w:szCs w:val="21"/>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559A55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noWrap w:val="0"/>
            <w:vAlign w:val="center"/>
          </w:tcPr>
          <w:p w14:paraId="7F72B243">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0" w:type="pct"/>
            <w:vMerge w:val="continue"/>
            <w:shd w:val="clear" w:color="auto" w:fill="auto"/>
            <w:noWrap w:val="0"/>
            <w:vAlign w:val="center"/>
          </w:tcPr>
          <w:p w14:paraId="1C5A698C">
            <w:pPr>
              <w:keepNext w:val="0"/>
              <w:keepLines w:val="0"/>
              <w:pageBreakBefore w:val="0"/>
              <w:kinsoku/>
              <w:wordWrap/>
              <w:overflowPunct/>
              <w:topLinePunct w:val="0"/>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592" w:type="pct"/>
            <w:shd w:val="clear" w:color="auto" w:fill="auto"/>
            <w:noWrap w:val="0"/>
            <w:vAlign w:val="center"/>
          </w:tcPr>
          <w:p w14:paraId="7DDD0573">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bidi="ar"/>
                <w14:textFill>
                  <w14:solidFill>
                    <w14:schemeClr w14:val="tx1"/>
                  </w14:solidFill>
                </w14:textFill>
              </w:rPr>
              <w:t>熟化过程</w:t>
            </w:r>
            <w:r>
              <w:rPr>
                <w:rFonts w:hint="eastAsia" w:cs="Times New Roman"/>
                <w:color w:val="000000" w:themeColor="text1"/>
                <w:sz w:val="21"/>
                <w:szCs w:val="21"/>
                <w:u w:val="none"/>
                <w:lang w:val="en-US" w:eastAsia="zh-CN" w:bidi="ar"/>
                <w14:textFill>
                  <w14:solidFill>
                    <w14:schemeClr w14:val="tx1"/>
                  </w14:solidFill>
                </w14:textFill>
              </w:rPr>
              <w:t>未收集废气</w:t>
            </w:r>
          </w:p>
        </w:tc>
        <w:tc>
          <w:tcPr>
            <w:tcW w:w="595" w:type="pct"/>
            <w:shd w:val="clear" w:color="auto" w:fill="auto"/>
            <w:noWrap w:val="0"/>
            <w:vAlign w:val="center"/>
          </w:tcPr>
          <w:p w14:paraId="5192EC8A">
            <w:pPr>
              <w:keepNext w:val="0"/>
              <w:keepLines w:val="0"/>
              <w:pageBreakBefore w:val="0"/>
              <w:kinsoku/>
              <w:wordWrap/>
              <w:overflowPunct/>
              <w:topLinePunct w:val="0"/>
              <w:autoSpaceDE/>
              <w:autoSpaceDN/>
              <w:bidi w:val="0"/>
              <w:spacing w:line="240" w:lineRule="auto"/>
              <w:jc w:val="center"/>
              <w:textAlignment w:val="auto"/>
              <w:outlineLvl w:val="0"/>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油烟、非甲烷总烃</w:t>
            </w:r>
          </w:p>
        </w:tc>
        <w:tc>
          <w:tcPr>
            <w:tcW w:w="1380" w:type="pct"/>
            <w:vMerge w:val="continue"/>
            <w:shd w:val="clear" w:color="auto" w:fill="auto"/>
            <w:noWrap w:val="0"/>
            <w:vAlign w:val="center"/>
          </w:tcPr>
          <w:p w14:paraId="60BE0618">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eastAsia="zh-CN"/>
              </w:rPr>
            </w:pPr>
          </w:p>
        </w:tc>
        <w:tc>
          <w:tcPr>
            <w:tcW w:w="1551" w:type="pct"/>
            <w:noWrap w:val="0"/>
            <w:vAlign w:val="center"/>
          </w:tcPr>
          <w:p w14:paraId="7370E93C">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r>
      <w:tr w14:paraId="4244F9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noWrap w:val="0"/>
            <w:vAlign w:val="center"/>
          </w:tcPr>
          <w:p w14:paraId="20BC9595">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0" w:type="pct"/>
            <w:vMerge w:val="continue"/>
            <w:shd w:val="clear" w:color="auto" w:fill="auto"/>
            <w:noWrap w:val="0"/>
            <w:vAlign w:val="center"/>
          </w:tcPr>
          <w:p w14:paraId="03EC6DAB">
            <w:pPr>
              <w:keepNext w:val="0"/>
              <w:keepLines w:val="0"/>
              <w:pageBreakBefore w:val="0"/>
              <w:kinsoku/>
              <w:wordWrap/>
              <w:overflowPunct/>
              <w:topLinePunct w:val="0"/>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592" w:type="pct"/>
            <w:shd w:val="clear" w:color="auto" w:fill="auto"/>
            <w:noWrap w:val="0"/>
            <w:vAlign w:val="center"/>
          </w:tcPr>
          <w:p w14:paraId="3B2C7102">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熟化过程天然气燃烧废气</w:t>
            </w:r>
          </w:p>
        </w:tc>
        <w:tc>
          <w:tcPr>
            <w:tcW w:w="595" w:type="pct"/>
            <w:shd w:val="clear" w:color="auto" w:fill="auto"/>
            <w:noWrap w:val="0"/>
            <w:vAlign w:val="center"/>
          </w:tcPr>
          <w:p w14:paraId="4C7B5F20">
            <w:pPr>
              <w:keepNext w:val="0"/>
              <w:keepLines w:val="0"/>
              <w:pageBreakBefore w:val="0"/>
              <w:kinsoku/>
              <w:wordWrap/>
              <w:overflowPunct/>
              <w:topLinePunct w:val="0"/>
              <w:autoSpaceDE/>
              <w:autoSpaceDN/>
              <w:bidi w:val="0"/>
              <w:spacing w:line="240" w:lineRule="auto"/>
              <w:jc w:val="center"/>
              <w:textAlignment w:val="auto"/>
              <w:outlineLvl w:val="0"/>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Cs w:val="21"/>
                <w:u w:val="none"/>
                <w14:textFill>
                  <w14:solidFill>
                    <w14:schemeClr w14:val="tx1"/>
                  </w14:solidFill>
                </w14:textFill>
              </w:rPr>
              <w:t>颗粒物、SO</w:t>
            </w:r>
            <w:r>
              <w:rPr>
                <w:rFonts w:hint="eastAsia"/>
                <w:color w:val="000000" w:themeColor="text1"/>
                <w:szCs w:val="21"/>
                <w:u w:val="none"/>
                <w:vertAlign w:val="subscript"/>
                <w14:textFill>
                  <w14:solidFill>
                    <w14:schemeClr w14:val="tx1"/>
                  </w14:solidFill>
                </w14:textFill>
              </w:rPr>
              <w:t>2</w:t>
            </w:r>
            <w:r>
              <w:rPr>
                <w:rFonts w:hint="eastAsia"/>
                <w:color w:val="000000" w:themeColor="text1"/>
                <w:szCs w:val="21"/>
                <w:u w:val="none"/>
                <w14:textFill>
                  <w14:solidFill>
                    <w14:schemeClr w14:val="tx1"/>
                  </w14:solidFill>
                </w14:textFill>
              </w:rPr>
              <w:t>、NOx</w:t>
            </w:r>
          </w:p>
        </w:tc>
        <w:tc>
          <w:tcPr>
            <w:tcW w:w="1380" w:type="pct"/>
            <w:vMerge w:val="continue"/>
            <w:shd w:val="clear" w:color="auto" w:fill="auto"/>
            <w:noWrap w:val="0"/>
            <w:vAlign w:val="center"/>
          </w:tcPr>
          <w:p w14:paraId="6FD3E323">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eastAsia="zh-CN"/>
              </w:rPr>
            </w:pPr>
          </w:p>
        </w:tc>
        <w:tc>
          <w:tcPr>
            <w:tcW w:w="1551" w:type="pct"/>
            <w:noWrap w:val="0"/>
            <w:vAlign w:val="center"/>
          </w:tcPr>
          <w:p w14:paraId="57FCFB12">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《大气污染物综合排放标准》（GB3095-1996）</w:t>
            </w:r>
            <w:r>
              <w:rPr>
                <w:rFonts w:hint="eastAsia" w:cs="Times New Roman"/>
                <w:color w:val="auto"/>
                <w:sz w:val="21"/>
                <w:szCs w:val="21"/>
                <w:highlight w:val="none"/>
                <w:u w:val="none" w:color="auto"/>
                <w:lang w:val="en-US" w:eastAsia="zh-CN"/>
              </w:rPr>
              <w:t>表2无组织排放限值</w:t>
            </w:r>
          </w:p>
        </w:tc>
      </w:tr>
      <w:tr w14:paraId="52188D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noWrap w:val="0"/>
            <w:vAlign w:val="center"/>
          </w:tcPr>
          <w:p w14:paraId="4C3DB3F3">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230" w:type="pct"/>
            <w:vMerge w:val="continue"/>
            <w:shd w:val="clear" w:color="auto" w:fill="auto"/>
            <w:noWrap w:val="0"/>
            <w:vAlign w:val="center"/>
          </w:tcPr>
          <w:p w14:paraId="15BC1FEF">
            <w:pPr>
              <w:keepNext w:val="0"/>
              <w:keepLines w:val="0"/>
              <w:pageBreakBefore w:val="0"/>
              <w:kinsoku/>
              <w:wordWrap/>
              <w:overflowPunct/>
              <w:topLinePunct w:val="0"/>
              <w:bidi w:val="0"/>
              <w:snapToGrid w:val="0"/>
              <w:spacing w:line="240" w:lineRule="auto"/>
              <w:jc w:val="center"/>
              <w:textAlignment w:val="auto"/>
              <w:rPr>
                <w:rFonts w:hint="eastAsia" w:cs="Times New Roman"/>
                <w:color w:val="000000" w:themeColor="text1"/>
                <w:sz w:val="21"/>
                <w:szCs w:val="21"/>
                <w:u w:val="none"/>
                <w:lang w:val="en-US" w:eastAsia="zh-CN"/>
                <w14:textFill>
                  <w14:solidFill>
                    <w14:schemeClr w14:val="tx1"/>
                  </w14:solidFill>
                </w14:textFill>
              </w:rPr>
            </w:pPr>
          </w:p>
        </w:tc>
        <w:tc>
          <w:tcPr>
            <w:tcW w:w="592" w:type="pct"/>
            <w:shd w:val="clear" w:color="auto" w:fill="auto"/>
            <w:noWrap w:val="0"/>
            <w:vAlign w:val="center"/>
          </w:tcPr>
          <w:p w14:paraId="143401CF">
            <w:pPr>
              <w:keepNext w:val="0"/>
              <w:keepLines w:val="0"/>
              <w:pageBreakBefore w:val="0"/>
              <w:kinsoku/>
              <w:wordWrap/>
              <w:overflowPunct/>
              <w:topLinePunct w:val="0"/>
              <w:autoSpaceDE/>
              <w:autoSpaceDN/>
              <w:bidi w:val="0"/>
              <w:snapToGrid w:val="0"/>
              <w:spacing w:line="240" w:lineRule="auto"/>
              <w:jc w:val="center"/>
              <w:textAlignment w:val="auto"/>
              <w:rPr>
                <w:rFonts w:hint="eastAsia"/>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污水处理站产生恶臭</w:t>
            </w:r>
          </w:p>
        </w:tc>
        <w:tc>
          <w:tcPr>
            <w:tcW w:w="595" w:type="pct"/>
            <w:shd w:val="clear" w:color="auto" w:fill="auto"/>
            <w:noWrap w:val="0"/>
            <w:vAlign w:val="center"/>
          </w:tcPr>
          <w:p w14:paraId="7C570F50">
            <w:pPr>
              <w:keepNext w:val="0"/>
              <w:keepLines w:val="0"/>
              <w:pageBreakBefore w:val="0"/>
              <w:kinsoku/>
              <w:wordWrap/>
              <w:overflowPunct/>
              <w:topLinePunct w:val="0"/>
              <w:autoSpaceDE/>
              <w:autoSpaceDN/>
              <w:bidi w:val="0"/>
              <w:spacing w:line="240" w:lineRule="auto"/>
              <w:jc w:val="center"/>
              <w:textAlignment w:val="auto"/>
              <w:outlineLvl w:val="0"/>
              <w:rPr>
                <w:rFonts w:hint="eastAsia" w:cs="Times New Roman"/>
                <w:color w:val="000000" w:themeColor="text1"/>
                <w:sz w:val="21"/>
                <w:szCs w:val="21"/>
                <w:u w:val="none"/>
                <w:lang w:val="en-US" w:eastAsia="zh-CN"/>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1380" w:type="pct"/>
            <w:shd w:val="clear" w:color="auto" w:fill="auto"/>
            <w:noWrap w:val="0"/>
            <w:vAlign w:val="center"/>
          </w:tcPr>
          <w:p w14:paraId="2D148E2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u w:val="none"/>
                <w:lang w:eastAsia="zh-CN"/>
              </w:rPr>
            </w:pPr>
            <w:r>
              <w:rPr>
                <w:rFonts w:hint="eastAsia"/>
                <w:color w:val="000000" w:themeColor="text1"/>
                <w:szCs w:val="21"/>
                <w14:textFill>
                  <w14:solidFill>
                    <w14:schemeClr w14:val="tx1"/>
                  </w14:solidFill>
                </w14:textFill>
              </w:rPr>
              <w:t>污水处理站加盖密闭，定期喷洒除臭剂等</w:t>
            </w:r>
          </w:p>
        </w:tc>
        <w:tc>
          <w:tcPr>
            <w:tcW w:w="1551" w:type="pct"/>
            <w:noWrap w:val="0"/>
            <w:vAlign w:val="center"/>
          </w:tcPr>
          <w:p w14:paraId="5CD0F716">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eastAsia"/>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《恶臭污染物排放标准》（GB14554-93）中表1标准</w:t>
            </w:r>
          </w:p>
        </w:tc>
      </w:tr>
      <w:tr w14:paraId="0AC45B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restart"/>
            <w:noWrap w:val="0"/>
            <w:vAlign w:val="center"/>
          </w:tcPr>
          <w:p w14:paraId="1146189A">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地表水环境</w:t>
            </w:r>
          </w:p>
        </w:tc>
        <w:tc>
          <w:tcPr>
            <w:tcW w:w="823" w:type="pct"/>
            <w:gridSpan w:val="2"/>
            <w:shd w:val="clear" w:color="auto" w:fill="auto"/>
            <w:noWrap w:val="0"/>
            <w:vAlign w:val="center"/>
          </w:tcPr>
          <w:p w14:paraId="4D807015">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kern w:val="2"/>
                <w:sz w:val="21"/>
                <w:szCs w:val="21"/>
                <w:u w:val="none"/>
                <w:lang w:val="en-US" w:eastAsia="zh-CN" w:bidi="ar-SA"/>
              </w:rPr>
            </w:pPr>
            <w:r>
              <w:rPr>
                <w:color w:val="000000" w:themeColor="text1"/>
                <w:szCs w:val="21"/>
                <w:u w:val="none"/>
                <w14:textFill>
                  <w14:solidFill>
                    <w14:schemeClr w14:val="tx1"/>
                  </w14:solidFill>
                </w14:textFill>
              </w:rPr>
              <w:t>职工生活污水</w:t>
            </w:r>
          </w:p>
        </w:tc>
        <w:tc>
          <w:tcPr>
            <w:tcW w:w="595" w:type="pct"/>
            <w:shd w:val="clear" w:color="auto" w:fill="auto"/>
            <w:noWrap w:val="0"/>
            <w:vAlign w:val="center"/>
          </w:tcPr>
          <w:p w14:paraId="652A0D5D">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kern w:val="2"/>
                <w:sz w:val="21"/>
                <w:szCs w:val="21"/>
                <w:u w:val="none"/>
                <w:lang w:val="en-US" w:eastAsia="zh-CN" w:bidi="ar-SA"/>
              </w:rPr>
            </w:pPr>
            <w:r>
              <w:rPr>
                <w:color w:val="000000" w:themeColor="text1"/>
                <w:szCs w:val="21"/>
                <w:u w:val="none"/>
                <w14:textFill>
                  <w14:solidFill>
                    <w14:schemeClr w14:val="tx1"/>
                  </w14:solidFill>
                </w14:textFill>
              </w:rPr>
              <w:t>COD、BOD</w:t>
            </w:r>
            <w:r>
              <w:rPr>
                <w:color w:val="000000" w:themeColor="text1"/>
                <w:szCs w:val="21"/>
                <w:u w:val="none"/>
                <w:vertAlign w:val="subscript"/>
                <w14:textFill>
                  <w14:solidFill>
                    <w14:schemeClr w14:val="tx1"/>
                  </w14:solidFill>
                </w14:textFill>
              </w:rPr>
              <w:t>5</w:t>
            </w:r>
            <w:r>
              <w:rPr>
                <w:color w:val="000000" w:themeColor="text1"/>
                <w:szCs w:val="21"/>
                <w:u w:val="none"/>
                <w14:textFill>
                  <w14:solidFill>
                    <w14:schemeClr w14:val="tx1"/>
                  </w14:solidFill>
                </w14:textFill>
              </w:rPr>
              <w:t>、NH</w:t>
            </w:r>
            <w:r>
              <w:rPr>
                <w:color w:val="000000" w:themeColor="text1"/>
                <w:szCs w:val="21"/>
                <w:u w:val="none"/>
                <w:vertAlign w:val="subscript"/>
                <w14:textFill>
                  <w14:solidFill>
                    <w14:schemeClr w14:val="tx1"/>
                  </w14:solidFill>
                </w14:textFill>
              </w:rPr>
              <w:t>3</w:t>
            </w:r>
            <w:r>
              <w:rPr>
                <w:color w:val="000000" w:themeColor="text1"/>
                <w:szCs w:val="21"/>
                <w:u w:val="none"/>
                <w14:textFill>
                  <w14:solidFill>
                    <w14:schemeClr w14:val="tx1"/>
                  </w14:solidFill>
                </w14:textFill>
              </w:rPr>
              <w:t>-N、SS</w:t>
            </w:r>
          </w:p>
        </w:tc>
        <w:tc>
          <w:tcPr>
            <w:tcW w:w="1380" w:type="pct"/>
            <w:vMerge w:val="restart"/>
            <w:noWrap w:val="0"/>
            <w:vAlign w:val="center"/>
          </w:tcPr>
          <w:p w14:paraId="40B2DAE9">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olor w:val="000000"/>
              </w:rPr>
              <w:t>生活污水经化粪池（容积</w:t>
            </w:r>
            <w:r>
              <w:rPr>
                <w:rFonts w:hint="eastAsia"/>
                <w:color w:val="000000"/>
                <w:lang w:val="en-US" w:eastAsia="zh-CN"/>
              </w:rPr>
              <w:t>15</w:t>
            </w:r>
            <w:r>
              <w:rPr>
                <w:rFonts w:hint="eastAsia"/>
                <w:color w:val="000000"/>
              </w:rPr>
              <w:t>m</w:t>
            </w:r>
            <w:r>
              <w:rPr>
                <w:rFonts w:hint="eastAsia"/>
                <w:color w:val="000000"/>
                <w:vertAlign w:val="superscript"/>
              </w:rPr>
              <w:t>3</w:t>
            </w:r>
            <w:r>
              <w:rPr>
                <w:rFonts w:hint="eastAsia"/>
                <w:color w:val="000000"/>
              </w:rPr>
              <w:t>）处理后</w:t>
            </w:r>
            <w:r>
              <w:rPr>
                <w:rFonts w:hint="eastAsia"/>
                <w:color w:val="000000"/>
                <w:lang w:val="en-US" w:eastAsia="zh-CN"/>
              </w:rPr>
              <w:t>与</w:t>
            </w:r>
            <w:r>
              <w:rPr>
                <w:rFonts w:hint="eastAsia" w:ascii="Times New Roman" w:eastAsia="宋体"/>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r>
              <w:rPr>
                <w:rFonts w:hint="eastAsia"/>
                <w:color w:val="000000"/>
              </w:rPr>
              <w:t>混合后</w:t>
            </w:r>
            <w:r>
              <w:rPr>
                <w:rFonts w:hint="eastAsia"/>
                <w:color w:val="000000"/>
                <w:lang w:val="en-US" w:eastAsia="zh-CN"/>
              </w:rPr>
              <w:t>一起经厂区污水处理站</w:t>
            </w:r>
            <w:r>
              <w:rPr>
                <w:rFonts w:hint="eastAsia"/>
                <w:color w:val="000000"/>
              </w:rPr>
              <w:t>（</w:t>
            </w:r>
            <w:r>
              <w:rPr>
                <w:rFonts w:hint="default" w:ascii="Times New Roman" w:hAnsi="Times New Roman" w:eastAsia="宋体" w:cs="Times New Roman"/>
                <w:color w:val="auto"/>
                <w:sz w:val="21"/>
                <w:szCs w:val="21"/>
                <w:u w:val="none"/>
              </w:rPr>
              <w:t>处理规模为</w:t>
            </w:r>
            <w:r>
              <w:rPr>
                <w:rFonts w:hint="eastAsia" w:cs="Times New Roman"/>
                <w:color w:val="auto"/>
                <w:sz w:val="21"/>
                <w:szCs w:val="21"/>
                <w:u w:val="none"/>
                <w:lang w:val="en-US" w:eastAsia="zh-CN"/>
              </w:rPr>
              <w:t>5</w:t>
            </w:r>
            <w:r>
              <w:rPr>
                <w:rFonts w:hint="eastAsia" w:ascii="Times New Roman" w:hAnsi="Times New Roman" w:eastAsia="宋体" w:cs="Times New Roman"/>
                <w:color w:val="auto"/>
                <w:sz w:val="21"/>
                <w:szCs w:val="21"/>
                <w:u w:val="none"/>
                <w:lang w:val="en-US" w:eastAsia="zh-CN"/>
              </w:rPr>
              <w:t>0</w:t>
            </w:r>
            <w:r>
              <w:rPr>
                <w:rFonts w:hint="default" w:ascii="Times New Roman" w:hAnsi="Times New Roman" w:eastAsia="宋体" w:cs="Times New Roman"/>
                <w:color w:val="auto"/>
                <w:sz w:val="21"/>
                <w:szCs w:val="21"/>
                <w:u w:val="none"/>
              </w:rPr>
              <w:t>m</w:t>
            </w:r>
            <w:r>
              <w:rPr>
                <w:rFonts w:hint="default" w:ascii="Times New Roman" w:hAnsi="Times New Roman" w:eastAsia="宋体" w:cs="Times New Roman"/>
                <w:color w:val="auto"/>
                <w:sz w:val="21"/>
                <w:szCs w:val="21"/>
                <w:u w:val="none"/>
                <w:vertAlign w:val="superscript"/>
              </w:rPr>
              <w:t>3</w:t>
            </w:r>
            <w:r>
              <w:rPr>
                <w:rFonts w:hint="default" w:ascii="Times New Roman" w:hAnsi="Times New Roman" w:eastAsia="宋体" w:cs="Times New Roman"/>
                <w:color w:val="auto"/>
                <w:sz w:val="21"/>
                <w:szCs w:val="21"/>
                <w:u w:val="none"/>
              </w:rPr>
              <w:t>/d</w:t>
            </w:r>
            <w:r>
              <w:rPr>
                <w:rFonts w:hint="eastAsia"/>
                <w:color w:val="000000"/>
              </w:rPr>
              <w:t>）</w:t>
            </w:r>
            <w:r>
              <w:rPr>
                <w:rFonts w:hint="eastAsia"/>
                <w:color w:val="000000"/>
                <w:lang w:val="en-US" w:eastAsia="zh-CN"/>
              </w:rPr>
              <w:t>处理后</w:t>
            </w:r>
            <w:r>
              <w:rPr>
                <w:rFonts w:hint="eastAsia"/>
                <w:color w:val="000000"/>
              </w:rPr>
              <w:t>经污水总排口排入市政污水管网进入镇平县第二污水处理厂进一步处理达标后排放</w:t>
            </w:r>
          </w:p>
        </w:tc>
        <w:tc>
          <w:tcPr>
            <w:tcW w:w="1551" w:type="pct"/>
            <w:vMerge w:val="restart"/>
            <w:noWrap w:val="0"/>
            <w:vAlign w:val="center"/>
          </w:tcPr>
          <w:p w14:paraId="1C37C368">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eastAsia"/>
                <w:color w:val="000000" w:themeColor="text1"/>
                <w:sz w:val="21"/>
                <w:szCs w:val="21"/>
                <w14:textFill>
                  <w14:solidFill>
                    <w14:schemeClr w14:val="tx1"/>
                  </w14:solidFill>
                </w14:textFill>
              </w:rPr>
              <w:t>《污水综合排放标准》（GB8978-1996）</w:t>
            </w:r>
            <w:r>
              <w:rPr>
                <w:color w:val="000000" w:themeColor="text1"/>
                <w:sz w:val="21"/>
                <w:szCs w:val="21"/>
                <w14:textFill>
                  <w14:solidFill>
                    <w14:schemeClr w14:val="tx1"/>
                  </w14:solidFill>
                </w14:textFill>
              </w:rPr>
              <w:t>及镇平县第二污水处理厂进水水质指标要求</w:t>
            </w:r>
          </w:p>
        </w:tc>
      </w:tr>
      <w:tr w14:paraId="2BC51C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noWrap w:val="0"/>
            <w:vAlign w:val="center"/>
          </w:tcPr>
          <w:p w14:paraId="322E710C">
            <w:pPr>
              <w:keepNext w:val="0"/>
              <w:keepLines w:val="0"/>
              <w:pageBreakBefore w:val="0"/>
              <w:kinsoku/>
              <w:wordWrap/>
              <w:overflowPunct/>
              <w:topLinePunct w:val="0"/>
              <w:bidi w:val="0"/>
              <w:snapToGrid w:val="0"/>
              <w:spacing w:line="240" w:lineRule="auto"/>
              <w:jc w:val="center"/>
              <w:textAlignment w:val="auto"/>
            </w:pPr>
          </w:p>
        </w:tc>
        <w:tc>
          <w:tcPr>
            <w:tcW w:w="823" w:type="pct"/>
            <w:gridSpan w:val="2"/>
            <w:shd w:val="clear" w:color="auto" w:fill="auto"/>
            <w:noWrap w:val="0"/>
            <w:vAlign w:val="center"/>
          </w:tcPr>
          <w:p w14:paraId="762C8A3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kern w:val="2"/>
                <w:sz w:val="21"/>
                <w:szCs w:val="21"/>
                <w:u w:val="none"/>
                <w:lang w:val="en-US" w:eastAsia="zh-CN" w:bidi="ar-SA"/>
              </w:rPr>
            </w:pPr>
            <w:r>
              <w:rPr>
                <w:rFonts w:hint="eastAsia"/>
                <w:color w:val="000000" w:themeColor="text1"/>
                <w:szCs w:val="21"/>
                <w:u w:val="none"/>
                <w:lang w:val="en-US" w:eastAsia="zh-CN"/>
                <w14:textFill>
                  <w14:solidFill>
                    <w14:schemeClr w14:val="tx1"/>
                  </w14:solidFill>
                </w14:textFill>
              </w:rPr>
              <w:t>生产</w:t>
            </w:r>
            <w:r>
              <w:rPr>
                <w:rFonts w:hint="eastAsia"/>
                <w:color w:val="000000" w:themeColor="text1"/>
                <w:szCs w:val="21"/>
                <w:u w:val="none"/>
                <w14:textFill>
                  <w14:solidFill>
                    <w14:schemeClr w14:val="tx1"/>
                  </w14:solidFill>
                </w14:textFill>
              </w:rPr>
              <w:t>废水</w:t>
            </w:r>
          </w:p>
        </w:tc>
        <w:tc>
          <w:tcPr>
            <w:tcW w:w="595" w:type="pct"/>
            <w:shd w:val="clear" w:color="auto" w:fill="auto"/>
            <w:noWrap w:val="0"/>
            <w:vAlign w:val="center"/>
          </w:tcPr>
          <w:p w14:paraId="22C96E48">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kern w:val="2"/>
                <w:sz w:val="21"/>
                <w:szCs w:val="21"/>
                <w:u w:val="none"/>
                <w:lang w:val="en-US" w:eastAsia="zh-CN" w:bidi="ar-SA"/>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TP、</w:t>
            </w:r>
            <w:r>
              <w:rPr>
                <w:rFonts w:hint="eastAsia"/>
                <w:bCs/>
                <w:color w:val="000000" w:themeColor="text1"/>
                <w:szCs w:val="21"/>
                <w:lang w:val="en-US" w:eastAsia="zh-CN"/>
                <w14:textFill>
                  <w14:solidFill>
                    <w14:schemeClr w14:val="tx1"/>
                  </w14:solidFill>
                </w14:textFill>
              </w:rPr>
              <w:t>动植物油</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LAS</w:t>
            </w:r>
          </w:p>
        </w:tc>
        <w:tc>
          <w:tcPr>
            <w:tcW w:w="1380" w:type="pct"/>
            <w:vMerge w:val="continue"/>
            <w:noWrap w:val="0"/>
            <w:vAlign w:val="center"/>
          </w:tcPr>
          <w:p w14:paraId="626167AF">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p>
        </w:tc>
        <w:tc>
          <w:tcPr>
            <w:tcW w:w="1551" w:type="pct"/>
            <w:vMerge w:val="continue"/>
            <w:noWrap w:val="0"/>
            <w:vAlign w:val="center"/>
          </w:tcPr>
          <w:p w14:paraId="7A42E423">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kern w:val="0"/>
                <w:sz w:val="21"/>
                <w:szCs w:val="21"/>
                <w:u w:val="none"/>
                <w14:textFill>
                  <w14:solidFill>
                    <w14:schemeClr w14:val="tx1"/>
                  </w14:solidFill>
                </w14:textFill>
              </w:rPr>
            </w:pPr>
          </w:p>
        </w:tc>
      </w:tr>
      <w:tr w14:paraId="35F061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49D91296">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声环境</w:t>
            </w:r>
          </w:p>
        </w:tc>
        <w:tc>
          <w:tcPr>
            <w:tcW w:w="823" w:type="pct"/>
            <w:gridSpan w:val="2"/>
            <w:noWrap w:val="0"/>
            <w:vAlign w:val="center"/>
          </w:tcPr>
          <w:p w14:paraId="2B736DC1">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切菜机</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w:t>
            </w:r>
            <w:r>
              <w:rPr>
                <w:rFonts w:hint="eastAsia" w:cs="Times New Roman"/>
                <w:bCs/>
                <w:color w:val="000000" w:themeColor="text1"/>
                <w:sz w:val="21"/>
                <w:szCs w:val="21"/>
                <w:u w:val="none"/>
                <w:lang w:val="en-US" w:eastAsia="zh-CN"/>
                <w14:textFill>
                  <w14:solidFill>
                    <w14:schemeClr w14:val="tx1"/>
                  </w14:solidFill>
                </w14:textFill>
              </w:rPr>
              <w:t>和</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面机、</w:t>
            </w:r>
            <w:r>
              <w:rPr>
                <w:rFonts w:hint="default" w:eastAsia="宋体"/>
                <w:color w:val="000000" w:themeColor="text1"/>
                <w:sz w:val="21"/>
                <w:szCs w:val="21"/>
                <w:vertAlign w:val="baseline"/>
                <w:lang w:val="en-US" w:eastAsia="zh-CN"/>
                <w14:textFill>
                  <w14:solidFill>
                    <w14:schemeClr w14:val="tx1"/>
                  </w14:solidFill>
                </w14:textFill>
              </w:rPr>
              <w:t>鲜肉开条机</w:t>
            </w:r>
            <w:r>
              <w:rPr>
                <w:rFonts w:hint="default" w:ascii="Times New Roman" w:hAnsi="Times New Roman" w:eastAsia="宋体" w:cs="Times New Roman"/>
                <w:bCs/>
                <w:color w:val="000000" w:themeColor="text1"/>
                <w:sz w:val="21"/>
                <w:szCs w:val="21"/>
                <w:u w:val="none"/>
                <w:lang w:val="en-US" w:eastAsia="zh-CN"/>
                <w14:textFill>
                  <w14:solidFill>
                    <w14:schemeClr w14:val="tx1"/>
                  </w14:solidFill>
                </w14:textFill>
              </w:rPr>
              <w:t>以及风机</w:t>
            </w:r>
            <w:r>
              <w:rPr>
                <w:rFonts w:hint="default" w:ascii="Times New Roman" w:hAnsi="Times New Roman" w:eastAsia="宋体" w:cs="Times New Roman"/>
                <w:bCs/>
                <w:color w:val="000000" w:themeColor="text1"/>
                <w:sz w:val="21"/>
                <w:szCs w:val="21"/>
                <w:u w:val="none"/>
                <w14:textFill>
                  <w14:solidFill>
                    <w14:schemeClr w14:val="tx1"/>
                  </w14:solidFill>
                </w14:textFill>
              </w:rPr>
              <w:t>等设备</w:t>
            </w:r>
          </w:p>
        </w:tc>
        <w:tc>
          <w:tcPr>
            <w:tcW w:w="595" w:type="pct"/>
            <w:noWrap w:val="0"/>
            <w:vAlign w:val="center"/>
          </w:tcPr>
          <w:p w14:paraId="75105F8B">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机械噪声</w:t>
            </w:r>
          </w:p>
        </w:tc>
        <w:tc>
          <w:tcPr>
            <w:tcW w:w="1380" w:type="pct"/>
            <w:noWrap w:val="0"/>
            <w:vAlign w:val="center"/>
          </w:tcPr>
          <w:p w14:paraId="2BC94B5A">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产噪设备采取基础减振、厂房隔声等降噪措施；设备定期维护保养</w:t>
            </w:r>
          </w:p>
        </w:tc>
        <w:tc>
          <w:tcPr>
            <w:tcW w:w="1551" w:type="pct"/>
            <w:noWrap w:val="0"/>
            <w:vAlign w:val="center"/>
          </w:tcPr>
          <w:p w14:paraId="4450B005">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《工业企业厂界环境噪声排放标准》（GB12348-2008）2类标准</w:t>
            </w:r>
          </w:p>
        </w:tc>
      </w:tr>
      <w:tr w14:paraId="31E1A5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tcBorders>
              <w:bottom w:val="single" w:color="auto" w:sz="4" w:space="0"/>
            </w:tcBorders>
            <w:noWrap w:val="0"/>
            <w:vAlign w:val="center"/>
          </w:tcPr>
          <w:p w14:paraId="2E9DA774">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电磁辐射</w:t>
            </w:r>
          </w:p>
        </w:tc>
        <w:tc>
          <w:tcPr>
            <w:tcW w:w="823" w:type="pct"/>
            <w:gridSpan w:val="2"/>
            <w:tcBorders>
              <w:bottom w:val="single" w:color="auto" w:sz="4" w:space="0"/>
            </w:tcBorders>
            <w:noWrap w:val="0"/>
            <w:vAlign w:val="center"/>
          </w:tcPr>
          <w:p w14:paraId="3D487BC0">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w:t>
            </w:r>
          </w:p>
        </w:tc>
        <w:tc>
          <w:tcPr>
            <w:tcW w:w="595" w:type="pct"/>
            <w:tcBorders>
              <w:bottom w:val="single" w:color="auto" w:sz="4" w:space="0"/>
            </w:tcBorders>
            <w:noWrap w:val="0"/>
            <w:vAlign w:val="center"/>
          </w:tcPr>
          <w:p w14:paraId="57304188">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w:t>
            </w:r>
          </w:p>
        </w:tc>
        <w:tc>
          <w:tcPr>
            <w:tcW w:w="1380" w:type="pct"/>
            <w:tcBorders>
              <w:bottom w:val="single" w:color="auto" w:sz="4" w:space="0"/>
            </w:tcBorders>
            <w:noWrap w:val="0"/>
            <w:vAlign w:val="center"/>
          </w:tcPr>
          <w:p w14:paraId="0728809D">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w:t>
            </w:r>
          </w:p>
        </w:tc>
        <w:tc>
          <w:tcPr>
            <w:tcW w:w="1551" w:type="pct"/>
            <w:tcBorders>
              <w:bottom w:val="single" w:color="auto" w:sz="4" w:space="0"/>
            </w:tcBorders>
            <w:noWrap w:val="0"/>
            <w:vAlign w:val="center"/>
          </w:tcPr>
          <w:p w14:paraId="435C502D">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w:t>
            </w:r>
          </w:p>
        </w:tc>
      </w:tr>
      <w:tr w14:paraId="1AFB62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restart"/>
            <w:tcBorders>
              <w:top w:val="single" w:color="auto" w:sz="4" w:space="0"/>
              <w:left w:val="single" w:color="auto" w:sz="4" w:space="0"/>
            </w:tcBorders>
            <w:noWrap w:val="0"/>
            <w:vAlign w:val="center"/>
          </w:tcPr>
          <w:p w14:paraId="0D843C2D">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固体废物</w:t>
            </w:r>
          </w:p>
        </w:tc>
        <w:tc>
          <w:tcPr>
            <w:tcW w:w="1632" w:type="dxa"/>
            <w:gridSpan w:val="2"/>
            <w:tcBorders>
              <w:top w:val="single" w:color="auto" w:sz="4" w:space="0"/>
              <w:bottom w:val="single" w:color="auto" w:sz="4" w:space="0"/>
            </w:tcBorders>
            <w:shd w:val="clear" w:color="auto" w:fill="auto"/>
            <w:noWrap w:val="0"/>
            <w:vAlign w:val="center"/>
          </w:tcPr>
          <w:p w14:paraId="21214F8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职工生活</w:t>
            </w:r>
          </w:p>
        </w:tc>
        <w:tc>
          <w:tcPr>
            <w:tcW w:w="1180" w:type="dxa"/>
            <w:tcBorders>
              <w:top w:val="single" w:color="auto" w:sz="4" w:space="0"/>
              <w:bottom w:val="single" w:color="auto" w:sz="4" w:space="0"/>
            </w:tcBorders>
            <w:shd w:val="clear" w:color="auto" w:fill="auto"/>
            <w:noWrap w:val="0"/>
            <w:vAlign w:val="center"/>
          </w:tcPr>
          <w:p w14:paraId="23C841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生活垃圾</w:t>
            </w:r>
          </w:p>
        </w:tc>
        <w:tc>
          <w:tcPr>
            <w:tcW w:w="2737" w:type="dxa"/>
            <w:tcBorders>
              <w:top w:val="single" w:color="auto" w:sz="4" w:space="0"/>
              <w:bottom w:val="single" w:color="auto" w:sz="4" w:space="0"/>
            </w:tcBorders>
            <w:shd w:val="clear" w:color="auto" w:fill="auto"/>
            <w:noWrap w:val="0"/>
            <w:vAlign w:val="center"/>
          </w:tcPr>
          <w:p w14:paraId="71B1B8B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分类收集后交由环卫部门运至垃圾中转站处理</w:t>
            </w:r>
          </w:p>
        </w:tc>
        <w:tc>
          <w:tcPr>
            <w:tcW w:w="1551" w:type="pct"/>
            <w:vMerge w:val="restart"/>
            <w:tcBorders>
              <w:top w:val="single" w:color="auto" w:sz="4" w:space="0"/>
              <w:right w:val="single" w:color="auto" w:sz="4" w:space="0"/>
            </w:tcBorders>
            <w:noWrap w:val="0"/>
            <w:vAlign w:val="center"/>
          </w:tcPr>
          <w:p w14:paraId="107B5980">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《一般工业固体废物贮存和填埋污染控制标准》（GB18599-2020）</w:t>
            </w:r>
          </w:p>
        </w:tc>
      </w:tr>
      <w:tr w14:paraId="7F1AF5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1D97A84B">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bottom w:val="single" w:color="auto" w:sz="4" w:space="0"/>
            </w:tcBorders>
            <w:shd w:val="clear" w:color="auto" w:fill="auto"/>
            <w:noWrap w:val="0"/>
            <w:vAlign w:val="center"/>
          </w:tcPr>
          <w:p w14:paraId="698523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化粪池</w:t>
            </w:r>
          </w:p>
        </w:tc>
        <w:tc>
          <w:tcPr>
            <w:tcW w:w="1180" w:type="dxa"/>
            <w:tcBorders>
              <w:top w:val="single" w:color="auto" w:sz="4" w:space="0"/>
              <w:bottom w:val="single" w:color="auto" w:sz="4" w:space="0"/>
            </w:tcBorders>
            <w:shd w:val="clear" w:color="auto" w:fill="auto"/>
            <w:noWrap w:val="0"/>
            <w:vAlign w:val="center"/>
          </w:tcPr>
          <w:p w14:paraId="28DB07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污泥</w:t>
            </w:r>
          </w:p>
        </w:tc>
        <w:tc>
          <w:tcPr>
            <w:tcW w:w="2737" w:type="dxa"/>
            <w:tcBorders>
              <w:top w:val="single" w:color="auto" w:sz="4" w:space="0"/>
              <w:bottom w:val="single" w:color="auto" w:sz="4" w:space="0"/>
            </w:tcBorders>
            <w:shd w:val="clear" w:color="auto" w:fill="auto"/>
            <w:noWrap w:val="0"/>
            <w:vAlign w:val="center"/>
          </w:tcPr>
          <w:p w14:paraId="5E8F34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定期清掏后交由环卫部门处理</w:t>
            </w:r>
          </w:p>
        </w:tc>
        <w:tc>
          <w:tcPr>
            <w:tcW w:w="1551" w:type="pct"/>
            <w:vMerge w:val="continue"/>
            <w:tcBorders>
              <w:right w:val="single" w:color="auto" w:sz="4" w:space="0"/>
            </w:tcBorders>
            <w:noWrap w:val="0"/>
            <w:vAlign w:val="center"/>
          </w:tcPr>
          <w:p w14:paraId="4480979A">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01FB17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43B6C71C">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bottom w:val="single" w:color="auto" w:sz="4" w:space="0"/>
            </w:tcBorders>
            <w:shd w:val="clear" w:color="auto" w:fill="auto"/>
            <w:noWrap w:val="0"/>
            <w:vAlign w:val="center"/>
          </w:tcPr>
          <w:p w14:paraId="6791AF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肉类清洗</w:t>
            </w:r>
          </w:p>
        </w:tc>
        <w:tc>
          <w:tcPr>
            <w:tcW w:w="1180" w:type="dxa"/>
            <w:tcBorders>
              <w:top w:val="single" w:color="auto" w:sz="4" w:space="0"/>
              <w:bottom w:val="single" w:color="auto" w:sz="4" w:space="0"/>
            </w:tcBorders>
            <w:shd w:val="clear" w:color="auto" w:fill="auto"/>
            <w:noWrap w:val="0"/>
            <w:vAlign w:val="center"/>
          </w:tcPr>
          <w:p w14:paraId="717691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肉末残渣</w:t>
            </w:r>
          </w:p>
        </w:tc>
        <w:tc>
          <w:tcPr>
            <w:tcW w:w="2737" w:type="dxa"/>
            <w:tcBorders>
              <w:top w:val="single" w:color="auto" w:sz="4" w:space="0"/>
              <w:bottom w:val="single" w:color="auto" w:sz="4" w:space="0"/>
            </w:tcBorders>
            <w:shd w:val="clear" w:color="auto" w:fill="auto"/>
            <w:noWrap w:val="0"/>
            <w:vAlign w:val="center"/>
          </w:tcPr>
          <w:p w14:paraId="1BA877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1551" w:type="pct"/>
            <w:vMerge w:val="continue"/>
            <w:tcBorders>
              <w:right w:val="single" w:color="auto" w:sz="4" w:space="0"/>
            </w:tcBorders>
            <w:noWrap w:val="0"/>
            <w:vAlign w:val="center"/>
          </w:tcPr>
          <w:p w14:paraId="6C60D201">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2EF988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439E815F">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bottom w:val="single" w:color="auto" w:sz="4" w:space="0"/>
            </w:tcBorders>
            <w:shd w:val="clear" w:color="auto" w:fill="auto"/>
            <w:noWrap w:val="0"/>
            <w:vAlign w:val="center"/>
          </w:tcPr>
          <w:p w14:paraId="7CB8B60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蔬菜清洗</w:t>
            </w:r>
          </w:p>
        </w:tc>
        <w:tc>
          <w:tcPr>
            <w:tcW w:w="1180" w:type="dxa"/>
            <w:tcBorders>
              <w:top w:val="single" w:color="auto" w:sz="4" w:space="0"/>
              <w:bottom w:val="single" w:color="auto" w:sz="4" w:space="0"/>
            </w:tcBorders>
            <w:shd w:val="clear" w:color="auto" w:fill="auto"/>
            <w:noWrap w:val="0"/>
            <w:vAlign w:val="center"/>
          </w:tcPr>
          <w:p w14:paraId="37589BD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蔬菜残渣</w:t>
            </w:r>
          </w:p>
        </w:tc>
        <w:tc>
          <w:tcPr>
            <w:tcW w:w="2737" w:type="dxa"/>
            <w:tcBorders>
              <w:top w:val="single" w:color="auto" w:sz="4" w:space="0"/>
              <w:bottom w:val="single" w:color="auto" w:sz="4" w:space="0"/>
            </w:tcBorders>
            <w:shd w:val="clear" w:color="auto" w:fill="auto"/>
            <w:noWrap w:val="0"/>
            <w:vAlign w:val="center"/>
          </w:tcPr>
          <w:p w14:paraId="2DA54A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1551" w:type="pct"/>
            <w:vMerge w:val="continue"/>
            <w:tcBorders>
              <w:right w:val="single" w:color="auto" w:sz="4" w:space="0"/>
            </w:tcBorders>
            <w:noWrap w:val="0"/>
            <w:vAlign w:val="center"/>
          </w:tcPr>
          <w:p w14:paraId="49B3CCD4">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1847D1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663E3F22">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bottom w:val="single" w:color="auto" w:sz="4" w:space="0"/>
            </w:tcBorders>
            <w:shd w:val="clear" w:color="auto" w:fill="auto"/>
            <w:noWrap w:val="0"/>
            <w:vAlign w:val="center"/>
          </w:tcPr>
          <w:p w14:paraId="3E566B47">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隔油池、</w:t>
            </w: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静电</w:t>
            </w:r>
            <w:r>
              <w:rPr>
                <w:rFonts w:hint="default" w:ascii="Times New Roman" w:hAnsi="Times New Roman" w:eastAsia="宋体" w:cs="Times New Roman"/>
                <w:bCs/>
                <w:color w:val="000000" w:themeColor="text1"/>
                <w:kern w:val="0"/>
                <w:sz w:val="21"/>
                <w:szCs w:val="21"/>
                <w:u w:val="none"/>
                <w14:textFill>
                  <w14:solidFill>
                    <w14:schemeClr w14:val="tx1"/>
                  </w14:solidFill>
                </w14:textFill>
              </w:rPr>
              <w:t>油烟净化器</w:t>
            </w:r>
          </w:p>
        </w:tc>
        <w:tc>
          <w:tcPr>
            <w:tcW w:w="1180" w:type="dxa"/>
            <w:tcBorders>
              <w:top w:val="single" w:color="auto" w:sz="4" w:space="0"/>
              <w:bottom w:val="single" w:color="auto" w:sz="4" w:space="0"/>
            </w:tcBorders>
            <w:shd w:val="clear" w:color="auto" w:fill="auto"/>
            <w:noWrap w:val="0"/>
            <w:vAlign w:val="center"/>
          </w:tcPr>
          <w:p w14:paraId="613557D1">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废油脂</w:t>
            </w:r>
          </w:p>
        </w:tc>
        <w:tc>
          <w:tcPr>
            <w:tcW w:w="2737" w:type="dxa"/>
            <w:tcBorders>
              <w:top w:val="single" w:color="auto" w:sz="4" w:space="0"/>
              <w:bottom w:val="single" w:color="auto" w:sz="4" w:space="0"/>
            </w:tcBorders>
            <w:shd w:val="clear" w:color="auto" w:fill="auto"/>
            <w:noWrap w:val="0"/>
            <w:vAlign w:val="center"/>
          </w:tcPr>
          <w:p w14:paraId="4964102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使用专用垃圾桶收集，加盖密闭交由餐厨垃圾回收单位处置</w:t>
            </w:r>
          </w:p>
        </w:tc>
        <w:tc>
          <w:tcPr>
            <w:tcW w:w="1551" w:type="pct"/>
            <w:vMerge w:val="continue"/>
            <w:tcBorders>
              <w:right w:val="single" w:color="auto" w:sz="4" w:space="0"/>
            </w:tcBorders>
            <w:noWrap w:val="0"/>
            <w:vAlign w:val="center"/>
          </w:tcPr>
          <w:p w14:paraId="0E785A68">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2E97B8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09733D94">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bottom w:val="single" w:color="auto" w:sz="4" w:space="0"/>
            </w:tcBorders>
            <w:shd w:val="clear" w:color="auto" w:fill="auto"/>
            <w:noWrap w:val="0"/>
            <w:vAlign w:val="center"/>
          </w:tcPr>
          <w:p w14:paraId="03F018E2">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eastAsia" w:cs="Times New Roman"/>
                <w:bCs/>
                <w:color w:val="000000" w:themeColor="text1"/>
                <w:kern w:val="0"/>
                <w:sz w:val="21"/>
                <w:szCs w:val="21"/>
                <w:u w:val="none"/>
                <w:lang w:val="en-US" w:eastAsia="zh-CN"/>
                <w14:textFill>
                  <w14:solidFill>
                    <w14:schemeClr w14:val="tx1"/>
                  </w14:solidFill>
                </w14:textFill>
              </w:rPr>
              <w:t>餐具及设备清洗</w:t>
            </w:r>
          </w:p>
        </w:tc>
        <w:tc>
          <w:tcPr>
            <w:tcW w:w="1180" w:type="dxa"/>
            <w:tcBorders>
              <w:top w:val="single" w:color="auto" w:sz="4" w:space="0"/>
              <w:bottom w:val="single" w:color="auto" w:sz="4" w:space="0"/>
            </w:tcBorders>
            <w:shd w:val="clear" w:color="auto" w:fill="auto"/>
            <w:noWrap w:val="0"/>
            <w:vAlign w:val="center"/>
          </w:tcPr>
          <w:p w14:paraId="2D362EEE">
            <w:pPr>
              <w:jc w:val="center"/>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食品残渣</w:t>
            </w:r>
          </w:p>
        </w:tc>
        <w:tc>
          <w:tcPr>
            <w:tcW w:w="2737" w:type="dxa"/>
            <w:tcBorders>
              <w:top w:val="single" w:color="auto" w:sz="4" w:space="0"/>
              <w:bottom w:val="single" w:color="auto" w:sz="4" w:space="0"/>
            </w:tcBorders>
            <w:shd w:val="clear" w:color="auto" w:fill="auto"/>
            <w:noWrap w:val="0"/>
            <w:vAlign w:val="center"/>
          </w:tcPr>
          <w:p w14:paraId="4E220A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1551" w:type="pct"/>
            <w:vMerge w:val="continue"/>
            <w:tcBorders>
              <w:right w:val="single" w:color="auto" w:sz="4" w:space="0"/>
            </w:tcBorders>
            <w:noWrap w:val="0"/>
            <w:vAlign w:val="center"/>
          </w:tcPr>
          <w:p w14:paraId="32E760B9">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171449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13E96CDA">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bottom w:val="single" w:color="auto" w:sz="4" w:space="0"/>
            </w:tcBorders>
            <w:shd w:val="clear" w:color="auto" w:fill="auto"/>
            <w:noWrap w:val="0"/>
            <w:vAlign w:val="center"/>
          </w:tcPr>
          <w:p w14:paraId="7FEF68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原料拆包及产品包装</w:t>
            </w:r>
          </w:p>
        </w:tc>
        <w:tc>
          <w:tcPr>
            <w:tcW w:w="1180" w:type="dxa"/>
            <w:tcBorders>
              <w:top w:val="single" w:color="auto" w:sz="4" w:space="0"/>
              <w:bottom w:val="single" w:color="auto" w:sz="4" w:space="0"/>
            </w:tcBorders>
            <w:shd w:val="clear" w:color="auto" w:fill="auto"/>
            <w:noWrap w:val="0"/>
            <w:vAlign w:val="center"/>
          </w:tcPr>
          <w:p w14:paraId="5FC62A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14:textFill>
                  <w14:solidFill>
                    <w14:schemeClr w14:val="tx1"/>
                  </w14:solidFill>
                </w14:textFill>
              </w:rPr>
              <w:t>废包装材料</w:t>
            </w:r>
          </w:p>
        </w:tc>
        <w:tc>
          <w:tcPr>
            <w:tcW w:w="2737" w:type="dxa"/>
            <w:tcBorders>
              <w:top w:val="single" w:color="auto" w:sz="4" w:space="0"/>
              <w:bottom w:val="single" w:color="auto" w:sz="4" w:space="0"/>
            </w:tcBorders>
            <w:shd w:val="clear" w:color="auto" w:fill="auto"/>
            <w:noWrap w:val="0"/>
            <w:vAlign w:val="center"/>
          </w:tcPr>
          <w:p w14:paraId="5B7374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0"/>
                <w:sz w:val="21"/>
                <w:szCs w:val="21"/>
                <w:u w:val="none"/>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集中收集后定期外售综合利用</w:t>
            </w:r>
          </w:p>
        </w:tc>
        <w:tc>
          <w:tcPr>
            <w:tcW w:w="1551" w:type="pct"/>
            <w:vMerge w:val="continue"/>
            <w:tcBorders>
              <w:right w:val="single" w:color="auto" w:sz="4" w:space="0"/>
            </w:tcBorders>
            <w:noWrap w:val="0"/>
            <w:vAlign w:val="center"/>
          </w:tcPr>
          <w:p w14:paraId="507F5620">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5E763F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4BF11F7E">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bottom w:val="single" w:color="auto" w:sz="4" w:space="0"/>
            </w:tcBorders>
            <w:shd w:val="clear" w:color="auto" w:fill="auto"/>
            <w:noWrap w:val="0"/>
            <w:vAlign w:val="center"/>
          </w:tcPr>
          <w:p w14:paraId="59DFE58B">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180" w:type="dxa"/>
            <w:tcBorders>
              <w:top w:val="single" w:color="auto" w:sz="4" w:space="0"/>
              <w:bottom w:val="single" w:color="auto" w:sz="4" w:space="0"/>
            </w:tcBorders>
            <w:shd w:val="clear" w:color="auto" w:fill="auto"/>
            <w:noWrap w:val="0"/>
            <w:vAlign w:val="center"/>
          </w:tcPr>
          <w:p w14:paraId="05FFC486">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color w:val="000000" w:themeColor="text1"/>
                <w:szCs w:val="21"/>
                <w14:textFill>
                  <w14:solidFill>
                    <w14:schemeClr w14:val="tx1"/>
                  </w14:solidFill>
                </w14:textFill>
              </w:rPr>
              <w:t>废石英砂</w:t>
            </w:r>
          </w:p>
        </w:tc>
        <w:tc>
          <w:tcPr>
            <w:tcW w:w="2737" w:type="dxa"/>
            <w:tcBorders>
              <w:top w:val="single" w:color="auto" w:sz="4" w:space="0"/>
              <w:bottom w:val="single" w:color="auto" w:sz="4" w:space="0"/>
            </w:tcBorders>
            <w:shd w:val="clear" w:color="auto" w:fill="auto"/>
            <w:noWrap w:val="0"/>
            <w:vAlign w:val="center"/>
          </w:tcPr>
          <w:p w14:paraId="1F2674F4">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551" w:type="pct"/>
            <w:vMerge w:val="continue"/>
            <w:tcBorders>
              <w:right w:val="single" w:color="auto" w:sz="4" w:space="0"/>
            </w:tcBorders>
            <w:noWrap w:val="0"/>
            <w:vAlign w:val="center"/>
          </w:tcPr>
          <w:p w14:paraId="3736F03E">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5E2F01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74997339">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bottom w:val="single" w:color="auto" w:sz="4" w:space="0"/>
            </w:tcBorders>
            <w:shd w:val="clear" w:color="auto" w:fill="auto"/>
            <w:noWrap w:val="0"/>
            <w:vAlign w:val="center"/>
          </w:tcPr>
          <w:p w14:paraId="74683E4E">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180" w:type="dxa"/>
            <w:tcBorders>
              <w:top w:val="single" w:color="auto" w:sz="4" w:space="0"/>
              <w:bottom w:val="single" w:color="auto" w:sz="4" w:space="0"/>
            </w:tcBorders>
            <w:shd w:val="clear" w:color="auto" w:fill="auto"/>
            <w:noWrap w:val="0"/>
            <w:vAlign w:val="center"/>
          </w:tcPr>
          <w:p w14:paraId="37FE9FC9">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color w:val="000000" w:themeColor="text1"/>
                <w:szCs w:val="21"/>
                <w14:textFill>
                  <w14:solidFill>
                    <w14:schemeClr w14:val="tx1"/>
                  </w14:solidFill>
                </w14:textFill>
              </w:rPr>
              <w:t>废滤芯</w:t>
            </w:r>
          </w:p>
        </w:tc>
        <w:tc>
          <w:tcPr>
            <w:tcW w:w="2737" w:type="dxa"/>
            <w:tcBorders>
              <w:top w:val="single" w:color="auto" w:sz="4" w:space="0"/>
              <w:bottom w:val="single" w:color="auto" w:sz="4" w:space="0"/>
            </w:tcBorders>
            <w:shd w:val="clear" w:color="auto" w:fill="auto"/>
            <w:noWrap w:val="0"/>
            <w:vAlign w:val="center"/>
          </w:tcPr>
          <w:p w14:paraId="395CC208">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551" w:type="pct"/>
            <w:vMerge w:val="continue"/>
            <w:tcBorders>
              <w:right w:val="single" w:color="auto" w:sz="4" w:space="0"/>
            </w:tcBorders>
            <w:noWrap w:val="0"/>
            <w:vAlign w:val="center"/>
          </w:tcPr>
          <w:p w14:paraId="0491AC95">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40FA8A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71375620">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bottom w:val="single" w:color="auto" w:sz="4" w:space="0"/>
            </w:tcBorders>
            <w:shd w:val="clear" w:color="auto" w:fill="auto"/>
            <w:noWrap w:val="0"/>
            <w:vAlign w:val="center"/>
          </w:tcPr>
          <w:p w14:paraId="4EE4B4AA">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180" w:type="dxa"/>
            <w:tcBorders>
              <w:top w:val="single" w:color="auto" w:sz="4" w:space="0"/>
              <w:bottom w:val="single" w:color="auto" w:sz="4" w:space="0"/>
            </w:tcBorders>
            <w:shd w:val="clear" w:color="auto" w:fill="auto"/>
            <w:noWrap w:val="0"/>
            <w:vAlign w:val="center"/>
          </w:tcPr>
          <w:p w14:paraId="4E6F26FE">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color w:val="000000" w:themeColor="text1"/>
                <w:szCs w:val="21"/>
                <w14:textFill>
                  <w14:solidFill>
                    <w14:schemeClr w14:val="tx1"/>
                  </w14:solidFill>
                </w14:textFill>
              </w:rPr>
              <w:t>废活性炭</w:t>
            </w:r>
          </w:p>
        </w:tc>
        <w:tc>
          <w:tcPr>
            <w:tcW w:w="2737" w:type="dxa"/>
            <w:tcBorders>
              <w:top w:val="single" w:color="auto" w:sz="4" w:space="0"/>
              <w:bottom w:val="single" w:color="auto" w:sz="4" w:space="0"/>
            </w:tcBorders>
            <w:shd w:val="clear" w:color="auto" w:fill="auto"/>
            <w:noWrap w:val="0"/>
            <w:vAlign w:val="center"/>
          </w:tcPr>
          <w:p w14:paraId="08AEE84D">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551" w:type="pct"/>
            <w:vMerge w:val="continue"/>
            <w:tcBorders>
              <w:right w:val="single" w:color="auto" w:sz="4" w:space="0"/>
            </w:tcBorders>
            <w:noWrap w:val="0"/>
            <w:vAlign w:val="center"/>
          </w:tcPr>
          <w:p w14:paraId="0996BEC9">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4A0B4B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21976336">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bottom w:val="single" w:color="auto" w:sz="4" w:space="0"/>
            </w:tcBorders>
            <w:shd w:val="clear" w:color="auto" w:fill="auto"/>
            <w:noWrap w:val="0"/>
            <w:vAlign w:val="center"/>
          </w:tcPr>
          <w:p w14:paraId="34D732F4">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180" w:type="dxa"/>
            <w:tcBorders>
              <w:top w:val="single" w:color="auto" w:sz="4" w:space="0"/>
              <w:bottom w:val="single" w:color="auto" w:sz="4" w:space="0"/>
            </w:tcBorders>
            <w:shd w:val="clear" w:color="auto" w:fill="auto"/>
            <w:noWrap w:val="0"/>
            <w:vAlign w:val="center"/>
          </w:tcPr>
          <w:p w14:paraId="605F76C8">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废反渗透膜</w:t>
            </w:r>
          </w:p>
        </w:tc>
        <w:tc>
          <w:tcPr>
            <w:tcW w:w="2737" w:type="dxa"/>
            <w:tcBorders>
              <w:top w:val="single" w:color="auto" w:sz="4" w:space="0"/>
              <w:bottom w:val="single" w:color="auto" w:sz="4" w:space="0"/>
            </w:tcBorders>
            <w:shd w:val="clear" w:color="auto" w:fill="auto"/>
            <w:noWrap w:val="0"/>
            <w:vAlign w:val="center"/>
          </w:tcPr>
          <w:p w14:paraId="5D36116B">
            <w:pPr>
              <w:jc w:val="cente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551" w:type="pct"/>
            <w:vMerge w:val="continue"/>
            <w:tcBorders>
              <w:right w:val="single" w:color="auto" w:sz="4" w:space="0"/>
            </w:tcBorders>
            <w:noWrap w:val="0"/>
            <w:vAlign w:val="center"/>
          </w:tcPr>
          <w:p w14:paraId="4B75CED4">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26CBF6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vMerge w:val="continue"/>
            <w:tcBorders>
              <w:left w:val="single" w:color="auto" w:sz="4" w:space="0"/>
            </w:tcBorders>
            <w:noWrap w:val="0"/>
            <w:vAlign w:val="center"/>
          </w:tcPr>
          <w:p w14:paraId="798E90FB">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p>
        </w:tc>
        <w:tc>
          <w:tcPr>
            <w:tcW w:w="1632" w:type="dxa"/>
            <w:gridSpan w:val="2"/>
            <w:tcBorders>
              <w:top w:val="single" w:color="auto" w:sz="4" w:space="0"/>
            </w:tcBorders>
            <w:shd w:val="clear" w:color="auto" w:fill="auto"/>
            <w:noWrap w:val="0"/>
            <w:vAlign w:val="center"/>
          </w:tcPr>
          <w:p w14:paraId="4F68AC9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生产废水治理设施</w:t>
            </w:r>
          </w:p>
        </w:tc>
        <w:tc>
          <w:tcPr>
            <w:tcW w:w="1180" w:type="dxa"/>
            <w:tcBorders>
              <w:top w:val="single" w:color="auto" w:sz="4" w:space="0"/>
            </w:tcBorders>
            <w:shd w:val="clear" w:color="auto" w:fill="auto"/>
            <w:noWrap w:val="0"/>
            <w:vAlign w:val="center"/>
          </w:tcPr>
          <w:p w14:paraId="325CFA7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污水处理污泥</w:t>
            </w:r>
          </w:p>
        </w:tc>
        <w:tc>
          <w:tcPr>
            <w:tcW w:w="2737" w:type="dxa"/>
            <w:tcBorders>
              <w:top w:val="single" w:color="auto" w:sz="4" w:space="0"/>
            </w:tcBorders>
            <w:shd w:val="clear" w:color="auto" w:fill="auto"/>
            <w:noWrap w:val="0"/>
            <w:vAlign w:val="center"/>
          </w:tcPr>
          <w:p w14:paraId="0C8660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0"/>
                <w:sz w:val="21"/>
                <w:szCs w:val="21"/>
                <w:u w:val="none"/>
                <w:lang w:val="en-US" w:eastAsia="zh-CN"/>
                <w14:textFill>
                  <w14:solidFill>
                    <w14:schemeClr w14:val="tx1"/>
                  </w14:solidFill>
                </w14:textFill>
              </w:rPr>
              <w:t>定期收集后收集后交由环卫部门处理</w:t>
            </w:r>
          </w:p>
        </w:tc>
        <w:tc>
          <w:tcPr>
            <w:tcW w:w="1551" w:type="pct"/>
            <w:vMerge w:val="continue"/>
            <w:tcBorders>
              <w:right w:val="single" w:color="auto" w:sz="4" w:space="0"/>
            </w:tcBorders>
            <w:noWrap w:val="0"/>
            <w:vAlign w:val="center"/>
          </w:tcPr>
          <w:p w14:paraId="68D472A5">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p>
        </w:tc>
      </w:tr>
      <w:tr w14:paraId="56F6A4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tcBorders>
              <w:left w:val="single" w:color="auto" w:sz="4" w:space="0"/>
            </w:tcBorders>
            <w:noWrap w:val="0"/>
            <w:vAlign w:val="center"/>
          </w:tcPr>
          <w:p w14:paraId="26EB7827">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危险废物</w:t>
            </w:r>
          </w:p>
        </w:tc>
        <w:tc>
          <w:tcPr>
            <w:tcW w:w="823" w:type="pct"/>
            <w:gridSpan w:val="2"/>
            <w:shd w:val="clear" w:color="auto" w:fill="auto"/>
            <w:noWrap w:val="0"/>
            <w:vAlign w:val="center"/>
          </w:tcPr>
          <w:p w14:paraId="42F41494">
            <w:pPr>
              <w:keepNext w:val="0"/>
              <w:keepLines w:val="0"/>
              <w:pageBreakBefore w:val="0"/>
              <w:kinsoku/>
              <w:wordWrap/>
              <w:overflowPunct/>
              <w:topLinePunct w:val="0"/>
              <w:autoSpaceDE/>
              <w:autoSpaceDN/>
              <w:bidi w:val="0"/>
              <w:snapToGrid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设备维护过程</w:t>
            </w:r>
          </w:p>
        </w:tc>
        <w:tc>
          <w:tcPr>
            <w:tcW w:w="595" w:type="pct"/>
            <w:shd w:val="clear" w:color="auto" w:fill="auto"/>
            <w:noWrap w:val="0"/>
            <w:vAlign w:val="center"/>
          </w:tcPr>
          <w:p w14:paraId="76B2B000">
            <w:pPr>
              <w:keepNext w:val="0"/>
              <w:keepLines w:val="0"/>
              <w:pageBreakBefore w:val="0"/>
              <w:tabs>
                <w:tab w:val="left" w:pos="5250"/>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废润滑油、废润滑油桶</w:t>
            </w:r>
          </w:p>
        </w:tc>
        <w:tc>
          <w:tcPr>
            <w:tcW w:w="1380" w:type="pct"/>
            <w:shd w:val="clear" w:color="auto" w:fill="auto"/>
            <w:noWrap w:val="0"/>
            <w:vAlign w:val="center"/>
          </w:tcPr>
          <w:p w14:paraId="4B7E3AA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分类集中收集于危废暂存间（面积</w:t>
            </w:r>
            <w:r>
              <w:rPr>
                <w:rFonts w:hint="eastAsia" w:ascii="Times New Roman" w:hAnsi="Times New Roman" w:eastAsia="宋体" w:cs="Times New Roman"/>
                <w:color w:val="000000" w:themeColor="text1"/>
                <w:sz w:val="21"/>
                <w:szCs w:val="21"/>
                <w:u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u w:val="none"/>
                <w14:textFill>
                  <w14:solidFill>
                    <w14:schemeClr w14:val="tx1"/>
                  </w14:solidFill>
                </w14:textFill>
              </w:rPr>
              <w:t>0m</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u w:val="none"/>
                <w14:textFill>
                  <w14:solidFill>
                    <w14:schemeClr w14:val="tx1"/>
                  </w14:solidFill>
                </w14:textFill>
              </w:rPr>
              <w:t>，采取“六防”措施），定期交由有危废处理资质单位进行处置</w:t>
            </w:r>
          </w:p>
        </w:tc>
        <w:tc>
          <w:tcPr>
            <w:tcW w:w="1551" w:type="pct"/>
            <w:noWrap w:val="0"/>
            <w:vAlign w:val="center"/>
          </w:tcPr>
          <w:p w14:paraId="79513383">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《危险废物贮存污染控制标准》（GB18597-2023）</w:t>
            </w:r>
          </w:p>
        </w:tc>
      </w:tr>
      <w:tr w14:paraId="0FE25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55FD86E6">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土壤及地下水污染防治措施</w:t>
            </w:r>
          </w:p>
        </w:tc>
        <w:tc>
          <w:tcPr>
            <w:tcW w:w="4350" w:type="pct"/>
            <w:gridSpan w:val="5"/>
            <w:noWrap w:val="0"/>
            <w:vAlign w:val="center"/>
          </w:tcPr>
          <w:p w14:paraId="77E519AD">
            <w:pPr>
              <w:keepNext w:val="0"/>
              <w:keepLines w:val="0"/>
              <w:pageBreakBefore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color w:val="000000" w:themeColor="text1"/>
                <w:sz w:val="21"/>
                <w:szCs w:val="21"/>
                <w:u w:val="none"/>
                <w14:textFill>
                  <w14:solidFill>
                    <w14:schemeClr w14:val="tx1"/>
                  </w14:solidFill>
                </w14:textFill>
              </w:rPr>
              <w:t>设置分区防渗，重点防渗区为：危废暂存间。一般防渗区为：生产车间、化粪池、生产废水治理设施地面等地。简单防渗区为：办公区。分区防渗要求：①重点防渗区重点防渗区等效黏土防渗层Mb≥6.0m，且渗透系数 K≤1.0×10</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u w:val="none"/>
                <w14:textFill>
                  <w14:solidFill>
                    <w14:schemeClr w14:val="tx1"/>
                  </w14:solidFill>
                </w14:textFill>
              </w:rPr>
              <w:t>cm/s。②一般防渗区一般防渗区的防渗技术要求：等效黏土防渗层Mb≥1.5m，K≤1.0×10</w:t>
            </w:r>
            <w:r>
              <w:rPr>
                <w:rFonts w:hint="default" w:ascii="Times New Roman" w:hAnsi="Times New Roman" w:eastAsia="宋体" w:cs="Times New Roman"/>
                <w:color w:val="000000" w:themeColor="text1"/>
                <w:sz w:val="21"/>
                <w:szCs w:val="21"/>
                <w:u w:val="none"/>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u w:val="none"/>
                <w14:textFill>
                  <w14:solidFill>
                    <w14:schemeClr w14:val="tx1"/>
                  </w14:solidFill>
                </w14:textFill>
              </w:rPr>
              <w:t>cm/s。③简单防渗区简单防渗区采用混凝土硬化即可，厚度不低于2cm。</w:t>
            </w:r>
          </w:p>
        </w:tc>
      </w:tr>
      <w:tr w14:paraId="5F167D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7D128273">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生态保护措施</w:t>
            </w:r>
          </w:p>
        </w:tc>
        <w:tc>
          <w:tcPr>
            <w:tcW w:w="4350" w:type="pct"/>
            <w:gridSpan w:val="5"/>
            <w:noWrap w:val="0"/>
            <w:vAlign w:val="center"/>
          </w:tcPr>
          <w:p w14:paraId="79EBC8E6">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w:t>
            </w:r>
          </w:p>
        </w:tc>
      </w:tr>
      <w:tr w14:paraId="5D0A12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273BA7AE">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commentRangeStart w:id="110"/>
            <w:r>
              <w:rPr>
                <w:rFonts w:hint="default" w:ascii="Times New Roman" w:hAnsi="Times New Roman" w:eastAsia="宋体" w:cs="Times New Roman"/>
                <w:bCs/>
                <w:color w:val="000000" w:themeColor="text1"/>
                <w:sz w:val="21"/>
                <w:szCs w:val="21"/>
                <w:u w:val="none"/>
                <w14:textFill>
                  <w14:solidFill>
                    <w14:schemeClr w14:val="tx1"/>
                  </w14:solidFill>
                </w14:textFill>
              </w:rPr>
              <w:t>环境风险</w:t>
            </w:r>
          </w:p>
          <w:p w14:paraId="2F454884">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防范措施</w:t>
            </w:r>
            <w:commentRangeEnd w:id="110"/>
            <w:r>
              <w:commentReference w:id="110"/>
            </w:r>
          </w:p>
        </w:tc>
        <w:tc>
          <w:tcPr>
            <w:tcW w:w="4350" w:type="pct"/>
            <w:gridSpan w:val="5"/>
            <w:noWrap w:val="0"/>
            <w:vAlign w:val="center"/>
          </w:tcPr>
          <w:p w14:paraId="1CF610E4">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（1）液体物料泄露风险防范措施</w:t>
            </w:r>
          </w:p>
          <w:p w14:paraId="3B8C7B8B">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color w:val="000000" w:themeColor="text1"/>
                <w:sz w:val="21"/>
                <w:szCs w:val="21"/>
                <w:u w:val="none"/>
                <w14:textFill>
                  <w14:solidFill>
                    <w14:schemeClr w14:val="tx1"/>
                  </w14:solidFill>
                </w14:textFill>
              </w:rPr>
            </w:pPr>
            <w:r>
              <w:rPr>
                <w:color w:val="000000" w:themeColor="text1"/>
                <w:sz w:val="21"/>
                <w:szCs w:val="21"/>
                <w:u w:val="none"/>
                <w14:textFill>
                  <w14:solidFill>
                    <w14:schemeClr w14:val="tx1"/>
                  </w14:solidFill>
                </w14:textFill>
              </w:rPr>
              <w:t>液体物料</w:t>
            </w:r>
            <w:r>
              <w:rPr>
                <w:rFonts w:hint="eastAsia"/>
                <w:color w:val="000000" w:themeColor="text1"/>
                <w:sz w:val="21"/>
                <w:szCs w:val="21"/>
                <w:u w:val="none"/>
                <w14:textFill>
                  <w14:solidFill>
                    <w14:schemeClr w14:val="tx1"/>
                  </w14:solidFill>
                </w14:textFill>
              </w:rPr>
              <w:t>（润滑油）</w:t>
            </w:r>
            <w:r>
              <w:rPr>
                <w:rFonts w:hint="eastAsia" w:ascii="宋体" w:hAnsi="宋体"/>
                <w:color w:val="000000" w:themeColor="text1"/>
                <w:sz w:val="21"/>
                <w:szCs w:val="21"/>
                <w:u w:val="none"/>
                <w14:textFill>
                  <w14:solidFill>
                    <w14:schemeClr w14:val="tx1"/>
                  </w14:solidFill>
                </w14:textFill>
              </w:rPr>
              <w:t>加强贮存使用管理，及时检查包装容器完好使用情况，严防出现泄漏事故。</w:t>
            </w:r>
            <w:r>
              <w:rPr>
                <w:rFonts w:hint="eastAsia"/>
                <w:color w:val="000000" w:themeColor="text1"/>
                <w:sz w:val="21"/>
                <w:szCs w:val="21"/>
                <w:u w:val="none"/>
                <w14:textFill>
                  <w14:solidFill>
                    <w14:schemeClr w14:val="tx1"/>
                  </w14:solidFill>
                </w14:textFill>
              </w:rPr>
              <w:t>润滑油储存区四周设置围堰（容积2m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r>
              <w:rPr>
                <w:rFonts w:hint="eastAsia"/>
                <w:color w:val="000000" w:themeColor="text1"/>
                <w:sz w:val="21"/>
                <w:szCs w:val="21"/>
                <w:u w:val="none"/>
                <w:lang w:val="en-US" w:eastAsia="zh-CN"/>
                <w14:textFill>
                  <w14:solidFill>
                    <w14:schemeClr w14:val="tx1"/>
                  </w14:solidFill>
                </w14:textFill>
              </w:rPr>
              <w:t>危废暂存间设置危废事故池</w:t>
            </w:r>
            <w:r>
              <w:rPr>
                <w:rFonts w:hint="eastAsia"/>
                <w:color w:val="000000" w:themeColor="text1"/>
                <w:sz w:val="21"/>
                <w:szCs w:val="21"/>
                <w:u w:val="none"/>
                <w14:textFill>
                  <w14:solidFill>
                    <w14:schemeClr w14:val="tx1"/>
                  </w14:solidFill>
                </w14:textFill>
              </w:rPr>
              <w:t>（容积</w:t>
            </w:r>
            <w:r>
              <w:rPr>
                <w:rFonts w:hint="eastAsia"/>
                <w:color w:val="000000" w:themeColor="text1"/>
                <w:sz w:val="21"/>
                <w:szCs w:val="21"/>
                <w:u w:val="none"/>
                <w:lang w:val="en-US" w:eastAsia="zh-CN"/>
                <w14:textFill>
                  <w14:solidFill>
                    <w14:schemeClr w14:val="tx1"/>
                  </w14:solidFill>
                </w14:textFill>
              </w:rPr>
              <w:t>1.0</w:t>
            </w:r>
            <w:r>
              <w:rPr>
                <w:rFonts w:hint="eastAsia"/>
                <w:color w:val="000000" w:themeColor="text1"/>
                <w:sz w:val="21"/>
                <w:szCs w:val="21"/>
                <w:u w:val="none"/>
                <w14:textFill>
                  <w14:solidFill>
                    <w14:schemeClr w14:val="tx1"/>
                  </w14:solidFill>
                </w14:textFill>
              </w:rPr>
              <w:t>m</w:t>
            </w:r>
            <w:r>
              <w:rPr>
                <w:rFonts w:hint="eastAsia"/>
                <w:color w:val="000000" w:themeColor="text1"/>
                <w:sz w:val="21"/>
                <w:szCs w:val="21"/>
                <w:u w:val="none"/>
                <w:vertAlign w:val="superscript"/>
                <w14:textFill>
                  <w14:solidFill>
                    <w14:schemeClr w14:val="tx1"/>
                  </w14:solidFill>
                </w14:textFill>
              </w:rPr>
              <w:t>3</w:t>
            </w:r>
            <w:r>
              <w:rPr>
                <w:rFonts w:hint="eastAsia"/>
                <w:color w:val="000000" w:themeColor="text1"/>
                <w:sz w:val="21"/>
                <w:szCs w:val="21"/>
                <w:u w:val="none"/>
                <w14:textFill>
                  <w14:solidFill>
                    <w14:schemeClr w14:val="tx1"/>
                  </w14:solidFill>
                </w14:textFill>
              </w:rPr>
              <w:t>）</w:t>
            </w:r>
            <w:r>
              <w:rPr>
                <w:rFonts w:hint="eastAsia"/>
                <w:color w:val="000000" w:themeColor="text1"/>
                <w:sz w:val="21"/>
                <w:szCs w:val="21"/>
                <w:u w:val="none"/>
                <w:lang w:eastAsia="zh-CN"/>
                <w14:textFill>
                  <w14:solidFill>
                    <w14:schemeClr w14:val="tx1"/>
                  </w14:solidFill>
                </w14:textFill>
              </w:rPr>
              <w:t>，</w:t>
            </w:r>
            <w:r>
              <w:rPr>
                <w:rFonts w:hint="eastAsia"/>
                <w:color w:val="000000" w:themeColor="text1"/>
                <w:sz w:val="21"/>
                <w:szCs w:val="21"/>
                <w:u w:val="none"/>
                <w14:textFill>
                  <w14:solidFill>
                    <w14:schemeClr w14:val="tx1"/>
                  </w14:solidFill>
                </w14:textFill>
              </w:rPr>
              <w:t>泄露物料及时收集后作为危废处理，危废间设置“六防”措施</w:t>
            </w:r>
            <w:r>
              <w:rPr>
                <w:rFonts w:hint="eastAsia" w:ascii="宋体" w:hAnsi="宋体"/>
                <w:color w:val="000000" w:themeColor="text1"/>
                <w:sz w:val="21"/>
                <w:szCs w:val="21"/>
                <w:u w:val="none"/>
                <w14:textFill>
                  <w14:solidFill>
                    <w14:schemeClr w14:val="tx1"/>
                  </w14:solidFill>
                </w14:textFill>
              </w:rPr>
              <w:t>。一旦发生泄漏情况，应迅速撤离污染区人员至上风处，设置一定隔离距离，严格限制无关人员出入；建议应急处理人员戴自给正压式呼吸器，穿防护服，从上风处进入现场，及时清理现场泄漏物料，防止外排污染水环境。</w:t>
            </w:r>
          </w:p>
          <w:p w14:paraId="611B0871">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ascii="宋体" w:hAnsi="宋体"/>
                <w:color w:val="000000"/>
                <w:sz w:val="21"/>
                <w:szCs w:val="21"/>
              </w:rPr>
              <w:t>（</w:t>
            </w:r>
            <w:r>
              <w:rPr>
                <w:rFonts w:hint="eastAsia"/>
                <w:color w:val="000000"/>
                <w:sz w:val="21"/>
                <w:szCs w:val="21"/>
              </w:rPr>
              <w:t>2</w:t>
            </w:r>
            <w:r>
              <w:rPr>
                <w:rFonts w:ascii="宋体" w:hAnsi="宋体"/>
                <w:color w:val="000000"/>
                <w:sz w:val="21"/>
                <w:szCs w:val="21"/>
              </w:rPr>
              <w:t>）天然气使用过程中风险防范措施</w:t>
            </w:r>
          </w:p>
          <w:p w14:paraId="508044F3">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①</w:t>
            </w:r>
            <w:r>
              <w:rPr>
                <w:rFonts w:ascii="宋体" w:hAnsi="宋体"/>
                <w:color w:val="000000"/>
                <w:sz w:val="21"/>
                <w:szCs w:val="21"/>
              </w:rPr>
              <w:t>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1A449E8B">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②</w:t>
            </w:r>
            <w:r>
              <w:rPr>
                <w:rFonts w:ascii="宋体" w:hAnsi="宋体"/>
                <w:color w:val="000000"/>
                <w:sz w:val="21"/>
                <w:szCs w:val="21"/>
              </w:rPr>
              <w:t>加强天然气管道系统的管理与维修，使整个操作系统处于密闭化，严格防止跑、冒、滴、漏现象发生。对易发生泄漏的部位实行定期的巡检制度，及时发现问题，尽快解决。</w:t>
            </w:r>
          </w:p>
          <w:p w14:paraId="5528ACC0">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③</w:t>
            </w:r>
            <w:r>
              <w:rPr>
                <w:rFonts w:ascii="宋体" w:hAnsi="宋体"/>
                <w:color w:val="000000"/>
                <w:sz w:val="21"/>
                <w:szCs w:val="21"/>
              </w:rPr>
              <w:t>严格执行防火、防爆、防雷击、防毒害等各项要求。</w:t>
            </w:r>
          </w:p>
          <w:p w14:paraId="62F2C141">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④</w:t>
            </w:r>
            <w:r>
              <w:rPr>
                <w:rFonts w:ascii="宋体" w:hAnsi="宋体"/>
                <w:color w:val="000000"/>
                <w:sz w:val="21"/>
                <w:szCs w:val="21"/>
              </w:rPr>
              <w:t>建立健全安全、环境管理体系及高效的安全生产机构，一旦发生事故，要做到快速、高效、安全处置。</w:t>
            </w:r>
          </w:p>
          <w:p w14:paraId="76BB5BF3">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⑤</w:t>
            </w:r>
            <w:r>
              <w:rPr>
                <w:rFonts w:ascii="宋体" w:hAnsi="宋体"/>
                <w:color w:val="000000"/>
                <w:sz w:val="21"/>
                <w:szCs w:val="21"/>
              </w:rPr>
              <w:t>厂内的电气设备严格按照防爆区划分配置。</w:t>
            </w:r>
          </w:p>
          <w:p w14:paraId="4B796E73">
            <w:pPr>
              <w:keepNext w:val="0"/>
              <w:keepLines w:val="0"/>
              <w:pageBreakBefore w:val="0"/>
              <w:kinsoku/>
              <w:wordWrap/>
              <w:overflowPunct/>
              <w:topLinePunct w:val="0"/>
              <w:autoSpaceDE/>
              <w:autoSpaceDN/>
              <w:bidi w:val="0"/>
              <w:adjustRightInd w:val="0"/>
              <w:snapToGrid w:val="0"/>
              <w:spacing w:line="240" w:lineRule="auto"/>
              <w:ind w:firstLine="0" w:firstLineChars="0"/>
              <w:textAlignment w:val="auto"/>
              <w:rPr>
                <w:color w:val="000000"/>
                <w:sz w:val="21"/>
                <w:szCs w:val="21"/>
              </w:rPr>
            </w:pPr>
            <w:r>
              <w:rPr>
                <w:rFonts w:hint="eastAsia" w:ascii="宋体" w:hAnsi="宋体"/>
                <w:color w:val="000000"/>
                <w:sz w:val="21"/>
                <w:szCs w:val="21"/>
              </w:rPr>
              <w:t>⑥</w:t>
            </w:r>
            <w:r>
              <w:rPr>
                <w:rFonts w:ascii="宋体" w:hAnsi="宋体"/>
                <w:color w:val="000000"/>
                <w:sz w:val="21"/>
                <w:szCs w:val="21"/>
              </w:rPr>
              <w:t>车间严禁存放火种和易燃易爆物，远离热源。设置</w:t>
            </w:r>
            <w:r>
              <w:rPr>
                <w:color w:val="000000"/>
                <w:sz w:val="21"/>
                <w:szCs w:val="21"/>
              </w:rPr>
              <w:t>“</w:t>
            </w:r>
            <w:r>
              <w:rPr>
                <w:rFonts w:ascii="宋体" w:hAnsi="宋体"/>
                <w:color w:val="000000"/>
                <w:sz w:val="21"/>
                <w:szCs w:val="21"/>
              </w:rPr>
              <w:t>危险、禁止烟火</w:t>
            </w:r>
            <w:r>
              <w:rPr>
                <w:color w:val="000000"/>
                <w:sz w:val="21"/>
                <w:szCs w:val="21"/>
              </w:rPr>
              <w:t>”</w:t>
            </w:r>
            <w:r>
              <w:rPr>
                <w:rFonts w:ascii="宋体" w:hAnsi="宋体"/>
                <w:color w:val="000000"/>
                <w:sz w:val="21"/>
                <w:szCs w:val="21"/>
              </w:rPr>
              <w:t>等标志。备有一定数量灭火器材并保持有效状态以及防毒面具等气防设备。</w:t>
            </w:r>
          </w:p>
          <w:p w14:paraId="0D64B704">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both"/>
              <w:textAlignment w:val="auto"/>
              <w:rPr>
                <w:rFonts w:ascii="宋体" w:hAnsi="宋体"/>
                <w:color w:val="000000"/>
                <w:sz w:val="21"/>
                <w:szCs w:val="21"/>
              </w:rPr>
            </w:pPr>
            <w:r>
              <w:rPr>
                <w:rFonts w:hint="eastAsia" w:ascii="宋体" w:hAnsi="宋体"/>
                <w:color w:val="000000"/>
                <w:sz w:val="21"/>
                <w:szCs w:val="21"/>
              </w:rPr>
              <w:t>⑦</w:t>
            </w:r>
            <w:r>
              <w:rPr>
                <w:rFonts w:ascii="宋体" w:hAnsi="宋体"/>
                <w:color w:val="000000"/>
                <w:sz w:val="21"/>
                <w:szCs w:val="21"/>
              </w:rPr>
              <w:t>对于天然气可能发生泄漏的生产场所或管网设立自动监测、报警、紧急切断及紧急停车系统。</w:t>
            </w:r>
          </w:p>
          <w:p w14:paraId="2BB008A8">
            <w:pPr>
              <w:keepNext w:val="0"/>
              <w:keepLines w:val="0"/>
              <w:pageBreakBefore w:val="0"/>
              <w:tabs>
                <w:tab w:val="left" w:pos="1081"/>
              </w:tabs>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（3）火灾事故风险防范措施</w:t>
            </w:r>
          </w:p>
          <w:p w14:paraId="13A53190">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①在工程设计中，应严格按照国家有关规范和标准进行平面布置、建筑设计。生产区与办公室之间根据消防部门意见保持足够的安全距离。原料及产品库区设计按规范要求进行；平面布置上建筑物间的距离必须符合有关防火设计规范，各区可利用道路进行功能分区，必须满足交通和消防两方面要求。</w:t>
            </w:r>
          </w:p>
          <w:p w14:paraId="4346E457">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②建立健全安全、环境管理体系及高效的安全生产机构，一旦发生事故，要做到快速、高效、安全处置。</w:t>
            </w:r>
          </w:p>
          <w:p w14:paraId="5B1F8A04">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③厂内的电气设备严格按照防爆区划分配置。</w:t>
            </w:r>
          </w:p>
          <w:p w14:paraId="0CF86144">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④如突发火灾，应立即采取急救措施，并及时向当地环保局等有关部门报告。一旦发生火灾事故，迅速按灭火作战预案紧急处理。</w:t>
            </w:r>
          </w:p>
          <w:p w14:paraId="7DB81573">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Cs/>
                <w:color w:val="auto"/>
                <w:sz w:val="21"/>
                <w:szCs w:val="21"/>
                <w:u w:val="none"/>
              </w:rPr>
            </w:pPr>
            <w:r>
              <w:rPr>
                <w:rFonts w:hint="default" w:ascii="Times New Roman" w:hAnsi="Times New Roman" w:eastAsia="宋体" w:cs="Times New Roman"/>
                <w:color w:val="auto"/>
                <w:sz w:val="21"/>
                <w:szCs w:val="21"/>
                <w:u w:val="none"/>
              </w:rPr>
              <w:t>⑤</w:t>
            </w:r>
            <w:r>
              <w:rPr>
                <w:rFonts w:hint="default" w:ascii="Times New Roman" w:hAnsi="Times New Roman" w:eastAsia="宋体" w:cs="Times New Roman"/>
                <w:bCs/>
                <w:color w:val="auto"/>
                <w:sz w:val="21"/>
                <w:szCs w:val="21"/>
                <w:u w:val="none"/>
              </w:rPr>
              <w:t>一旦发生事故，建设单位应及时采用正确方法处理所发生事故，应急处理人员穿戴全身专用防护服，佩戴氧气呼吸器对事故进行应急处理，尽量减轻对人员的影响，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5FCA684E">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（4）污水处理</w:t>
            </w:r>
            <w:r>
              <w:rPr>
                <w:rFonts w:hint="eastAsia" w:cs="Times New Roman"/>
                <w:color w:val="auto"/>
                <w:kern w:val="0"/>
                <w:sz w:val="21"/>
                <w:szCs w:val="21"/>
                <w:u w:val="none"/>
                <w:lang w:val="en-US" w:eastAsia="zh-CN"/>
              </w:rPr>
              <w:t>设施</w:t>
            </w:r>
            <w:r>
              <w:rPr>
                <w:rFonts w:hint="default" w:ascii="Times New Roman" w:hAnsi="Times New Roman" w:eastAsia="宋体" w:cs="Times New Roman"/>
                <w:color w:val="auto"/>
                <w:kern w:val="0"/>
                <w:sz w:val="21"/>
                <w:szCs w:val="21"/>
                <w:u w:val="none"/>
              </w:rPr>
              <w:t>事故风险防范措施</w:t>
            </w:r>
          </w:p>
          <w:p w14:paraId="129407A2">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在运行过程中，若发生事故（停电等）、检修、超负荷溢流以及操作不但等，将导致污水处理设施不能正常运行，可能造成废水外排，从而对地表水体造成影响。为防范废水事故排放，评价提出以下防范措施：</w:t>
            </w:r>
          </w:p>
          <w:p w14:paraId="64BFC6DD">
            <w:pPr>
              <w:keepNext w:val="0"/>
              <w:keepLines w:val="0"/>
              <w:pageBreakBefore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rPr>
            </w:pPr>
            <w:r>
              <w:rPr>
                <w:rFonts w:hint="default" w:ascii="Times New Roman" w:hAnsi="Times New Roman" w:eastAsia="宋体" w:cs="Times New Roman"/>
                <w:color w:val="auto"/>
                <w:kern w:val="0"/>
                <w:sz w:val="21"/>
                <w:szCs w:val="21"/>
                <w:u w:val="none"/>
              </w:rPr>
              <w:t>①易发生故障的设备（泵类）配套备用设备，并对备用设备进行定期检查。</w:t>
            </w:r>
          </w:p>
          <w:p w14:paraId="68ECF63C">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rPr>
              <w:t>②</w:t>
            </w:r>
            <w:r>
              <w:rPr>
                <w:rFonts w:hint="default" w:ascii="Times New Roman" w:hAnsi="Times New Roman" w:eastAsia="宋体" w:cs="Times New Roman"/>
                <w:color w:val="auto"/>
                <w:kern w:val="0"/>
                <w:sz w:val="21"/>
                <w:szCs w:val="21"/>
                <w:u w:val="none"/>
                <w:lang w:bidi="ar"/>
              </w:rPr>
              <w:t xml:space="preserve">参考《水体污染防控紧急措施设计导则》，事故储存设施总有效容积计算公式为： </w:t>
            </w:r>
          </w:p>
          <w:p w14:paraId="3BA97C27">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V总=（V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1</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3</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max</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4</w:t>
            </w:r>
            <w:r>
              <w:rPr>
                <w:rFonts w:hint="default" w:ascii="Times New Roman" w:hAnsi="Times New Roman" w:eastAsia="宋体" w:cs="Times New Roman"/>
                <w:color w:val="000000" w:themeColor="text1"/>
                <w:kern w:val="0"/>
                <w:sz w:val="21"/>
                <w:szCs w:val="21"/>
                <w:u w:val="none"/>
                <w:lang w:bidi="ar"/>
                <w14:textFill>
                  <w14:solidFill>
                    <w14:schemeClr w14:val="tx1"/>
                  </w14:solidFill>
                </w14:textFill>
              </w:rPr>
              <w:t>+V</w:t>
            </w:r>
            <w:r>
              <w:rPr>
                <w:rFonts w:hint="default" w:ascii="Times New Roman" w:hAnsi="Times New Roman" w:eastAsia="宋体" w:cs="Times New Roman"/>
                <w:color w:val="000000" w:themeColor="text1"/>
                <w:kern w:val="0"/>
                <w:sz w:val="21"/>
                <w:szCs w:val="21"/>
                <w:u w:val="none"/>
                <w:vertAlign w:val="subscript"/>
                <w:lang w:bidi="ar"/>
                <w14:textFill>
                  <w14:solidFill>
                    <w14:schemeClr w14:val="tx1"/>
                  </w14:solidFill>
                </w14:textFill>
              </w:rPr>
              <w:t>5</w:t>
            </w:r>
          </w:p>
          <w:p w14:paraId="22966802">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式中：V</w:t>
            </w:r>
            <w:r>
              <w:rPr>
                <w:rFonts w:hint="default" w:ascii="Times New Roman" w:hAnsi="Times New Roman" w:eastAsia="宋体" w:cs="Times New Roman"/>
                <w:color w:val="auto"/>
                <w:kern w:val="0"/>
                <w:sz w:val="21"/>
                <w:szCs w:val="21"/>
                <w:u w:val="none"/>
                <w:vertAlign w:val="subscript"/>
                <w:lang w:bidi="ar"/>
              </w:rPr>
              <w:t>1</w:t>
            </w:r>
            <w:r>
              <w:rPr>
                <w:rFonts w:hint="default" w:ascii="Times New Roman" w:hAnsi="Times New Roman" w:eastAsia="宋体" w:cs="Times New Roman"/>
                <w:color w:val="auto"/>
                <w:kern w:val="0"/>
                <w:sz w:val="21"/>
                <w:szCs w:val="21"/>
                <w:u w:val="none"/>
                <w:lang w:bidi="ar"/>
              </w:rPr>
              <w:t>—收集系统范围内发生事故的一个罐组或一套装置的物料量m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（储存相同物料的罐组按一个最大储罐计，装置物料量按存留最大物料量的一台反应器或中间储罐计）；本项目液体物料最大物料储存量为</w:t>
            </w:r>
            <w:r>
              <w:rPr>
                <w:rFonts w:hint="eastAsia" w:cs="Times New Roman"/>
                <w:color w:val="auto"/>
                <w:kern w:val="0"/>
                <w:sz w:val="21"/>
                <w:szCs w:val="21"/>
                <w:u w:val="none"/>
                <w:lang w:val="en-US" w:eastAsia="zh-CN" w:bidi="ar"/>
              </w:rPr>
              <w:t>0.5</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7FBBC97E">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w:t>
            </w:r>
            <w:r>
              <w:rPr>
                <w:rFonts w:hint="default" w:ascii="Times New Roman" w:hAnsi="Times New Roman" w:eastAsia="宋体" w:cs="Times New Roman"/>
                <w:color w:val="auto"/>
                <w:kern w:val="0"/>
                <w:sz w:val="21"/>
                <w:szCs w:val="21"/>
                <w:u w:val="none"/>
                <w:vertAlign w:val="subscript"/>
                <w:lang w:bidi="ar"/>
              </w:rPr>
              <w:t>2</w:t>
            </w:r>
            <w:r>
              <w:rPr>
                <w:rFonts w:hint="default" w:ascii="Times New Roman" w:hAnsi="Times New Roman" w:eastAsia="宋体" w:cs="Times New Roman"/>
                <w:color w:val="auto"/>
                <w:kern w:val="0"/>
                <w:sz w:val="21"/>
                <w:szCs w:val="21"/>
                <w:u w:val="none"/>
                <w:lang w:bidi="ar"/>
              </w:rPr>
              <w:t>—发生事故的储罐或装置的消防水量，m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4F734799">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V2=∑Q</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t</w:t>
            </w:r>
            <w:r>
              <w:rPr>
                <w:rFonts w:hint="default" w:ascii="Times New Roman" w:hAnsi="Times New Roman" w:eastAsia="宋体" w:cs="Times New Roman"/>
                <w:color w:val="auto"/>
                <w:kern w:val="0"/>
                <w:sz w:val="21"/>
                <w:szCs w:val="21"/>
                <w:u w:val="none"/>
                <w:vertAlign w:val="subscript"/>
                <w:lang w:bidi="ar"/>
              </w:rPr>
              <w:t>消</w:t>
            </w:r>
          </w:p>
          <w:p w14:paraId="0E709FE0">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Q</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—发生事故时的储罐或装置同时使用的消防设施给水流量，m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/h；综合考虑灭火喷淋消防给水量，取10L/s；</w:t>
            </w:r>
          </w:p>
          <w:p w14:paraId="2FB6EE25">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t</w:t>
            </w:r>
            <w:r>
              <w:rPr>
                <w:rFonts w:hint="default" w:ascii="Times New Roman" w:hAnsi="Times New Roman" w:eastAsia="宋体" w:cs="Times New Roman"/>
                <w:color w:val="auto"/>
                <w:kern w:val="0"/>
                <w:sz w:val="21"/>
                <w:szCs w:val="21"/>
                <w:u w:val="none"/>
                <w:vertAlign w:val="subscript"/>
                <w:lang w:bidi="ar"/>
              </w:rPr>
              <w:t>消</w:t>
            </w:r>
            <w:r>
              <w:rPr>
                <w:rFonts w:hint="default" w:ascii="Times New Roman" w:hAnsi="Times New Roman" w:eastAsia="宋体" w:cs="Times New Roman"/>
                <w:color w:val="auto"/>
                <w:kern w:val="0"/>
                <w:sz w:val="21"/>
                <w:szCs w:val="21"/>
                <w:u w:val="none"/>
                <w:lang w:bidi="ar"/>
              </w:rPr>
              <w:t>—消防设施对应的设计消防历时（h），取2.0h；</w:t>
            </w:r>
          </w:p>
          <w:p w14:paraId="3C0B66D2">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经计算，消防用水量为72m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753002E7">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V3—发生事故时可以转输到其他设施的物料量，m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；不考虑，V3为0。</w:t>
            </w:r>
          </w:p>
          <w:p w14:paraId="615DC323">
            <w:pPr>
              <w:keepNext w:val="0"/>
              <w:keepLines w:val="0"/>
              <w:pageBreakBefore w:val="0"/>
              <w:widowControl/>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V4—发生事故时仍必须进入该收集系统的生产废水量，m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；按项目一个周期事故停车计最大一次事故污水量。根据《化学工业污水处理与回用设计规范》，“污水处理场宜设非正常情况下超过进水指标的事故污水储存池，储存池容积可按8h~12h平均时流量计。”</w:t>
            </w:r>
            <w:r>
              <w:rPr>
                <w:color w:val="000000"/>
                <w:kern w:val="0"/>
                <w:sz w:val="21"/>
                <w:szCs w:val="21"/>
                <w:u w:val="none"/>
                <w:lang w:bidi="ar"/>
              </w:rPr>
              <w:t>项目</w:t>
            </w:r>
            <w:r>
              <w:rPr>
                <w:rFonts w:hint="eastAsia"/>
                <w:color w:val="000000"/>
                <w:kern w:val="0"/>
                <w:sz w:val="21"/>
                <w:szCs w:val="21"/>
                <w:u w:val="none"/>
                <w:lang w:bidi="ar"/>
              </w:rPr>
              <w:t>生产工序</w:t>
            </w:r>
            <w:r>
              <w:rPr>
                <w:color w:val="000000"/>
                <w:kern w:val="0"/>
                <w:sz w:val="21"/>
                <w:szCs w:val="21"/>
                <w:u w:val="none"/>
                <w:lang w:bidi="ar"/>
              </w:rPr>
              <w:t>为</w:t>
            </w:r>
            <w:r>
              <w:rPr>
                <w:rFonts w:hint="eastAsia"/>
                <w:color w:val="000000"/>
                <w:kern w:val="0"/>
                <w:sz w:val="21"/>
                <w:szCs w:val="21"/>
                <w:u w:val="none"/>
                <w:lang w:val="en-US" w:eastAsia="zh-CN" w:bidi="ar"/>
              </w:rPr>
              <w:t>非</w:t>
            </w:r>
            <w:r>
              <w:rPr>
                <w:color w:val="000000"/>
                <w:kern w:val="0"/>
                <w:sz w:val="21"/>
                <w:szCs w:val="21"/>
                <w:u w:val="none"/>
                <w:lang w:bidi="ar"/>
              </w:rPr>
              <w:t>连续操作（按</w:t>
            </w:r>
            <w:r>
              <w:rPr>
                <w:rFonts w:hint="eastAsia"/>
                <w:color w:val="000000"/>
                <w:kern w:val="0"/>
                <w:sz w:val="21"/>
                <w:szCs w:val="21"/>
                <w:u w:val="none"/>
                <w:lang w:bidi="ar"/>
              </w:rPr>
              <w:t>8</w:t>
            </w:r>
            <w:r>
              <w:rPr>
                <w:color w:val="000000"/>
                <w:kern w:val="0"/>
                <w:sz w:val="21"/>
                <w:szCs w:val="21"/>
                <w:u w:val="none"/>
                <w:lang w:bidi="ar"/>
              </w:rPr>
              <w:t>h计）。</w:t>
            </w:r>
            <w:r>
              <w:rPr>
                <w:rFonts w:hint="eastAsia"/>
                <w:color w:val="000000"/>
                <w:kern w:val="0"/>
                <w:sz w:val="21"/>
                <w:szCs w:val="21"/>
                <w:u w:val="none"/>
                <w:lang w:val="en-US" w:eastAsia="zh-CN" w:bidi="ar"/>
              </w:rPr>
              <w:t>本项目生产废水产生量为</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eastAsia"/>
                <w:color w:val="000000"/>
                <w:kern w:val="0"/>
                <w:sz w:val="21"/>
                <w:szCs w:val="21"/>
                <w:u w:val="none"/>
                <w:lang w:val="en-US" w:eastAsia="zh-CN" w:bidi="ar"/>
              </w:rPr>
              <w:t>m</w:t>
            </w:r>
            <w:r>
              <w:rPr>
                <w:rFonts w:hint="eastAsia"/>
                <w:color w:val="000000"/>
                <w:kern w:val="0"/>
                <w:sz w:val="21"/>
                <w:szCs w:val="21"/>
                <w:u w:val="none"/>
                <w:vertAlign w:val="superscript"/>
                <w:lang w:val="en-US" w:eastAsia="zh-CN" w:bidi="ar"/>
              </w:rPr>
              <w:t>3</w:t>
            </w:r>
            <w:r>
              <w:rPr>
                <w:rFonts w:hint="eastAsia"/>
                <w:color w:val="000000"/>
                <w:kern w:val="0"/>
                <w:sz w:val="21"/>
                <w:szCs w:val="21"/>
                <w:u w:val="none"/>
                <w:lang w:val="en-US" w:eastAsia="zh-CN" w:bidi="ar"/>
              </w:rPr>
              <w:t>/d，单次最大排水量为</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eastAsia"/>
                <w:color w:val="000000"/>
                <w:kern w:val="0"/>
                <w:sz w:val="21"/>
                <w:szCs w:val="21"/>
                <w:u w:val="none"/>
                <w:lang w:val="en-US" w:eastAsia="zh-CN" w:bidi="ar"/>
              </w:rPr>
              <w:t>m</w:t>
            </w:r>
            <w:r>
              <w:rPr>
                <w:rFonts w:hint="eastAsia"/>
                <w:color w:val="000000"/>
                <w:kern w:val="0"/>
                <w:sz w:val="21"/>
                <w:szCs w:val="21"/>
                <w:u w:val="none"/>
                <w:vertAlign w:val="superscript"/>
                <w:lang w:val="en-US" w:eastAsia="zh-CN" w:bidi="ar"/>
              </w:rPr>
              <w:t>3</w:t>
            </w:r>
            <w:r>
              <w:rPr>
                <w:rFonts w:hint="eastAsia"/>
                <w:color w:val="000000"/>
                <w:kern w:val="0"/>
                <w:sz w:val="21"/>
                <w:szCs w:val="21"/>
                <w:u w:val="none"/>
                <w:lang w:val="en-US" w:eastAsia="zh-CN" w:bidi="ar"/>
              </w:rPr>
              <w:t>，V4</w:t>
            </w:r>
            <w:r>
              <w:rPr>
                <w:color w:val="000000"/>
                <w:kern w:val="0"/>
                <w:sz w:val="21"/>
                <w:szCs w:val="21"/>
                <w:u w:val="none"/>
                <w:lang w:bidi="ar"/>
              </w:rPr>
              <w:t>取</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color w:val="000000"/>
                <w:kern w:val="0"/>
                <w:sz w:val="21"/>
                <w:szCs w:val="21"/>
                <w:u w:val="none"/>
                <w:lang w:bidi="ar"/>
              </w:rPr>
              <w:t>m</w:t>
            </w:r>
            <w:r>
              <w:rPr>
                <w:color w:val="000000"/>
                <w:kern w:val="0"/>
                <w:sz w:val="21"/>
                <w:szCs w:val="21"/>
                <w:u w:val="none"/>
                <w:vertAlign w:val="superscript"/>
                <w:lang w:bidi="ar"/>
              </w:rPr>
              <w:t>3</w:t>
            </w:r>
            <w:r>
              <w:rPr>
                <w:color w:val="000000"/>
                <w:kern w:val="0"/>
                <w:sz w:val="21"/>
                <w:szCs w:val="21"/>
                <w:u w:val="none"/>
                <w:lang w:bidi="ar"/>
              </w:rPr>
              <w:t>；</w:t>
            </w:r>
          </w:p>
          <w:p w14:paraId="2E2BCCF7">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V5—发生事故时可能进入该收集系统的降雨量，m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2F5742C1">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项目所在地设计暴雨强度：</w:t>
            </w:r>
          </w:p>
          <w:p w14:paraId="3D62BF15">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drawing>
                <wp:anchor distT="0" distB="0" distL="114300" distR="114300" simplePos="0" relativeHeight="251665408" behindDoc="0" locked="0" layoutInCell="1" allowOverlap="1">
                  <wp:simplePos x="0" y="0"/>
                  <wp:positionH relativeFrom="column">
                    <wp:posOffset>1848485</wp:posOffset>
                  </wp:positionH>
                  <wp:positionV relativeFrom="paragraph">
                    <wp:posOffset>41910</wp:posOffset>
                  </wp:positionV>
                  <wp:extent cx="1491615" cy="391795"/>
                  <wp:effectExtent l="0" t="0" r="13335" b="7620"/>
                  <wp:wrapTopAndBottom/>
                  <wp:docPr id="1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
                          <pic:cNvPicPr>
                            <a:picLocks noChangeAspect="1"/>
                          </pic:cNvPicPr>
                        </pic:nvPicPr>
                        <pic:blipFill>
                          <a:blip r:embed="rId28"/>
                          <a:stretch>
                            <a:fillRect/>
                          </a:stretch>
                        </pic:blipFill>
                        <pic:spPr>
                          <a:xfrm>
                            <a:off x="0" y="0"/>
                            <a:ext cx="1491615" cy="391795"/>
                          </a:xfrm>
                          <a:prstGeom prst="rect">
                            <a:avLst/>
                          </a:prstGeom>
                          <a:noFill/>
                          <a:ln>
                            <a:noFill/>
                          </a:ln>
                        </pic:spPr>
                      </pic:pic>
                    </a:graphicData>
                  </a:graphic>
                </wp:anchor>
              </w:drawing>
            </w:r>
            <w:r>
              <w:rPr>
                <w:rFonts w:hint="default" w:ascii="Times New Roman" w:hAnsi="Times New Roman" w:eastAsia="宋体" w:cs="Times New Roman"/>
                <w:color w:val="auto"/>
                <w:kern w:val="0"/>
                <w:sz w:val="21"/>
                <w:szCs w:val="21"/>
                <w:u w:val="none"/>
                <w:lang w:bidi="ar"/>
              </w:rPr>
              <w:t>q—设计暴雨强度（L/s•公顷）；</w:t>
            </w:r>
          </w:p>
          <w:p w14:paraId="77606F7E">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P—重现期（年），取2年；</w:t>
            </w:r>
          </w:p>
          <w:p w14:paraId="5A355863">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t—降雨历时，取15min；</w:t>
            </w:r>
          </w:p>
          <w:p w14:paraId="1D5B6A3F">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经计算，暴雨强度为237.32L/s•公顷；结合项目平面布置图，项目初期雨水收集面积约为</w:t>
            </w:r>
            <w:r>
              <w:rPr>
                <w:rFonts w:hint="eastAsia" w:cs="Times New Roman"/>
                <w:color w:val="auto"/>
                <w:kern w:val="0"/>
                <w:sz w:val="21"/>
                <w:szCs w:val="21"/>
                <w:u w:val="none"/>
                <w:lang w:val="en-US" w:eastAsia="zh-CN" w:bidi="ar"/>
              </w:rPr>
              <w:t>17206.22</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2</w:t>
            </w:r>
            <w:r>
              <w:rPr>
                <w:rFonts w:hint="default" w:ascii="Times New Roman" w:hAnsi="Times New Roman" w:eastAsia="宋体" w:cs="Times New Roman"/>
                <w:color w:val="auto"/>
                <w:kern w:val="0"/>
                <w:sz w:val="21"/>
                <w:szCs w:val="21"/>
                <w:u w:val="none"/>
                <w:lang w:bidi="ar"/>
              </w:rPr>
              <w:t>，径流系数取0.9，则V5为</w:t>
            </w:r>
            <w:r>
              <w:rPr>
                <w:rFonts w:hint="eastAsia" w:cs="Times New Roman"/>
                <w:color w:val="auto"/>
                <w:kern w:val="0"/>
                <w:sz w:val="21"/>
                <w:szCs w:val="21"/>
                <w:u w:val="none"/>
                <w:lang w:val="en-US" w:eastAsia="zh-CN" w:bidi="ar"/>
              </w:rPr>
              <w:t>367.504</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w:t>
            </w:r>
          </w:p>
          <w:p w14:paraId="7B5BDD66">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kern w:val="0"/>
                <w:sz w:val="21"/>
                <w:szCs w:val="21"/>
                <w:u w:val="none"/>
                <w:lang w:bidi="ar"/>
              </w:rPr>
              <w:t>所需事故池容积为：V总=（</w:t>
            </w:r>
            <w:r>
              <w:rPr>
                <w:rFonts w:hint="eastAsia" w:cs="Times New Roman"/>
                <w:color w:val="auto"/>
                <w:kern w:val="0"/>
                <w:sz w:val="21"/>
                <w:szCs w:val="21"/>
                <w:u w:val="none"/>
                <w:lang w:val="en-US" w:eastAsia="zh-CN" w:bidi="ar"/>
              </w:rPr>
              <w:t>0.5</w:t>
            </w:r>
            <w:r>
              <w:rPr>
                <w:rFonts w:hint="default" w:ascii="Times New Roman" w:hAnsi="Times New Roman" w:eastAsia="宋体" w:cs="Times New Roman"/>
                <w:color w:val="auto"/>
                <w:kern w:val="0"/>
                <w:sz w:val="21"/>
                <w:szCs w:val="21"/>
                <w:u w:val="none"/>
                <w:lang w:bidi="ar"/>
              </w:rPr>
              <w:t>+72-0）+</w:t>
            </w:r>
            <w:r>
              <w:rPr>
                <w:rFonts w:hint="eastAsia" w:ascii="Times" w:hAnsi="Times" w:eastAsia="Times" w:cs="Times"/>
                <w:color w:val="000000" w:themeColor="text1"/>
                <w:kern w:val="0"/>
                <w:sz w:val="21"/>
                <w:szCs w:val="21"/>
                <w:lang w:val="en-US" w:eastAsia="zh-CN" w:bidi="ar"/>
                <w14:textFill>
                  <w14:solidFill>
                    <w14:schemeClr w14:val="tx1"/>
                  </w14:solidFill>
                </w14:textFill>
              </w:rPr>
              <w:t>26.319</w:t>
            </w:r>
            <w:r>
              <w:rPr>
                <w:rFonts w:hint="default" w:ascii="Times New Roman" w:hAnsi="Times New Roman" w:eastAsia="宋体" w:cs="Times New Roman"/>
                <w:color w:val="auto"/>
                <w:kern w:val="0"/>
                <w:sz w:val="21"/>
                <w:szCs w:val="21"/>
                <w:u w:val="none"/>
                <w:lang w:bidi="ar"/>
              </w:rPr>
              <w:t>+</w:t>
            </w:r>
            <w:r>
              <w:rPr>
                <w:rFonts w:hint="eastAsia" w:cs="Times New Roman"/>
                <w:color w:val="auto"/>
                <w:kern w:val="0"/>
                <w:sz w:val="21"/>
                <w:szCs w:val="21"/>
                <w:u w:val="none"/>
                <w:lang w:val="en-US" w:eastAsia="zh-CN" w:bidi="ar"/>
              </w:rPr>
              <w:t>67.28</w:t>
            </w:r>
            <w:r>
              <w:rPr>
                <w:rFonts w:hint="default" w:ascii="Times New Roman" w:hAnsi="Times New Roman" w:eastAsia="宋体" w:cs="Times New Roman"/>
                <w:color w:val="auto"/>
                <w:kern w:val="0"/>
                <w:sz w:val="21"/>
                <w:szCs w:val="21"/>
                <w:u w:val="none"/>
                <w:lang w:bidi="ar"/>
              </w:rPr>
              <w:t>=</w:t>
            </w:r>
            <w:r>
              <w:rPr>
                <w:rFonts w:hint="eastAsia" w:cs="Times New Roman"/>
                <w:color w:val="auto"/>
                <w:kern w:val="0"/>
                <w:sz w:val="21"/>
                <w:szCs w:val="21"/>
                <w:u w:val="none"/>
                <w:lang w:val="en-US" w:eastAsia="zh-CN" w:bidi="ar"/>
              </w:rPr>
              <w:t>66.323</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。项目设计</w:t>
            </w:r>
            <w:r>
              <w:rPr>
                <w:rFonts w:hint="default" w:ascii="Times New Roman" w:hAnsi="Times New Roman" w:eastAsia="宋体" w:cs="Times New Roman"/>
                <w:color w:val="auto"/>
                <w:kern w:val="0"/>
                <w:sz w:val="21"/>
                <w:szCs w:val="21"/>
                <w:u w:val="none"/>
                <w:lang w:val="en-US" w:eastAsia="zh-CN" w:bidi="ar"/>
              </w:rPr>
              <w:t>1</w:t>
            </w:r>
            <w:r>
              <w:rPr>
                <w:rFonts w:hint="default" w:ascii="Times New Roman" w:hAnsi="Times New Roman" w:eastAsia="宋体" w:cs="Times New Roman"/>
                <w:color w:val="auto"/>
                <w:kern w:val="0"/>
                <w:sz w:val="21"/>
                <w:szCs w:val="21"/>
                <w:u w:val="none"/>
                <w:lang w:bidi="ar"/>
              </w:rPr>
              <w:t>座</w:t>
            </w:r>
            <w:r>
              <w:rPr>
                <w:rFonts w:hint="eastAsia" w:cs="Times New Roman"/>
                <w:color w:val="auto"/>
                <w:kern w:val="0"/>
                <w:sz w:val="21"/>
                <w:szCs w:val="21"/>
                <w:u w:val="none"/>
                <w:lang w:val="en-US" w:eastAsia="zh-CN" w:bidi="ar"/>
              </w:rPr>
              <w:t>50</w:t>
            </w:r>
            <w:r>
              <w:rPr>
                <w:rFonts w:hint="default" w:ascii="Times New Roman" w:hAnsi="Times New Roman" w:eastAsia="宋体" w:cs="Times New Roman"/>
                <w:color w:val="auto"/>
                <w:kern w:val="0"/>
                <w:sz w:val="21"/>
                <w:szCs w:val="21"/>
                <w:u w:val="none"/>
                <w:lang w:val="en-US" w:eastAsia="zh-CN" w:bidi="ar"/>
              </w:rPr>
              <w:t>0</w:t>
            </w:r>
            <w:r>
              <w:rPr>
                <w:rFonts w:hint="default" w:ascii="Times New Roman" w:hAnsi="Times New Roman" w:eastAsia="宋体" w:cs="Times New Roman"/>
                <w:color w:val="auto"/>
                <w:kern w:val="0"/>
                <w:sz w:val="21"/>
                <w:szCs w:val="21"/>
                <w:u w:val="none"/>
                <w:lang w:bidi="ar"/>
              </w:rPr>
              <w:t>m</w:t>
            </w:r>
            <w:r>
              <w:rPr>
                <w:rFonts w:hint="default" w:ascii="Times New Roman" w:hAnsi="Times New Roman" w:eastAsia="宋体" w:cs="Times New Roman"/>
                <w:color w:val="auto"/>
                <w:kern w:val="0"/>
                <w:sz w:val="21"/>
                <w:szCs w:val="21"/>
                <w:u w:val="none"/>
                <w:vertAlign w:val="superscript"/>
                <w:lang w:bidi="ar"/>
              </w:rPr>
              <w:t>3</w:t>
            </w:r>
            <w:r>
              <w:rPr>
                <w:rFonts w:hint="default" w:ascii="Times New Roman" w:hAnsi="Times New Roman" w:eastAsia="宋体" w:cs="Times New Roman"/>
                <w:color w:val="auto"/>
                <w:kern w:val="0"/>
                <w:sz w:val="21"/>
                <w:szCs w:val="21"/>
                <w:u w:val="none"/>
                <w:lang w:bidi="ar"/>
              </w:rPr>
              <w:t>事故水池，事故池建设应按照《危险废物贮存污染控制标准》（GB18597-2023）中的相关要求做好防渗措施；生产车间和污水站应设置收集槽，以保证事故发生时，废水能够收集到事故池内。</w:t>
            </w:r>
          </w:p>
          <w:p w14:paraId="67A92992">
            <w:pPr>
              <w:keepNext w:val="0"/>
              <w:keepLines w:val="0"/>
              <w:pageBreakBefore w:val="0"/>
              <w:widowControl/>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auto"/>
                <w:kern w:val="0"/>
                <w:sz w:val="21"/>
                <w:szCs w:val="21"/>
                <w:u w:val="none"/>
                <w:lang w:bidi="ar"/>
              </w:rPr>
            </w:pPr>
            <w:r>
              <w:rPr>
                <w:rFonts w:hint="default" w:ascii="Times New Roman" w:hAnsi="Times New Roman" w:eastAsia="宋体" w:cs="Times New Roman"/>
                <w:color w:val="auto"/>
                <w:kern w:val="0"/>
                <w:sz w:val="21"/>
                <w:szCs w:val="21"/>
                <w:u w:val="none"/>
                <w:lang w:bidi="ar"/>
              </w:rPr>
              <w:t>当事故发生启用消防水系统时，应打开消防水导排系统，将消防废水引入事故池，将被污染的消防废水控制在厂区内。待事故结束后检测其水质，并咨询有关专家意见，将废水在厂区内收集处理，处理达标后再排入镇平县第二污水处理厂处理。</w:t>
            </w:r>
          </w:p>
          <w:p w14:paraId="146F424D">
            <w:pPr>
              <w:keepNext w:val="0"/>
              <w:keepLines w:val="0"/>
              <w:pageBreakBefore w:val="0"/>
              <w:kinsoku/>
              <w:wordWrap/>
              <w:overflowPunct/>
              <w:topLinePunct w:val="0"/>
              <w:bidi w:val="0"/>
              <w:adjustRightInd w:val="0"/>
              <w:snapToGrid w:val="0"/>
              <w:spacing w:line="240" w:lineRule="auto"/>
              <w:jc w:val="both"/>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color w:val="auto"/>
                <w:kern w:val="0"/>
                <w:sz w:val="21"/>
                <w:szCs w:val="21"/>
                <w:u w:val="none"/>
              </w:rPr>
              <w:t>③污水处理设施制定严格的操作规范和管理制度，工作人员上岗前进行职业技能培训。</w:t>
            </w:r>
          </w:p>
        </w:tc>
      </w:tr>
      <w:tr w14:paraId="5E4D3F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pct"/>
            <w:noWrap w:val="0"/>
            <w:vAlign w:val="center"/>
          </w:tcPr>
          <w:p w14:paraId="21AE1D4C">
            <w:pPr>
              <w:keepNext w:val="0"/>
              <w:keepLines w:val="0"/>
              <w:pageBreakBefore w:val="0"/>
              <w:tabs>
                <w:tab w:val="left" w:pos="5250"/>
              </w:tabs>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其他环境</w:t>
            </w:r>
          </w:p>
          <w:p w14:paraId="76B09BAE">
            <w:pPr>
              <w:keepNext w:val="0"/>
              <w:keepLines w:val="0"/>
              <w:pageBreakBefore w:val="0"/>
              <w:kinsoku/>
              <w:wordWrap/>
              <w:overflowPunct/>
              <w:topLinePunct w:val="0"/>
              <w:bidi w:val="0"/>
              <w:snapToGrid w:val="0"/>
              <w:spacing w:line="240" w:lineRule="auto"/>
              <w:jc w:val="center"/>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default" w:ascii="Times New Roman" w:hAnsi="Times New Roman" w:eastAsia="宋体" w:cs="Times New Roman"/>
                <w:bCs/>
                <w:color w:val="000000" w:themeColor="text1"/>
                <w:sz w:val="21"/>
                <w:szCs w:val="21"/>
                <w:u w:val="none"/>
                <w14:textFill>
                  <w14:solidFill>
                    <w14:schemeClr w14:val="tx1"/>
                  </w14:solidFill>
                </w14:textFill>
              </w:rPr>
              <w:t>管理要求</w:t>
            </w:r>
          </w:p>
        </w:tc>
        <w:tc>
          <w:tcPr>
            <w:tcW w:w="4350" w:type="pct"/>
            <w:gridSpan w:val="5"/>
            <w:noWrap w:val="0"/>
            <w:vAlign w:val="center"/>
          </w:tcPr>
          <w:p w14:paraId="38012B96">
            <w:pPr>
              <w:keepNext w:val="0"/>
              <w:keepLines w:val="0"/>
              <w:pageBreakBefore w:val="0"/>
              <w:tabs>
                <w:tab w:val="left" w:pos="5250"/>
              </w:tabs>
              <w:kinsoku/>
              <w:wordWrap/>
              <w:overflowPunct/>
              <w:topLinePunct w:val="0"/>
              <w:bidi w:val="0"/>
              <w:adjustRightInd w:val="0"/>
              <w:snapToGrid w:val="0"/>
              <w:spacing w:line="240" w:lineRule="auto"/>
              <w:textAlignment w:val="auto"/>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建立完善的环境管理制度，设立专门环境管理机构，建立完善的环境监测制度。</w:t>
            </w:r>
          </w:p>
          <w:p w14:paraId="75EB9B85">
            <w:pPr>
              <w:keepNext w:val="0"/>
              <w:keepLines w:val="0"/>
              <w:pageBreakBefore w:val="0"/>
              <w:tabs>
                <w:tab w:val="left" w:pos="5250"/>
              </w:tabs>
              <w:kinsoku/>
              <w:wordWrap/>
              <w:overflowPunct/>
              <w:topLinePunct w:val="0"/>
              <w:bidi w:val="0"/>
              <w:adjustRightInd w:val="0"/>
              <w:snapToGrid w:val="0"/>
              <w:spacing w:line="240" w:lineRule="auto"/>
              <w:textAlignment w:val="auto"/>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按照环境监测计划对项目废水、厂界噪声等定期进行监测。</w:t>
            </w:r>
          </w:p>
          <w:p w14:paraId="0B4B2E42">
            <w:pPr>
              <w:keepNext w:val="0"/>
              <w:keepLines w:val="0"/>
              <w:pageBreakBefore w:val="0"/>
              <w:tabs>
                <w:tab w:val="left" w:pos="5250"/>
              </w:tabs>
              <w:kinsoku/>
              <w:wordWrap/>
              <w:overflowPunct/>
              <w:topLinePunct w:val="0"/>
              <w:bidi w:val="0"/>
              <w:adjustRightInd w:val="0"/>
              <w:snapToGrid w:val="0"/>
              <w:spacing w:line="240" w:lineRule="auto"/>
              <w:textAlignment w:val="auto"/>
              <w:rPr>
                <w:rFonts w:hint="default" w:ascii="Times New Roman" w:hAnsi="Times New Roman" w:eastAsia="宋体" w:cs="Times New Roman"/>
                <w:color w:val="000000" w:themeColor="text1"/>
                <w:kern w:val="21"/>
                <w:sz w:val="21"/>
                <w:szCs w:val="21"/>
                <w:u w:val="none"/>
                <w14:textFill>
                  <w14:solidFill>
                    <w14:schemeClr w14:val="tx1"/>
                  </w14:solidFill>
                </w14:textFill>
              </w:rPr>
            </w:pPr>
            <w:r>
              <w:rPr>
                <w:rFonts w:hint="default" w:ascii="Times New Roman" w:hAnsi="Times New Roman" w:eastAsia="宋体" w:cs="Times New Roman"/>
                <w:color w:val="000000" w:themeColor="text1"/>
                <w:kern w:val="21"/>
                <w:sz w:val="21"/>
                <w:szCs w:val="21"/>
                <w:u w:val="none"/>
                <w14:textFill>
                  <w14:solidFill>
                    <w14:schemeClr w14:val="tx1"/>
                  </w14:solidFill>
                </w14:textFill>
              </w:rPr>
              <w:t>按照《固定源废气监测技术规范》（HJ/T 397-2007）要求设置采样口。</w:t>
            </w:r>
          </w:p>
          <w:p w14:paraId="1CA90C1C">
            <w:pPr>
              <w:keepNext w:val="0"/>
              <w:keepLines w:val="0"/>
              <w:pageBreakBefore w:val="0"/>
              <w:tabs>
                <w:tab w:val="left" w:pos="5250"/>
              </w:tabs>
              <w:kinsoku/>
              <w:wordWrap/>
              <w:overflowPunct/>
              <w:topLinePunct w:val="0"/>
              <w:bidi w:val="0"/>
              <w:adjustRightInd w:val="0"/>
              <w:snapToGrid w:val="0"/>
              <w:spacing w:line="240" w:lineRule="auto"/>
              <w:textAlignment w:val="auto"/>
              <w:rPr>
                <w:rFonts w:hint="default" w:ascii="Times New Roman" w:hAnsi="Times New Roman" w:eastAsia="宋体" w:cs="Times New Roman"/>
                <w:bCs/>
                <w:color w:val="000000" w:themeColor="text1"/>
                <w:sz w:val="21"/>
                <w:szCs w:val="21"/>
                <w:u w:val="none"/>
                <w14:textFill>
                  <w14:solidFill>
                    <w14:schemeClr w14:val="tx1"/>
                  </w14:solidFill>
                </w14:textFill>
              </w:rPr>
            </w:pPr>
            <w:r>
              <w:rPr>
                <w:rFonts w:hint="eastAsia" w:ascii="Times New Roman" w:hAnsi="Times New Roman" w:eastAsia="宋体" w:cs="Times New Roman"/>
                <w:color w:val="000000" w:themeColor="text1"/>
                <w:kern w:val="21"/>
                <w:sz w:val="21"/>
                <w:szCs w:val="21"/>
                <w:u w:val="none"/>
                <w:lang w:val="en-US" w:eastAsia="zh-CN"/>
                <w14:textFill>
                  <w14:solidFill>
                    <w14:schemeClr w14:val="tx1"/>
                  </w14:solidFill>
                </w14:textFill>
              </w:rPr>
              <w:t>废水</w:t>
            </w:r>
            <w:r>
              <w:rPr>
                <w:rFonts w:hint="default" w:ascii="Times New Roman" w:hAnsi="Times New Roman" w:eastAsia="宋体" w:cs="Times New Roman"/>
                <w:color w:val="000000" w:themeColor="text1"/>
                <w:kern w:val="21"/>
                <w:sz w:val="21"/>
                <w:szCs w:val="21"/>
                <w:u w:val="none"/>
                <w14:textFill>
                  <w14:solidFill>
                    <w14:schemeClr w14:val="tx1"/>
                  </w14:solidFill>
                </w14:textFill>
              </w:rPr>
              <w:t>排放口、一般工业固废、危险废物贮存设施按照《环境保护图形标志 排放口（源）》（GB15562.1-1995）、《环境保护图形标志 固体废物贮存（处置）场》（GB15562.2-1995）及2023年修改单、《危险废物识别标志设置技术规范》（HJ1276-2022）等标准规定设置警示标志。</w:t>
            </w:r>
          </w:p>
        </w:tc>
      </w:tr>
    </w:tbl>
    <w:p w14:paraId="3FC7C5D4">
      <w:pPr>
        <w:pStyle w:val="4"/>
        <w:rPr>
          <w:rFonts w:ascii="Times New Roman" w:hAnsi="Times New Roman"/>
          <w:snapToGrid w:val="0"/>
          <w:color w:val="auto"/>
          <w:u w:val="none"/>
        </w:rPr>
        <w:sectPr>
          <w:pgSz w:w="11906" w:h="16838"/>
          <w:pgMar w:top="1440" w:right="1083" w:bottom="1440" w:left="1083" w:header="851" w:footer="992" w:gutter="0"/>
          <w:pgNumType w:fmt="decimal"/>
          <w:cols w:space="0" w:num="1"/>
          <w:rtlGutter w:val="0"/>
          <w:docGrid w:type="lines" w:linePitch="312" w:charSpace="0"/>
        </w:sectPr>
      </w:pPr>
    </w:p>
    <w:p w14:paraId="6B75334D">
      <w:pPr>
        <w:pStyle w:val="3"/>
        <w:bidi w:val="0"/>
        <w:jc w:val="center"/>
        <w:rPr>
          <w:rStyle w:val="46"/>
          <w:b/>
          <w:bCs/>
        </w:rPr>
      </w:pPr>
      <w:r>
        <w:rPr>
          <w:rStyle w:val="46"/>
          <w:b/>
          <w:bCs/>
        </w:rPr>
        <w:t>六、结论</w:t>
      </w:r>
    </w:p>
    <w:tbl>
      <w:tblPr>
        <w:tblStyle w:val="2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956"/>
      </w:tblGrid>
      <w:tr w14:paraId="5E601C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noWrap w:val="0"/>
            <w:vAlign w:val="center"/>
          </w:tcPr>
          <w:p w14:paraId="6F04A597">
            <w:pPr>
              <w:spacing w:line="360" w:lineRule="auto"/>
              <w:ind w:firstLine="480" w:firstLineChars="200"/>
              <w:rPr>
                <w:color w:val="000000"/>
                <w:sz w:val="24"/>
              </w:rPr>
            </w:pPr>
            <w:r>
              <w:rPr>
                <w:rFonts w:hint="eastAsia"/>
                <w:color w:val="000000"/>
                <w:sz w:val="24"/>
              </w:rPr>
              <w:t>综上分析，</w:t>
            </w:r>
            <w:r>
              <w:rPr>
                <w:rFonts w:hint="eastAsia"/>
                <w:color w:val="000000"/>
                <w:sz w:val="24"/>
                <w:lang w:val="en-US" w:eastAsia="zh-CN"/>
              </w:rPr>
              <w:t>上口香智能化中央厨房项目</w:t>
            </w:r>
            <w:r>
              <w:rPr>
                <w:rFonts w:hint="eastAsia"/>
                <w:color w:val="000000"/>
                <w:sz w:val="24"/>
              </w:rPr>
              <w:t>的建设符合国家产业政策，项目符合规划、选址合理。在严格执行有关环保法规和“三同时”制度，认真落实本环评提出的环保措施和对策的基础上能够实现污染物达标排放和合理处置，实现社会效益、经济效益和环境效益的协调发展，从环保角度分析，该项目建设是可行的。</w:t>
            </w:r>
          </w:p>
        </w:tc>
      </w:tr>
    </w:tbl>
    <w:p w14:paraId="666A105B">
      <w:pPr>
        <w:rPr>
          <w:color w:val="000000"/>
        </w:rPr>
        <w:sectPr>
          <w:pgSz w:w="11906" w:h="16838"/>
          <w:pgMar w:top="1440" w:right="1083" w:bottom="1440" w:left="1083" w:header="851" w:footer="992" w:gutter="0"/>
          <w:pgNumType w:fmt="decimal"/>
          <w:cols w:space="0" w:num="1"/>
          <w:rtlGutter w:val="0"/>
          <w:docGrid w:type="lines" w:linePitch="312" w:charSpace="0"/>
        </w:sectPr>
      </w:pPr>
    </w:p>
    <w:p w14:paraId="4AA2F3D1">
      <w:pPr>
        <w:pStyle w:val="3"/>
        <w:bidi w:val="0"/>
        <w:jc w:val="left"/>
        <w:rPr>
          <w:highlight w:val="none"/>
        </w:rPr>
      </w:pPr>
      <w:r>
        <w:rPr>
          <w:highlight w:val="none"/>
        </w:rPr>
        <w:t>附表</w:t>
      </w:r>
    </w:p>
    <w:p w14:paraId="22458556">
      <w:pPr>
        <w:pStyle w:val="3"/>
        <w:keepNext w:val="0"/>
        <w:keepLines w:val="0"/>
        <w:pageBreakBefore w:val="0"/>
        <w:widowControl w:val="0"/>
        <w:kinsoku/>
        <w:wordWrap/>
        <w:overflowPunct/>
        <w:topLinePunct w:val="0"/>
        <w:autoSpaceDE/>
        <w:autoSpaceDN/>
        <w:bidi w:val="0"/>
        <w:adjustRightInd/>
        <w:snapToGrid/>
        <w:spacing w:beforeAutospacing="0" w:afterAutospacing="0"/>
        <w:jc w:val="center"/>
        <w:textAlignment w:val="auto"/>
        <w:rPr>
          <w:highlight w:val="none"/>
        </w:rPr>
      </w:pPr>
      <w:r>
        <w:rPr>
          <w:highlight w:val="none"/>
        </w:rPr>
        <w:t>建设项目污染物排放量汇总表</w:t>
      </w:r>
    </w:p>
    <w:tbl>
      <w:tblPr>
        <w:tblStyle w:val="20"/>
        <w:tblW w:w="1377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2171"/>
        <w:gridCol w:w="1417"/>
        <w:gridCol w:w="1276"/>
        <w:gridCol w:w="1701"/>
        <w:gridCol w:w="1559"/>
        <w:gridCol w:w="1559"/>
        <w:gridCol w:w="1701"/>
        <w:gridCol w:w="1276"/>
      </w:tblGrid>
      <w:tr w14:paraId="13041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tcBorders>
              <w:tl2br w:val="single" w:color="auto" w:sz="4" w:space="0"/>
            </w:tcBorders>
            <w:noWrap w:val="0"/>
            <w:tcMar>
              <w:left w:w="28" w:type="dxa"/>
              <w:right w:w="28" w:type="dxa"/>
            </w:tcMar>
            <w:vAlign w:val="center"/>
          </w:tcPr>
          <w:p w14:paraId="77DB71D2">
            <w:pPr>
              <w:pStyle w:val="27"/>
              <w:keepNext w:val="0"/>
              <w:keepLines w:val="0"/>
              <w:pageBreakBefore w:val="0"/>
              <w:widowControl w:val="0"/>
              <w:kinsoku/>
              <w:wordWrap/>
              <w:overflowPunct/>
              <w:topLinePunct w:val="0"/>
              <w:bidi w:val="0"/>
              <w:spacing w:line="240" w:lineRule="auto"/>
              <w:jc w:val="right"/>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项目</w:t>
            </w:r>
          </w:p>
          <w:p w14:paraId="18C4D14E">
            <w:pPr>
              <w:pStyle w:val="27"/>
              <w:keepNext w:val="0"/>
              <w:keepLines w:val="0"/>
              <w:pageBreakBefore w:val="0"/>
              <w:widowControl w:val="0"/>
              <w:kinsoku/>
              <w:wordWrap/>
              <w:overflowPunct/>
              <w:topLinePunct w:val="0"/>
              <w:bidi w:val="0"/>
              <w:spacing w:line="240" w:lineRule="auto"/>
              <w:jc w:val="left"/>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分类</w:t>
            </w:r>
          </w:p>
        </w:tc>
        <w:tc>
          <w:tcPr>
            <w:tcW w:w="2171" w:type="dxa"/>
            <w:noWrap w:val="0"/>
            <w:tcMar>
              <w:left w:w="28" w:type="dxa"/>
              <w:right w:w="28" w:type="dxa"/>
            </w:tcMar>
            <w:vAlign w:val="center"/>
          </w:tcPr>
          <w:p w14:paraId="48B128A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污染物名称</w:t>
            </w:r>
          </w:p>
        </w:tc>
        <w:tc>
          <w:tcPr>
            <w:tcW w:w="1417" w:type="dxa"/>
            <w:noWrap w:val="0"/>
            <w:tcMar>
              <w:left w:w="28" w:type="dxa"/>
              <w:right w:w="28" w:type="dxa"/>
            </w:tcMar>
            <w:vAlign w:val="center"/>
          </w:tcPr>
          <w:p w14:paraId="0696F34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现有工程</w:t>
            </w:r>
          </w:p>
          <w:p w14:paraId="371BCD8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排放量（固体废物产生量）</w: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instrText xml:space="preserve"> = 1 \* GB3 \* MERGEFORMAT </w:instrTex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highlight w:val="none"/>
                <w:u w:val="none"/>
                <w14:textFill>
                  <w14:solidFill>
                    <w14:schemeClr w14:val="tx1"/>
                  </w14:solidFill>
                </w14:textFill>
              </w:rPr>
              <w:t>①</w: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end"/>
            </w:r>
          </w:p>
        </w:tc>
        <w:tc>
          <w:tcPr>
            <w:tcW w:w="1276" w:type="dxa"/>
            <w:noWrap w:val="0"/>
            <w:tcMar>
              <w:left w:w="28" w:type="dxa"/>
              <w:right w:w="28" w:type="dxa"/>
            </w:tcMar>
            <w:vAlign w:val="center"/>
          </w:tcPr>
          <w:p w14:paraId="52C4001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现有工程</w:t>
            </w:r>
          </w:p>
          <w:p w14:paraId="5B2FC72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许可排放量</w:t>
            </w:r>
          </w:p>
          <w:p w14:paraId="71C3E77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instrText xml:space="preserve"> = 2 \* GB3 \* MERGEFORMAT </w:instrTex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separate"/>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②</w: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end"/>
            </w:r>
          </w:p>
        </w:tc>
        <w:tc>
          <w:tcPr>
            <w:tcW w:w="1701" w:type="dxa"/>
            <w:noWrap w:val="0"/>
            <w:tcMar>
              <w:left w:w="28" w:type="dxa"/>
              <w:right w:w="28" w:type="dxa"/>
            </w:tcMar>
            <w:vAlign w:val="center"/>
          </w:tcPr>
          <w:p w14:paraId="36A4B67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在建工程</w:t>
            </w:r>
          </w:p>
          <w:p w14:paraId="525428B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排放量（固体废物产生量）</w: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instrText xml:space="preserve"> = 3 \* GB3 \* MERGEFORMAT </w:instrTex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highlight w:val="none"/>
                <w:u w:val="none"/>
                <w14:textFill>
                  <w14:solidFill>
                    <w14:schemeClr w14:val="tx1"/>
                  </w14:solidFill>
                </w14:textFill>
              </w:rPr>
              <w:t>③</w: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end"/>
            </w:r>
          </w:p>
        </w:tc>
        <w:tc>
          <w:tcPr>
            <w:tcW w:w="1559" w:type="dxa"/>
            <w:noWrap w:val="0"/>
            <w:tcMar>
              <w:left w:w="28" w:type="dxa"/>
              <w:right w:w="28" w:type="dxa"/>
            </w:tcMar>
            <w:vAlign w:val="center"/>
          </w:tcPr>
          <w:p w14:paraId="124C312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本项目</w:t>
            </w:r>
          </w:p>
          <w:p w14:paraId="4F64802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排放量（固体废物产生量）</w: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instrText xml:space="preserve"> = 4 \* GB3 \* MERGEFORMAT </w:instrTex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highlight w:val="none"/>
                <w:u w:val="none"/>
                <w14:textFill>
                  <w14:solidFill>
                    <w14:schemeClr w14:val="tx1"/>
                  </w14:solidFill>
                </w14:textFill>
              </w:rPr>
              <w:t>④</w: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end"/>
            </w:r>
          </w:p>
        </w:tc>
        <w:tc>
          <w:tcPr>
            <w:tcW w:w="1559" w:type="dxa"/>
            <w:noWrap w:val="0"/>
            <w:tcMar>
              <w:left w:w="28" w:type="dxa"/>
              <w:right w:w="28" w:type="dxa"/>
            </w:tcMar>
            <w:vAlign w:val="center"/>
          </w:tcPr>
          <w:p w14:paraId="1BB09FA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t>以新带老削减量</w:t>
            </w:r>
          </w:p>
          <w:p w14:paraId="614A583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t>（新建项目不填）</w:t>
            </w: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instrText xml:space="preserve"> = 5 \* GB3 \* MERGEFORMAT </w:instrText>
            </w: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highlight w:val="none"/>
                <w:u w:val="none"/>
                <w14:textFill>
                  <w14:solidFill>
                    <w14:schemeClr w14:val="tx1"/>
                  </w14:solidFill>
                </w14:textFill>
              </w:rPr>
              <w:t>⑤</w:t>
            </w: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fldChar w:fldCharType="end"/>
            </w:r>
          </w:p>
        </w:tc>
        <w:tc>
          <w:tcPr>
            <w:tcW w:w="1701" w:type="dxa"/>
            <w:noWrap w:val="0"/>
            <w:tcMar>
              <w:left w:w="28" w:type="dxa"/>
              <w:right w:w="28" w:type="dxa"/>
            </w:tcMar>
            <w:vAlign w:val="center"/>
          </w:tcPr>
          <w:p w14:paraId="320E5BD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t>本项目建成后</w:t>
            </w:r>
          </w:p>
          <w:p w14:paraId="18C1556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t>全厂排放量（固体废物产生量）</w:t>
            </w: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instrText xml:space="preserve"> = 6 \* GB3 \* MERGEFORMAT </w:instrText>
            </w: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highlight w:val="none"/>
                <w:u w:val="none"/>
                <w14:textFill>
                  <w14:solidFill>
                    <w14:schemeClr w14:val="tx1"/>
                  </w14:solidFill>
                </w14:textFill>
              </w:rPr>
              <w:t>⑥</w:t>
            </w:r>
            <w:r>
              <w:rPr>
                <w:rFonts w:hint="default" w:ascii="Times New Roman" w:hAnsi="Times New Roman" w:eastAsia="宋体" w:cs="Times New Roman"/>
                <w:b w:val="0"/>
                <w:bCs/>
                <w:snapToGrid w:val="0"/>
                <w:color w:val="000000" w:themeColor="text1"/>
                <w:spacing w:val="-16"/>
                <w:kern w:val="21"/>
                <w:sz w:val="21"/>
                <w:szCs w:val="21"/>
                <w:highlight w:val="none"/>
                <w:u w:val="none"/>
                <w14:textFill>
                  <w14:solidFill>
                    <w14:schemeClr w14:val="tx1"/>
                  </w14:solidFill>
                </w14:textFill>
              </w:rPr>
              <w:fldChar w:fldCharType="end"/>
            </w:r>
          </w:p>
        </w:tc>
        <w:tc>
          <w:tcPr>
            <w:tcW w:w="1276" w:type="dxa"/>
            <w:noWrap w:val="0"/>
            <w:tcMar>
              <w:left w:w="28" w:type="dxa"/>
              <w:right w:w="28" w:type="dxa"/>
            </w:tcMar>
            <w:vAlign w:val="center"/>
          </w:tcPr>
          <w:p w14:paraId="323ECE9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t>变化量</w:t>
            </w:r>
          </w:p>
          <w:p w14:paraId="5D7745E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begin"/>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instrText xml:space="preserve"> = 7 \* GB3 \* MERGEFORMAT </w:instrTex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separate"/>
            </w:r>
            <w:r>
              <w:rPr>
                <w:rFonts w:hint="default" w:ascii="Times New Roman" w:hAnsi="Times New Roman" w:eastAsia="宋体" w:cs="Times New Roman"/>
                <w:b w:val="0"/>
                <w:bCs/>
                <w:color w:val="000000" w:themeColor="text1"/>
                <w:kern w:val="2"/>
                <w:sz w:val="21"/>
                <w:szCs w:val="21"/>
                <w:highlight w:val="none"/>
                <w:u w:val="none"/>
                <w14:textFill>
                  <w14:solidFill>
                    <w14:schemeClr w14:val="tx1"/>
                  </w14:solidFill>
                </w14:textFill>
              </w:rPr>
              <w:t>⑦</w:t>
            </w:r>
            <w:r>
              <w:rPr>
                <w:rFonts w:hint="default" w:ascii="Times New Roman" w:hAnsi="Times New Roman" w:eastAsia="宋体" w:cs="Times New Roman"/>
                <w:b w:val="0"/>
                <w:bCs/>
                <w:snapToGrid w:val="0"/>
                <w:color w:val="000000" w:themeColor="text1"/>
                <w:spacing w:val="-6"/>
                <w:kern w:val="21"/>
                <w:sz w:val="21"/>
                <w:szCs w:val="21"/>
                <w:highlight w:val="none"/>
                <w:u w:val="none"/>
                <w14:textFill>
                  <w14:solidFill>
                    <w14:schemeClr w14:val="tx1"/>
                  </w14:solidFill>
                </w14:textFill>
              </w:rPr>
              <w:fldChar w:fldCharType="end"/>
            </w:r>
          </w:p>
        </w:tc>
      </w:tr>
      <w:tr w14:paraId="2B4220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restart"/>
            <w:noWrap w:val="0"/>
            <w:vAlign w:val="center"/>
          </w:tcPr>
          <w:p w14:paraId="6A8461A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废气</w:t>
            </w:r>
          </w:p>
        </w:tc>
        <w:tc>
          <w:tcPr>
            <w:tcW w:w="2171" w:type="dxa"/>
            <w:shd w:val="clear" w:color="auto" w:fill="auto"/>
            <w:noWrap w:val="0"/>
            <w:vAlign w:val="center"/>
          </w:tcPr>
          <w:p w14:paraId="5C920897">
            <w:pPr>
              <w:jc w:val="center"/>
              <w:outlineLvl w:val="0"/>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hint="eastAsia"/>
                <w:b w:val="0"/>
                <w:bCs/>
                <w:color w:val="000000" w:themeColor="text1"/>
                <w:sz w:val="21"/>
                <w:szCs w:val="21"/>
                <w:highlight w:val="none"/>
                <w:u w:val="none"/>
                <w:lang w:val="en-US" w:eastAsia="zh-CN"/>
                <w14:textFill>
                  <w14:solidFill>
                    <w14:schemeClr w14:val="tx1"/>
                  </w14:solidFill>
                </w14:textFill>
              </w:rPr>
              <w:t>油烟</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603EED9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6244406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7E3F3F1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44FD2EC3">
            <w:pPr>
              <w:keepNext w:val="0"/>
              <w:keepLines w:val="0"/>
              <w:widowControl/>
              <w:suppressLineNumbers w:val="0"/>
              <w:jc w:val="center"/>
              <w:textAlignment w:val="center"/>
              <w:rPr>
                <w:rFonts w:hint="eastAsia"/>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kern w:val="0"/>
                <w:sz w:val="21"/>
                <w:szCs w:val="21"/>
                <w:highlight w:val="none"/>
                <w:u w:val="none"/>
                <w:lang w:val="en-US" w:eastAsia="zh-CN" w:bidi="ar"/>
              </w:rPr>
              <w:t>0.021</w:t>
            </w:r>
          </w:p>
        </w:tc>
        <w:tc>
          <w:tcPr>
            <w:tcW w:w="1559" w:type="dxa"/>
            <w:noWrap w:val="0"/>
            <w:vAlign w:val="center"/>
          </w:tcPr>
          <w:p w14:paraId="1B96508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779DEB41">
            <w:pPr>
              <w:keepNext w:val="0"/>
              <w:keepLines w:val="0"/>
              <w:widowControl/>
              <w:suppressLineNumbers w:val="0"/>
              <w:jc w:val="center"/>
              <w:textAlignment w:val="center"/>
              <w:rPr>
                <w:rFonts w:hint="eastAsia"/>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kern w:val="0"/>
                <w:sz w:val="21"/>
                <w:szCs w:val="21"/>
                <w:highlight w:val="none"/>
                <w:u w:val="none"/>
                <w:lang w:val="en-US" w:eastAsia="zh-CN" w:bidi="ar"/>
              </w:rPr>
              <w:t>0.021</w:t>
            </w:r>
          </w:p>
        </w:tc>
        <w:tc>
          <w:tcPr>
            <w:tcW w:w="1276" w:type="dxa"/>
            <w:shd w:val="clear" w:color="auto" w:fill="auto"/>
            <w:noWrap w:val="0"/>
            <w:vAlign w:val="center"/>
          </w:tcPr>
          <w:p w14:paraId="027975C6">
            <w:pPr>
              <w:keepNext w:val="0"/>
              <w:keepLines w:val="0"/>
              <w:widowControl/>
              <w:suppressLineNumbers w:val="0"/>
              <w:jc w:val="center"/>
              <w:textAlignment w:val="center"/>
              <w:rPr>
                <w:rFonts w:hint="eastAsia"/>
                <w:b w:val="0"/>
                <w:bCs/>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i w:val="0"/>
                <w:iCs w:val="0"/>
                <w:color w:val="000000"/>
                <w:kern w:val="0"/>
                <w:sz w:val="21"/>
                <w:szCs w:val="21"/>
                <w:highlight w:val="none"/>
                <w:u w:val="none"/>
                <w:lang w:val="en-US" w:eastAsia="zh-CN" w:bidi="ar"/>
              </w:rPr>
              <w:t>+</w:t>
            </w:r>
            <w:r>
              <w:rPr>
                <w:rFonts w:hint="default" w:ascii="Times New Roman" w:hAnsi="Times New Roman" w:eastAsia="宋体" w:cs="Times New Roman"/>
                <w:b w:val="0"/>
                <w:bCs/>
                <w:i w:val="0"/>
                <w:iCs w:val="0"/>
                <w:color w:val="000000"/>
                <w:kern w:val="0"/>
                <w:sz w:val="21"/>
                <w:szCs w:val="21"/>
                <w:highlight w:val="none"/>
                <w:u w:val="none"/>
                <w:lang w:val="en-US" w:eastAsia="zh-CN" w:bidi="ar"/>
              </w:rPr>
              <w:t>0.021</w:t>
            </w:r>
          </w:p>
        </w:tc>
      </w:tr>
      <w:tr w14:paraId="7D600B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0B19B3D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shd w:val="clear" w:color="auto" w:fill="auto"/>
            <w:noWrap w:val="0"/>
            <w:vAlign w:val="center"/>
          </w:tcPr>
          <w:p w14:paraId="7F4535D8">
            <w:pPr>
              <w:jc w:val="center"/>
              <w:outlineLvl w:val="0"/>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hint="eastAsia"/>
                <w:b w:val="0"/>
                <w:bCs/>
                <w:color w:val="000000" w:themeColor="text1"/>
                <w:sz w:val="21"/>
                <w:szCs w:val="21"/>
                <w:highlight w:val="none"/>
                <w:u w:val="none"/>
                <w:lang w:val="en-US" w:eastAsia="zh-CN"/>
                <w14:textFill>
                  <w14:solidFill>
                    <w14:schemeClr w14:val="tx1"/>
                  </w14:solidFill>
                </w14:textFill>
              </w:rPr>
              <w:t>非甲烷总烃</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16E2C11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200995D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145DDCC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616E1E9B">
            <w:pPr>
              <w:keepNext w:val="0"/>
              <w:keepLines w:val="0"/>
              <w:widowControl/>
              <w:suppressLineNumbers w:val="0"/>
              <w:jc w:val="center"/>
              <w:textAlignment w:val="center"/>
              <w:rPr>
                <w:rFonts w:hint="eastAsia"/>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kern w:val="0"/>
                <w:sz w:val="21"/>
                <w:szCs w:val="21"/>
                <w:highlight w:val="none"/>
                <w:u w:val="none"/>
                <w:lang w:val="en-US" w:eastAsia="zh-CN" w:bidi="ar"/>
              </w:rPr>
              <w:t>0.067</w:t>
            </w:r>
          </w:p>
        </w:tc>
        <w:tc>
          <w:tcPr>
            <w:tcW w:w="1559" w:type="dxa"/>
            <w:noWrap w:val="0"/>
            <w:vAlign w:val="center"/>
          </w:tcPr>
          <w:p w14:paraId="2053D95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3FAE2BE7">
            <w:pPr>
              <w:keepNext w:val="0"/>
              <w:keepLines w:val="0"/>
              <w:widowControl/>
              <w:suppressLineNumbers w:val="0"/>
              <w:jc w:val="center"/>
              <w:textAlignment w:val="center"/>
              <w:rPr>
                <w:rFonts w:hint="eastAsia"/>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i w:val="0"/>
                <w:iCs w:val="0"/>
                <w:color w:val="000000"/>
                <w:kern w:val="0"/>
                <w:sz w:val="21"/>
                <w:szCs w:val="21"/>
                <w:highlight w:val="none"/>
                <w:u w:val="none"/>
                <w:lang w:val="en-US" w:eastAsia="zh-CN" w:bidi="ar"/>
              </w:rPr>
              <w:t>0.067</w:t>
            </w:r>
          </w:p>
        </w:tc>
        <w:tc>
          <w:tcPr>
            <w:tcW w:w="1276" w:type="dxa"/>
            <w:shd w:val="clear" w:color="auto" w:fill="auto"/>
            <w:noWrap w:val="0"/>
            <w:vAlign w:val="center"/>
          </w:tcPr>
          <w:p w14:paraId="0755D131">
            <w:pPr>
              <w:keepNext w:val="0"/>
              <w:keepLines w:val="0"/>
              <w:widowControl/>
              <w:suppressLineNumbers w:val="0"/>
              <w:jc w:val="center"/>
              <w:textAlignment w:val="center"/>
              <w:rPr>
                <w:rFonts w:hint="eastAsia"/>
                <w:b w:val="0"/>
                <w:bCs/>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i w:val="0"/>
                <w:iCs w:val="0"/>
                <w:color w:val="000000"/>
                <w:kern w:val="0"/>
                <w:sz w:val="21"/>
                <w:szCs w:val="21"/>
                <w:highlight w:val="none"/>
                <w:u w:val="none"/>
                <w:lang w:val="en-US" w:eastAsia="zh-CN" w:bidi="ar"/>
              </w:rPr>
              <w:t>+</w:t>
            </w:r>
            <w:r>
              <w:rPr>
                <w:rFonts w:hint="default" w:ascii="Times New Roman" w:hAnsi="Times New Roman" w:eastAsia="宋体" w:cs="Times New Roman"/>
                <w:b w:val="0"/>
                <w:bCs/>
                <w:i w:val="0"/>
                <w:iCs w:val="0"/>
                <w:color w:val="000000"/>
                <w:kern w:val="0"/>
                <w:sz w:val="21"/>
                <w:szCs w:val="21"/>
                <w:highlight w:val="none"/>
                <w:u w:val="none"/>
                <w:lang w:val="en-US" w:eastAsia="zh-CN" w:bidi="ar"/>
              </w:rPr>
              <w:t>0.067</w:t>
            </w:r>
          </w:p>
        </w:tc>
      </w:tr>
      <w:tr w14:paraId="06D9C5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3BBC0128">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shd w:val="clear" w:color="auto" w:fill="auto"/>
            <w:noWrap w:val="0"/>
            <w:vAlign w:val="center"/>
          </w:tcPr>
          <w:p w14:paraId="3824446C">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t>颗粒物</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3CE28AC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5AD875E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7BF46B4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1E01F157">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 w:val="0"/>
                <w:iCs w:val="0"/>
                <w:color w:val="000000"/>
                <w:kern w:val="0"/>
                <w:sz w:val="21"/>
                <w:szCs w:val="21"/>
                <w:highlight w:val="none"/>
                <w:u w:val="none"/>
                <w:lang w:val="en-US" w:eastAsia="zh-CN" w:bidi="ar"/>
              </w:rPr>
              <w:t>0.025</w:t>
            </w:r>
          </w:p>
        </w:tc>
        <w:tc>
          <w:tcPr>
            <w:tcW w:w="1559" w:type="dxa"/>
            <w:noWrap w:val="0"/>
            <w:vAlign w:val="center"/>
          </w:tcPr>
          <w:p w14:paraId="39D865D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0B844323">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 w:val="0"/>
                <w:iCs w:val="0"/>
                <w:color w:val="000000"/>
                <w:kern w:val="0"/>
                <w:sz w:val="21"/>
                <w:szCs w:val="21"/>
                <w:highlight w:val="none"/>
                <w:u w:val="none"/>
                <w:lang w:val="en-US" w:eastAsia="zh-CN" w:bidi="ar"/>
              </w:rPr>
              <w:t>0.025</w:t>
            </w:r>
          </w:p>
        </w:tc>
        <w:tc>
          <w:tcPr>
            <w:tcW w:w="1276" w:type="dxa"/>
            <w:shd w:val="clear" w:color="auto" w:fill="auto"/>
            <w:noWrap w:val="0"/>
            <w:vAlign w:val="center"/>
          </w:tcPr>
          <w:p w14:paraId="0E74960B">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i w:val="0"/>
                <w:iCs w:val="0"/>
                <w:color w:val="000000"/>
                <w:kern w:val="0"/>
                <w:sz w:val="21"/>
                <w:szCs w:val="21"/>
                <w:highlight w:val="none"/>
                <w:u w:val="none"/>
                <w:lang w:val="en-US" w:eastAsia="zh-CN" w:bidi="ar"/>
              </w:rPr>
              <w:t>+</w:t>
            </w:r>
            <w:r>
              <w:rPr>
                <w:rFonts w:hint="default" w:ascii="Times New Roman" w:hAnsi="Times New Roman" w:eastAsia="宋体" w:cs="Times New Roman"/>
                <w:b w:val="0"/>
                <w:bCs/>
                <w:i w:val="0"/>
                <w:iCs w:val="0"/>
                <w:color w:val="000000"/>
                <w:kern w:val="0"/>
                <w:sz w:val="21"/>
                <w:szCs w:val="21"/>
                <w:highlight w:val="none"/>
                <w:u w:val="none"/>
                <w:lang w:val="en-US" w:eastAsia="zh-CN" w:bidi="ar"/>
              </w:rPr>
              <w:t>0.025</w:t>
            </w:r>
          </w:p>
        </w:tc>
      </w:tr>
      <w:tr w14:paraId="45006C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0A63F90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shd w:val="clear" w:color="auto" w:fill="auto"/>
            <w:noWrap w:val="0"/>
            <w:vAlign w:val="center"/>
          </w:tcPr>
          <w:p w14:paraId="3B45D7BD">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b w:val="0"/>
                <w:bCs/>
                <w:color w:val="000000" w:themeColor="text1"/>
                <w:sz w:val="21"/>
                <w:szCs w:val="21"/>
                <w:highlight w:val="none"/>
                <w:u w:val="none"/>
                <w14:textFill>
                  <w14:solidFill>
                    <w14:schemeClr w14:val="tx1"/>
                  </w14:solidFill>
                </w14:textFill>
              </w:rPr>
              <w:t>SO</w:t>
            </w:r>
            <w:r>
              <w:rPr>
                <w:rFonts w:hint="eastAsia"/>
                <w:b w:val="0"/>
                <w:bCs/>
                <w:color w:val="000000" w:themeColor="text1"/>
                <w:sz w:val="21"/>
                <w:szCs w:val="21"/>
                <w:highlight w:val="none"/>
                <w:u w:val="none"/>
                <w:vertAlign w:val="subscript"/>
                <w14:textFill>
                  <w14:solidFill>
                    <w14:schemeClr w14:val="tx1"/>
                  </w14:solidFill>
                </w14:textFill>
              </w:rPr>
              <w:t>2</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2133003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085E5C3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78382C5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014D78E2">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 w:val="0"/>
                <w:iCs w:val="0"/>
                <w:color w:val="000000"/>
                <w:kern w:val="0"/>
                <w:sz w:val="21"/>
                <w:szCs w:val="21"/>
                <w:highlight w:val="none"/>
                <w:u w:val="none"/>
                <w:lang w:val="en-US" w:eastAsia="zh-CN" w:bidi="ar"/>
              </w:rPr>
              <w:t>0.00502</w:t>
            </w:r>
          </w:p>
        </w:tc>
        <w:tc>
          <w:tcPr>
            <w:tcW w:w="1559" w:type="dxa"/>
            <w:noWrap w:val="0"/>
            <w:vAlign w:val="center"/>
          </w:tcPr>
          <w:p w14:paraId="0619E0A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54972E6B">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 w:val="0"/>
                <w:iCs w:val="0"/>
                <w:color w:val="000000"/>
                <w:kern w:val="0"/>
                <w:sz w:val="21"/>
                <w:szCs w:val="21"/>
                <w:highlight w:val="none"/>
                <w:u w:val="none"/>
                <w:lang w:val="en-US" w:eastAsia="zh-CN" w:bidi="ar"/>
              </w:rPr>
              <w:t>0.00502</w:t>
            </w:r>
          </w:p>
        </w:tc>
        <w:tc>
          <w:tcPr>
            <w:tcW w:w="1276" w:type="dxa"/>
            <w:shd w:val="clear" w:color="auto" w:fill="auto"/>
            <w:noWrap w:val="0"/>
            <w:vAlign w:val="center"/>
          </w:tcPr>
          <w:p w14:paraId="78739027">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i w:val="0"/>
                <w:iCs w:val="0"/>
                <w:color w:val="000000"/>
                <w:kern w:val="0"/>
                <w:sz w:val="21"/>
                <w:szCs w:val="21"/>
                <w:highlight w:val="none"/>
                <w:u w:val="none"/>
                <w:lang w:val="en-US" w:eastAsia="zh-CN" w:bidi="ar"/>
              </w:rPr>
              <w:t>+</w:t>
            </w:r>
            <w:r>
              <w:rPr>
                <w:rFonts w:hint="default" w:ascii="Times New Roman" w:hAnsi="Times New Roman" w:eastAsia="宋体" w:cs="Times New Roman"/>
                <w:b w:val="0"/>
                <w:bCs/>
                <w:i w:val="0"/>
                <w:iCs w:val="0"/>
                <w:color w:val="000000"/>
                <w:kern w:val="0"/>
                <w:sz w:val="21"/>
                <w:szCs w:val="21"/>
                <w:highlight w:val="none"/>
                <w:u w:val="none"/>
                <w:lang w:val="en-US" w:eastAsia="zh-CN" w:bidi="ar"/>
              </w:rPr>
              <w:t>0.00502</w:t>
            </w:r>
          </w:p>
        </w:tc>
      </w:tr>
      <w:tr w14:paraId="102F0C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748A942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shd w:val="clear" w:color="auto" w:fill="auto"/>
            <w:noWrap w:val="0"/>
            <w:vAlign w:val="center"/>
          </w:tcPr>
          <w:p w14:paraId="43656093">
            <w:pPr>
              <w:pStyle w:val="38"/>
              <w:keepNext w:val="0"/>
              <w:keepLines w:val="0"/>
              <w:pageBreakBefore w:val="0"/>
              <w:widowControl w:val="0"/>
              <w:kinsoku/>
              <w:wordWrap/>
              <w:overflowPunct/>
              <w:topLinePunct w:val="0"/>
              <w:autoSpaceDE/>
              <w:autoSpaceDN/>
              <w:bidi w:val="0"/>
              <w:spacing w:line="240" w:lineRule="auto"/>
              <w:ind w:firstLine="0" w:firstLineChars="0"/>
              <w:textAlignment w:val="auto"/>
              <w:outlineLvl w:val="9"/>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b w:val="0"/>
                <w:bCs/>
                <w:color w:val="000000" w:themeColor="text1"/>
                <w:sz w:val="21"/>
                <w:szCs w:val="21"/>
                <w:highlight w:val="none"/>
                <w:u w:val="none"/>
                <w14:textFill>
                  <w14:solidFill>
                    <w14:schemeClr w14:val="tx1"/>
                  </w14:solidFill>
                </w14:textFill>
              </w:rPr>
              <w:t>NOx</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2447D17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10CF24C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7D236172">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04F70B39">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 w:val="0"/>
                <w:iCs w:val="0"/>
                <w:color w:val="000000"/>
                <w:kern w:val="0"/>
                <w:sz w:val="21"/>
                <w:szCs w:val="21"/>
                <w:highlight w:val="none"/>
                <w:u w:val="none"/>
                <w:lang w:val="en-US" w:eastAsia="zh-CN" w:bidi="ar"/>
              </w:rPr>
              <w:t>0.09</w:t>
            </w:r>
          </w:p>
        </w:tc>
        <w:tc>
          <w:tcPr>
            <w:tcW w:w="1559" w:type="dxa"/>
            <w:noWrap w:val="0"/>
            <w:vAlign w:val="center"/>
          </w:tcPr>
          <w:p w14:paraId="4C0FCB4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5068325B">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 w:val="0"/>
                <w:iCs w:val="0"/>
                <w:color w:val="000000"/>
                <w:kern w:val="0"/>
                <w:sz w:val="21"/>
                <w:szCs w:val="21"/>
                <w:highlight w:val="none"/>
                <w:u w:val="none"/>
                <w:lang w:val="en-US" w:eastAsia="zh-CN" w:bidi="ar"/>
              </w:rPr>
              <w:t>0.09</w:t>
            </w:r>
          </w:p>
        </w:tc>
        <w:tc>
          <w:tcPr>
            <w:tcW w:w="1276" w:type="dxa"/>
            <w:shd w:val="clear" w:color="auto" w:fill="auto"/>
            <w:noWrap w:val="0"/>
            <w:vAlign w:val="center"/>
          </w:tcPr>
          <w:p w14:paraId="62F7967D">
            <w:pPr>
              <w:keepNext w:val="0"/>
              <w:keepLines w:val="0"/>
              <w:widowControl/>
              <w:suppressLineNumbers w:val="0"/>
              <w:jc w:val="center"/>
              <w:textAlignment w:val="center"/>
              <w:rPr>
                <w:rFonts w:hint="default"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i w:val="0"/>
                <w:iCs w:val="0"/>
                <w:color w:val="000000"/>
                <w:kern w:val="0"/>
                <w:sz w:val="21"/>
                <w:szCs w:val="21"/>
                <w:highlight w:val="none"/>
                <w:u w:val="none"/>
                <w:lang w:val="en-US" w:eastAsia="zh-CN" w:bidi="ar"/>
              </w:rPr>
              <w:t>+</w:t>
            </w:r>
            <w:r>
              <w:rPr>
                <w:rFonts w:hint="default" w:ascii="Times New Roman" w:hAnsi="Times New Roman" w:eastAsia="宋体" w:cs="Times New Roman"/>
                <w:b w:val="0"/>
                <w:bCs/>
                <w:i w:val="0"/>
                <w:iCs w:val="0"/>
                <w:color w:val="000000"/>
                <w:kern w:val="0"/>
                <w:sz w:val="21"/>
                <w:szCs w:val="21"/>
                <w:highlight w:val="none"/>
                <w:u w:val="none"/>
                <w:lang w:val="en-US" w:eastAsia="zh-CN" w:bidi="ar"/>
              </w:rPr>
              <w:t>0.09</w:t>
            </w:r>
          </w:p>
        </w:tc>
      </w:tr>
      <w:tr w14:paraId="0FB409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11B0C5E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shd w:val="clear" w:color="auto" w:fill="auto"/>
            <w:noWrap w:val="0"/>
            <w:vAlign w:val="center"/>
          </w:tcPr>
          <w:p w14:paraId="0DA65A98">
            <w:pPr>
              <w:pStyle w:val="38"/>
              <w:rPr>
                <w:rFonts w:hint="eastAsia"/>
                <w:b w:val="0"/>
                <w:bCs/>
                <w:color w:val="000000" w:themeColor="text1"/>
                <w:sz w:val="21"/>
                <w:szCs w:val="21"/>
                <w:highlight w:val="none"/>
                <w:u w:val="none"/>
                <w14:textFill>
                  <w14:solidFill>
                    <w14:schemeClr w14:val="tx1"/>
                  </w14:solidFill>
                </w14:textFill>
              </w:rPr>
            </w:pPr>
            <w:r>
              <w:rPr>
                <w:rFonts w:hint="eastAsia"/>
                <w:b w:val="0"/>
                <w:bCs/>
                <w:color w:val="000000" w:themeColor="text1"/>
                <w:sz w:val="21"/>
                <w:szCs w:val="21"/>
                <w:highlight w:val="none"/>
                <w14:textFill>
                  <w14:solidFill>
                    <w14:schemeClr w14:val="tx1"/>
                  </w14:solidFill>
                </w14:textFill>
              </w:rPr>
              <w:t>NH</w:t>
            </w:r>
            <w:r>
              <w:rPr>
                <w:rFonts w:hint="eastAsia"/>
                <w:b w:val="0"/>
                <w:bCs/>
                <w:color w:val="000000" w:themeColor="text1"/>
                <w:sz w:val="21"/>
                <w:szCs w:val="21"/>
                <w:highlight w:val="none"/>
                <w:vertAlign w:val="subscript"/>
                <w14:textFill>
                  <w14:solidFill>
                    <w14:schemeClr w14:val="tx1"/>
                  </w14:solidFill>
                </w14:textFill>
              </w:rPr>
              <w:t>3</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2682844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6AC9D2A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324AC71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32470427">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b w:val="0"/>
                <w:bCs/>
                <w:color w:val="000000" w:themeColor="text1"/>
                <w:sz w:val="21"/>
                <w:szCs w:val="21"/>
                <w:highlight w:val="none"/>
                <w:u w:val="none"/>
                <w:lang w:val="en-US" w:eastAsia="zh-CN"/>
                <w14:textFill>
                  <w14:solidFill>
                    <w14:schemeClr w14:val="tx1"/>
                  </w14:solidFill>
                </w14:textFill>
              </w:rPr>
              <w:t>0.009</w:t>
            </w:r>
          </w:p>
        </w:tc>
        <w:tc>
          <w:tcPr>
            <w:tcW w:w="1559" w:type="dxa"/>
            <w:noWrap w:val="0"/>
            <w:vAlign w:val="center"/>
          </w:tcPr>
          <w:p w14:paraId="6EED07C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29E9B73B">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b w:val="0"/>
                <w:bCs/>
                <w:color w:val="000000" w:themeColor="text1"/>
                <w:sz w:val="21"/>
                <w:szCs w:val="21"/>
                <w:highlight w:val="none"/>
                <w:u w:val="none"/>
                <w:lang w:val="en-US" w:eastAsia="zh-CN"/>
                <w14:textFill>
                  <w14:solidFill>
                    <w14:schemeClr w14:val="tx1"/>
                  </w14:solidFill>
                </w14:textFill>
              </w:rPr>
              <w:t>0.009</w:t>
            </w:r>
          </w:p>
        </w:tc>
        <w:tc>
          <w:tcPr>
            <w:tcW w:w="1276" w:type="dxa"/>
            <w:shd w:val="clear" w:color="auto" w:fill="auto"/>
            <w:noWrap w:val="0"/>
            <w:vAlign w:val="center"/>
          </w:tcPr>
          <w:p w14:paraId="7720182B">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b w:val="0"/>
                <w:bCs/>
                <w:color w:val="000000" w:themeColor="text1"/>
                <w:sz w:val="21"/>
                <w:szCs w:val="21"/>
                <w:highlight w:val="none"/>
                <w:u w:val="none"/>
                <w:lang w:val="en-US" w:eastAsia="zh-CN"/>
                <w14:textFill>
                  <w14:solidFill>
                    <w14:schemeClr w14:val="tx1"/>
                  </w14:solidFill>
                </w14:textFill>
              </w:rPr>
              <w:t>+0.009</w:t>
            </w:r>
          </w:p>
        </w:tc>
      </w:tr>
      <w:tr w14:paraId="6AAA2D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3712A01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shd w:val="clear" w:color="auto" w:fill="auto"/>
            <w:noWrap w:val="0"/>
            <w:vAlign w:val="center"/>
          </w:tcPr>
          <w:p w14:paraId="6EFEAEC2">
            <w:pPr>
              <w:pStyle w:val="38"/>
              <w:rPr>
                <w:rFonts w:hint="eastAsia"/>
                <w:b w:val="0"/>
                <w:bCs/>
                <w:color w:val="000000" w:themeColor="text1"/>
                <w:sz w:val="21"/>
                <w:szCs w:val="21"/>
                <w:highlight w:val="none"/>
                <w:u w:val="none"/>
                <w14:textFill>
                  <w14:solidFill>
                    <w14:schemeClr w14:val="tx1"/>
                  </w14:solidFill>
                </w14:textFill>
              </w:rPr>
            </w:pPr>
            <w:r>
              <w:rPr>
                <w:rFonts w:hint="eastAsia"/>
                <w:b w:val="0"/>
                <w:bCs/>
                <w:color w:val="000000" w:themeColor="text1"/>
                <w:sz w:val="21"/>
                <w:szCs w:val="21"/>
                <w:highlight w:val="none"/>
                <w14:textFill>
                  <w14:solidFill>
                    <w14:schemeClr w14:val="tx1"/>
                  </w14:solidFill>
                </w14:textFill>
              </w:rPr>
              <w:t>H</w:t>
            </w:r>
            <w:r>
              <w:rPr>
                <w:rFonts w:hint="eastAsia"/>
                <w:b w:val="0"/>
                <w:bCs/>
                <w:color w:val="000000" w:themeColor="text1"/>
                <w:sz w:val="21"/>
                <w:szCs w:val="21"/>
                <w:highlight w:val="none"/>
                <w:vertAlign w:val="subscript"/>
                <w14:textFill>
                  <w14:solidFill>
                    <w14:schemeClr w14:val="tx1"/>
                  </w14:solidFill>
                </w14:textFill>
              </w:rPr>
              <w:t>2</w:t>
            </w:r>
            <w:r>
              <w:rPr>
                <w:rFonts w:hint="eastAsia"/>
                <w:b w:val="0"/>
                <w:bCs/>
                <w:color w:val="000000" w:themeColor="text1"/>
                <w:sz w:val="21"/>
                <w:szCs w:val="21"/>
                <w:highlight w:val="none"/>
                <w14:textFill>
                  <w14:solidFill>
                    <w14:schemeClr w14:val="tx1"/>
                  </w14:solidFill>
                </w14:textFill>
              </w:rPr>
              <w:t>S</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722FA6A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3F2B07C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1825880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6467B178">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b w:val="0"/>
                <w:bCs/>
                <w:color w:val="000000" w:themeColor="text1"/>
                <w:sz w:val="21"/>
                <w:szCs w:val="21"/>
                <w:highlight w:val="none"/>
                <w:u w:val="none"/>
                <w:lang w:val="en-US" w:eastAsia="zh-CN"/>
                <w14:textFill>
                  <w14:solidFill>
                    <w14:schemeClr w14:val="tx1"/>
                  </w14:solidFill>
                </w14:textFill>
              </w:rPr>
              <w:t>0.0003</w:t>
            </w:r>
          </w:p>
        </w:tc>
        <w:tc>
          <w:tcPr>
            <w:tcW w:w="1559" w:type="dxa"/>
            <w:noWrap w:val="0"/>
            <w:vAlign w:val="center"/>
          </w:tcPr>
          <w:p w14:paraId="2628952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2320EA30">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b w:val="0"/>
                <w:bCs/>
                <w:color w:val="000000" w:themeColor="text1"/>
                <w:sz w:val="21"/>
                <w:szCs w:val="21"/>
                <w:highlight w:val="none"/>
                <w:u w:val="none"/>
                <w:lang w:val="en-US" w:eastAsia="zh-CN"/>
                <w14:textFill>
                  <w14:solidFill>
                    <w14:schemeClr w14:val="tx1"/>
                  </w14:solidFill>
                </w14:textFill>
              </w:rPr>
              <w:t>0.0003</w:t>
            </w:r>
          </w:p>
        </w:tc>
        <w:tc>
          <w:tcPr>
            <w:tcW w:w="1276" w:type="dxa"/>
            <w:shd w:val="clear" w:color="auto" w:fill="auto"/>
            <w:noWrap w:val="0"/>
            <w:vAlign w:val="center"/>
          </w:tcPr>
          <w:p w14:paraId="23CBB56F">
            <w:pPr>
              <w:keepNext w:val="0"/>
              <w:keepLines w:val="0"/>
              <w:pageBreakBefore w:val="0"/>
              <w:kinsoku/>
              <w:wordWrap/>
              <w:overflowPunct/>
              <w:topLinePunct w:val="0"/>
              <w:autoSpaceDE/>
              <w:autoSpaceDN/>
              <w:bidi w:val="0"/>
              <w:spacing w:line="240" w:lineRule="auto"/>
              <w:jc w:val="center"/>
              <w:textAlignment w:val="auto"/>
              <w:outlineLvl w:val="9"/>
              <w:rPr>
                <w:rFonts w:hint="eastAsia" w:ascii="Times New Roman" w:hAnsi="Times New Roman" w:eastAsia="宋体" w:cs="Times New Roman"/>
                <w:b w:val="0"/>
                <w:bCs/>
                <w:color w:val="000000" w:themeColor="text1"/>
                <w:kern w:val="2"/>
                <w:sz w:val="21"/>
                <w:szCs w:val="21"/>
                <w:highlight w:val="none"/>
                <w:u w:val="none"/>
                <w:lang w:val="en-US" w:eastAsia="zh-CN" w:bidi="ar-SA"/>
                <w14:textFill>
                  <w14:solidFill>
                    <w14:schemeClr w14:val="tx1"/>
                  </w14:solidFill>
                </w14:textFill>
              </w:rPr>
            </w:pPr>
            <w:r>
              <w:rPr>
                <w:rFonts w:hint="eastAsia"/>
                <w:b w:val="0"/>
                <w:bCs/>
                <w:color w:val="000000" w:themeColor="text1"/>
                <w:sz w:val="21"/>
                <w:szCs w:val="21"/>
                <w:highlight w:val="none"/>
                <w:u w:val="none"/>
                <w:lang w:val="en-US" w:eastAsia="zh-CN"/>
                <w14:textFill>
                  <w14:solidFill>
                    <w14:schemeClr w14:val="tx1"/>
                  </w14:solidFill>
                </w14:textFill>
              </w:rPr>
              <w:t>+0.0003</w:t>
            </w:r>
          </w:p>
        </w:tc>
      </w:tr>
      <w:tr w14:paraId="08ECE7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restart"/>
            <w:noWrap w:val="0"/>
            <w:vAlign w:val="center"/>
          </w:tcPr>
          <w:p w14:paraId="129A3B8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废水</w:t>
            </w:r>
          </w:p>
        </w:tc>
        <w:tc>
          <w:tcPr>
            <w:tcW w:w="2171" w:type="dxa"/>
            <w:noWrap w:val="0"/>
            <w:vAlign w:val="center"/>
          </w:tcPr>
          <w:p w14:paraId="7A58DF71">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t>废水量（m</w:t>
            </w:r>
            <w:r>
              <w:rPr>
                <w:rFonts w:hint="default" w:ascii="Times New Roman" w:hAnsi="Times New Roman" w:eastAsia="宋体" w:cs="Times New Roman"/>
                <w:b w:val="0"/>
                <w:bCs/>
                <w:color w:val="000000" w:themeColor="text1"/>
                <w:sz w:val="21"/>
                <w:szCs w:val="21"/>
                <w:highlight w:val="none"/>
                <w:u w:val="none"/>
                <w:vertAlign w:val="super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t>/a）</w:t>
            </w:r>
          </w:p>
        </w:tc>
        <w:tc>
          <w:tcPr>
            <w:tcW w:w="1417" w:type="dxa"/>
            <w:noWrap w:val="0"/>
            <w:vAlign w:val="center"/>
          </w:tcPr>
          <w:p w14:paraId="2EE9099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3E9C895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5B1F84A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noWrap w:val="0"/>
            <w:vAlign w:val="center"/>
          </w:tcPr>
          <w:p w14:paraId="6D2298AA">
            <w:pPr>
              <w:pStyle w:val="38"/>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highlight w:val="none"/>
                <w:u w:val="none"/>
                <w:lang w:val="en-US"/>
                <w14:textFill>
                  <w14:solidFill>
                    <w14:schemeClr w14:val="tx1"/>
                  </w14:solidFill>
                </w14:textFill>
              </w:rPr>
            </w:pPr>
            <w:r>
              <w:rPr>
                <w:rFonts w:hint="eastAsia" w:cs="Times New Roman"/>
                <w:b w:val="0"/>
                <w:bCs/>
                <w:color w:val="000000" w:themeColor="text1"/>
                <w:sz w:val="21"/>
                <w:szCs w:val="21"/>
                <w:highlight w:val="none"/>
                <w:u w:val="none"/>
                <w:lang w:val="en-US" w:eastAsia="zh-CN"/>
                <w14:textFill>
                  <w14:solidFill>
                    <w14:schemeClr w14:val="tx1"/>
                  </w14:solidFill>
                </w14:textFill>
              </w:rPr>
              <w:t>9325</w:t>
            </w:r>
          </w:p>
        </w:tc>
        <w:tc>
          <w:tcPr>
            <w:tcW w:w="1559" w:type="dxa"/>
            <w:noWrap w:val="0"/>
            <w:vAlign w:val="center"/>
          </w:tcPr>
          <w:p w14:paraId="1088D329">
            <w:pPr>
              <w:pStyle w:val="27"/>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137D1CD2">
            <w:pPr>
              <w:pStyle w:val="38"/>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highlight w:val="none"/>
                <w:u w:val="none"/>
                <w:lang w:val="en-US"/>
                <w14:textFill>
                  <w14:solidFill>
                    <w14:schemeClr w14:val="tx1"/>
                  </w14:solidFill>
                </w14:textFill>
              </w:rPr>
            </w:pPr>
            <w:r>
              <w:rPr>
                <w:rFonts w:hint="eastAsia" w:cs="Times New Roman"/>
                <w:b w:val="0"/>
                <w:bCs/>
                <w:color w:val="000000" w:themeColor="text1"/>
                <w:sz w:val="21"/>
                <w:szCs w:val="21"/>
                <w:highlight w:val="none"/>
                <w:u w:val="none"/>
                <w:lang w:val="en-US" w:eastAsia="zh-CN"/>
                <w14:textFill>
                  <w14:solidFill>
                    <w14:schemeClr w14:val="tx1"/>
                  </w14:solidFill>
                </w14:textFill>
              </w:rPr>
              <w:t>9325</w:t>
            </w:r>
          </w:p>
        </w:tc>
        <w:tc>
          <w:tcPr>
            <w:tcW w:w="1276" w:type="dxa"/>
            <w:noWrap w:val="0"/>
            <w:vAlign w:val="center"/>
          </w:tcPr>
          <w:p w14:paraId="4C05AA13">
            <w:pPr>
              <w:pStyle w:val="38"/>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hint="eastAsia" w:cs="Times New Roman"/>
                <w:b w:val="0"/>
                <w:bCs/>
                <w:color w:val="000000" w:themeColor="text1"/>
                <w:sz w:val="21"/>
                <w:szCs w:val="21"/>
                <w:highlight w:val="none"/>
                <w:u w:val="none"/>
                <w:lang w:val="en-US" w:eastAsia="zh-CN"/>
                <w14:textFill>
                  <w14:solidFill>
                    <w14:schemeClr w14:val="tx1"/>
                  </w14:solidFill>
                </w14:textFill>
              </w:rPr>
              <w:t>+9325</w:t>
            </w:r>
          </w:p>
        </w:tc>
      </w:tr>
      <w:tr w14:paraId="0BED06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49296AF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25DE7E0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COD（t/a）</w:t>
            </w:r>
          </w:p>
        </w:tc>
        <w:tc>
          <w:tcPr>
            <w:tcW w:w="1417" w:type="dxa"/>
            <w:noWrap w:val="0"/>
            <w:vAlign w:val="center"/>
          </w:tcPr>
          <w:p w14:paraId="02F866A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582BC79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57935F59">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noWrap w:val="0"/>
            <w:vAlign w:val="center"/>
          </w:tcPr>
          <w:p w14:paraId="222FFB5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lang w:val="en-US"/>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lang w:val="en-US" w:eastAsia="zh-CN"/>
                <w14:textFill>
                  <w14:solidFill>
                    <w14:schemeClr w14:val="tx1"/>
                  </w14:solidFill>
                </w14:textFill>
              </w:rPr>
              <w:t>0.</w:t>
            </w:r>
            <w:r>
              <w:rPr>
                <w:rFonts w:hint="eastAsia" w:cs="Times New Roman"/>
                <w:b w:val="0"/>
                <w:bCs/>
                <w:snapToGrid w:val="0"/>
                <w:color w:val="000000" w:themeColor="text1"/>
                <w:kern w:val="21"/>
                <w:sz w:val="21"/>
                <w:szCs w:val="21"/>
                <w:highlight w:val="none"/>
                <w:u w:val="none"/>
                <w:lang w:val="en-US" w:eastAsia="zh-CN"/>
                <w14:textFill>
                  <w14:solidFill>
                    <w14:schemeClr w14:val="tx1"/>
                  </w14:solidFill>
                </w14:textFill>
              </w:rPr>
              <w:t>466</w:t>
            </w:r>
          </w:p>
        </w:tc>
        <w:tc>
          <w:tcPr>
            <w:tcW w:w="1559" w:type="dxa"/>
            <w:noWrap w:val="0"/>
            <w:vAlign w:val="center"/>
          </w:tcPr>
          <w:p w14:paraId="4AA3B30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2F68AC9B">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lang w:val="en-US" w:eastAsia="zh-CN"/>
                <w14:textFill>
                  <w14:solidFill>
                    <w14:schemeClr w14:val="tx1"/>
                  </w14:solidFill>
                </w14:textFill>
              </w:rPr>
              <w:t>0.</w:t>
            </w:r>
            <w:r>
              <w:rPr>
                <w:rFonts w:hint="eastAsia" w:cs="Times New Roman"/>
                <w:b w:val="0"/>
                <w:bCs/>
                <w:snapToGrid w:val="0"/>
                <w:color w:val="000000" w:themeColor="text1"/>
                <w:kern w:val="21"/>
                <w:sz w:val="21"/>
                <w:szCs w:val="21"/>
                <w:highlight w:val="none"/>
                <w:u w:val="none"/>
                <w:lang w:val="en-US" w:eastAsia="zh-CN"/>
                <w14:textFill>
                  <w14:solidFill>
                    <w14:schemeClr w14:val="tx1"/>
                  </w14:solidFill>
                </w14:textFill>
              </w:rPr>
              <w:t>466</w:t>
            </w:r>
          </w:p>
        </w:tc>
        <w:tc>
          <w:tcPr>
            <w:tcW w:w="1276" w:type="dxa"/>
            <w:shd w:val="clear" w:color="auto" w:fill="auto"/>
            <w:noWrap w:val="0"/>
            <w:vAlign w:val="center"/>
          </w:tcPr>
          <w:p w14:paraId="02AE939C">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snapToGrid w:val="0"/>
                <w:color w:val="000000" w:themeColor="text1"/>
                <w:kern w:val="21"/>
                <w:sz w:val="21"/>
                <w:szCs w:val="21"/>
                <w:highlight w:val="none"/>
                <w:u w:val="none"/>
                <w:lang w:val="en-US" w:eastAsia="zh-CN"/>
                <w14:textFill>
                  <w14:solidFill>
                    <w14:schemeClr w14:val="tx1"/>
                  </w14:solidFill>
                </w14:textFill>
              </w:rPr>
              <w:t>+</w:t>
            </w:r>
            <w:r>
              <w:rPr>
                <w:rFonts w:hint="default" w:ascii="Times New Roman" w:hAnsi="Times New Roman" w:eastAsia="宋体" w:cs="Times New Roman"/>
                <w:b w:val="0"/>
                <w:bCs/>
                <w:snapToGrid w:val="0"/>
                <w:color w:val="000000" w:themeColor="text1"/>
                <w:kern w:val="21"/>
                <w:sz w:val="21"/>
                <w:szCs w:val="21"/>
                <w:highlight w:val="none"/>
                <w:u w:val="none"/>
                <w:lang w:val="en-US" w:eastAsia="zh-CN"/>
                <w14:textFill>
                  <w14:solidFill>
                    <w14:schemeClr w14:val="tx1"/>
                  </w14:solidFill>
                </w14:textFill>
              </w:rPr>
              <w:t>0.</w:t>
            </w:r>
            <w:r>
              <w:rPr>
                <w:rFonts w:hint="eastAsia" w:cs="Times New Roman"/>
                <w:b w:val="0"/>
                <w:bCs/>
                <w:snapToGrid w:val="0"/>
                <w:color w:val="000000" w:themeColor="text1"/>
                <w:kern w:val="21"/>
                <w:sz w:val="21"/>
                <w:szCs w:val="21"/>
                <w:highlight w:val="none"/>
                <w:u w:val="none"/>
                <w:lang w:val="en-US" w:eastAsia="zh-CN"/>
                <w14:textFill>
                  <w14:solidFill>
                    <w14:schemeClr w14:val="tx1"/>
                  </w14:solidFill>
                </w14:textFill>
              </w:rPr>
              <w:t>466</w:t>
            </w:r>
          </w:p>
        </w:tc>
      </w:tr>
      <w:tr w14:paraId="731625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5E69959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7A88A9B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NH</w:t>
            </w:r>
            <w:r>
              <w:rPr>
                <w:rFonts w:hint="default" w:ascii="Times New Roman" w:hAnsi="Times New Roman" w:eastAsia="宋体" w:cs="Times New Roman"/>
                <w:b w:val="0"/>
                <w:bCs/>
                <w:snapToGrid w:val="0"/>
                <w:color w:val="000000" w:themeColor="text1"/>
                <w:kern w:val="21"/>
                <w:sz w:val="21"/>
                <w:szCs w:val="21"/>
                <w:highlight w:val="none"/>
                <w:u w:val="none"/>
                <w:vertAlign w:val="subscript"/>
                <w14:textFill>
                  <w14:solidFill>
                    <w14:schemeClr w14:val="tx1"/>
                  </w14:solidFill>
                </w14:textFill>
              </w:rPr>
              <w:t>3</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-N（t/a）</w:t>
            </w:r>
          </w:p>
        </w:tc>
        <w:tc>
          <w:tcPr>
            <w:tcW w:w="1417" w:type="dxa"/>
            <w:noWrap w:val="0"/>
            <w:vAlign w:val="center"/>
          </w:tcPr>
          <w:p w14:paraId="522D54D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119095C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53852A2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noWrap w:val="0"/>
            <w:vAlign w:val="center"/>
          </w:tcPr>
          <w:p w14:paraId="48427ED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lang w:val="en-US" w:eastAsia="zh-CN"/>
                <w14:textFill>
                  <w14:solidFill>
                    <w14:schemeClr w14:val="tx1"/>
                  </w14:solidFill>
                </w14:textFill>
              </w:rPr>
              <w:t>0.0</w:t>
            </w:r>
            <w:r>
              <w:rPr>
                <w:rFonts w:hint="eastAsia" w:cs="Times New Roman"/>
                <w:b w:val="0"/>
                <w:bCs/>
                <w:snapToGrid w:val="0"/>
                <w:color w:val="000000" w:themeColor="text1"/>
                <w:kern w:val="21"/>
                <w:sz w:val="21"/>
                <w:szCs w:val="21"/>
                <w:highlight w:val="none"/>
                <w:u w:val="none"/>
                <w:lang w:val="en-US" w:eastAsia="zh-CN"/>
                <w14:textFill>
                  <w14:solidFill>
                    <w14:schemeClr w14:val="tx1"/>
                  </w14:solidFill>
                </w14:textFill>
              </w:rPr>
              <w:t>47</w:t>
            </w:r>
          </w:p>
        </w:tc>
        <w:tc>
          <w:tcPr>
            <w:tcW w:w="1559" w:type="dxa"/>
            <w:noWrap w:val="0"/>
            <w:vAlign w:val="center"/>
          </w:tcPr>
          <w:p w14:paraId="33391312">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33B2742A">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lang w:val="en-US" w:eastAsia="zh-CN"/>
                <w14:textFill>
                  <w14:solidFill>
                    <w14:schemeClr w14:val="tx1"/>
                  </w14:solidFill>
                </w14:textFill>
              </w:rPr>
              <w:t>0.0</w:t>
            </w:r>
            <w:r>
              <w:rPr>
                <w:rFonts w:hint="eastAsia" w:cs="Times New Roman"/>
                <w:b w:val="0"/>
                <w:bCs/>
                <w:snapToGrid w:val="0"/>
                <w:color w:val="000000" w:themeColor="text1"/>
                <w:kern w:val="21"/>
                <w:sz w:val="21"/>
                <w:szCs w:val="21"/>
                <w:highlight w:val="none"/>
                <w:u w:val="none"/>
                <w:lang w:val="en-US" w:eastAsia="zh-CN"/>
                <w14:textFill>
                  <w14:solidFill>
                    <w14:schemeClr w14:val="tx1"/>
                  </w14:solidFill>
                </w14:textFill>
              </w:rPr>
              <w:t>47</w:t>
            </w:r>
          </w:p>
        </w:tc>
        <w:tc>
          <w:tcPr>
            <w:tcW w:w="1276" w:type="dxa"/>
            <w:shd w:val="clear" w:color="auto" w:fill="auto"/>
            <w:noWrap w:val="0"/>
            <w:vAlign w:val="center"/>
          </w:tcPr>
          <w:p w14:paraId="74F5F773">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snapToGrid w:val="0"/>
                <w:color w:val="000000" w:themeColor="text1"/>
                <w:kern w:val="21"/>
                <w:sz w:val="21"/>
                <w:szCs w:val="21"/>
                <w:highlight w:val="none"/>
                <w:u w:val="none"/>
                <w:lang w:val="en-US" w:eastAsia="zh-CN"/>
                <w14:textFill>
                  <w14:solidFill>
                    <w14:schemeClr w14:val="tx1"/>
                  </w14:solidFill>
                </w14:textFill>
              </w:rPr>
              <w:t>+</w:t>
            </w:r>
            <w:r>
              <w:rPr>
                <w:rFonts w:hint="default" w:ascii="Times New Roman" w:hAnsi="Times New Roman" w:eastAsia="宋体" w:cs="Times New Roman"/>
                <w:b w:val="0"/>
                <w:bCs/>
                <w:snapToGrid w:val="0"/>
                <w:color w:val="000000" w:themeColor="text1"/>
                <w:kern w:val="21"/>
                <w:sz w:val="21"/>
                <w:szCs w:val="21"/>
                <w:highlight w:val="none"/>
                <w:u w:val="none"/>
                <w:lang w:val="en-US" w:eastAsia="zh-CN"/>
                <w14:textFill>
                  <w14:solidFill>
                    <w14:schemeClr w14:val="tx1"/>
                  </w14:solidFill>
                </w14:textFill>
              </w:rPr>
              <w:t>0.0</w:t>
            </w:r>
            <w:r>
              <w:rPr>
                <w:rFonts w:hint="eastAsia" w:cs="Times New Roman"/>
                <w:b w:val="0"/>
                <w:bCs/>
                <w:snapToGrid w:val="0"/>
                <w:color w:val="000000" w:themeColor="text1"/>
                <w:kern w:val="21"/>
                <w:sz w:val="21"/>
                <w:szCs w:val="21"/>
                <w:highlight w:val="none"/>
                <w:u w:val="none"/>
                <w:lang w:val="en-US" w:eastAsia="zh-CN"/>
                <w14:textFill>
                  <w14:solidFill>
                    <w14:schemeClr w14:val="tx1"/>
                  </w14:solidFill>
                </w14:textFill>
              </w:rPr>
              <w:t>47</w:t>
            </w:r>
          </w:p>
        </w:tc>
      </w:tr>
      <w:tr w14:paraId="7FE738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restart"/>
            <w:noWrap w:val="0"/>
            <w:vAlign w:val="center"/>
          </w:tcPr>
          <w:p w14:paraId="62A5A2F8">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一般工业</w:t>
            </w:r>
          </w:p>
          <w:p w14:paraId="0C20DBF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固体废物</w:t>
            </w:r>
          </w:p>
        </w:tc>
        <w:tc>
          <w:tcPr>
            <w:tcW w:w="2171" w:type="dxa"/>
            <w:noWrap w:val="0"/>
            <w:vAlign w:val="center"/>
          </w:tcPr>
          <w:p w14:paraId="471171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t>职工生活垃圾</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64CB187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5E29A28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2AFA58B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4122E83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15.0</w:t>
            </w:r>
          </w:p>
        </w:tc>
        <w:tc>
          <w:tcPr>
            <w:tcW w:w="1559" w:type="dxa"/>
            <w:noWrap w:val="0"/>
            <w:vAlign w:val="center"/>
          </w:tcPr>
          <w:p w14:paraId="6D49524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3D8C3E1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15.0</w:t>
            </w:r>
          </w:p>
        </w:tc>
        <w:tc>
          <w:tcPr>
            <w:tcW w:w="1276" w:type="dxa"/>
            <w:shd w:val="clear" w:color="auto" w:fill="auto"/>
            <w:noWrap w:val="0"/>
            <w:vAlign w:val="center"/>
          </w:tcPr>
          <w:p w14:paraId="1D0F34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15.0</w:t>
            </w:r>
          </w:p>
        </w:tc>
      </w:tr>
      <w:tr w14:paraId="6D4DE5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597F34B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3233DC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t>化粪池污泥</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6717C16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051B069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508DD22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64724A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7.5</w:t>
            </w:r>
          </w:p>
        </w:tc>
        <w:tc>
          <w:tcPr>
            <w:tcW w:w="1559" w:type="dxa"/>
            <w:noWrap w:val="0"/>
            <w:vAlign w:val="center"/>
          </w:tcPr>
          <w:p w14:paraId="08BB5DE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45DC4A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7.5</w:t>
            </w:r>
          </w:p>
        </w:tc>
        <w:tc>
          <w:tcPr>
            <w:tcW w:w="1276" w:type="dxa"/>
            <w:shd w:val="clear" w:color="auto" w:fill="auto"/>
            <w:noWrap w:val="0"/>
            <w:vAlign w:val="center"/>
          </w:tcPr>
          <w:p w14:paraId="408444B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+7.5</w:t>
            </w:r>
          </w:p>
        </w:tc>
      </w:tr>
      <w:tr w14:paraId="1BED44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6720AD8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016F65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肉末残渣</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163CBD2C">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3853081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7556F9D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587438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2.12</w:t>
            </w:r>
          </w:p>
        </w:tc>
        <w:tc>
          <w:tcPr>
            <w:tcW w:w="1559" w:type="dxa"/>
            <w:noWrap w:val="0"/>
            <w:vAlign w:val="center"/>
          </w:tcPr>
          <w:p w14:paraId="09E0841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4B751F7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2.12</w:t>
            </w:r>
          </w:p>
        </w:tc>
        <w:tc>
          <w:tcPr>
            <w:tcW w:w="1276" w:type="dxa"/>
            <w:shd w:val="clear" w:color="auto" w:fill="auto"/>
            <w:noWrap w:val="0"/>
            <w:vAlign w:val="center"/>
          </w:tcPr>
          <w:p w14:paraId="6ACDE8B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+2.12</w:t>
            </w:r>
          </w:p>
        </w:tc>
      </w:tr>
      <w:tr w14:paraId="788960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68A3B24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65A0AE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蔬菜残渣</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7B2EB5A9">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1CC3144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79E12CA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277667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6.4</w:t>
            </w:r>
          </w:p>
        </w:tc>
        <w:tc>
          <w:tcPr>
            <w:tcW w:w="1559" w:type="dxa"/>
            <w:noWrap w:val="0"/>
            <w:vAlign w:val="center"/>
          </w:tcPr>
          <w:p w14:paraId="4FADC50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66C6183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6.4</w:t>
            </w:r>
          </w:p>
        </w:tc>
        <w:tc>
          <w:tcPr>
            <w:tcW w:w="1276" w:type="dxa"/>
            <w:shd w:val="clear" w:color="auto" w:fill="auto"/>
            <w:noWrap w:val="0"/>
            <w:vAlign w:val="center"/>
          </w:tcPr>
          <w:p w14:paraId="1F9311C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6.4</w:t>
            </w:r>
          </w:p>
        </w:tc>
      </w:tr>
      <w:tr w14:paraId="5BD50A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216E0C99">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2F5242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t>废油脂</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6C28E17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7F76B09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62296A9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58135E4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0.295</w:t>
            </w:r>
          </w:p>
        </w:tc>
        <w:tc>
          <w:tcPr>
            <w:tcW w:w="1559" w:type="dxa"/>
            <w:noWrap w:val="0"/>
            <w:vAlign w:val="center"/>
          </w:tcPr>
          <w:p w14:paraId="4BE38A3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4B4CFF7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0.295</w:t>
            </w:r>
          </w:p>
        </w:tc>
        <w:tc>
          <w:tcPr>
            <w:tcW w:w="1276" w:type="dxa"/>
            <w:shd w:val="clear" w:color="auto" w:fill="auto"/>
            <w:noWrap w:val="0"/>
            <w:vAlign w:val="center"/>
          </w:tcPr>
          <w:p w14:paraId="6F013DF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+0.295</w:t>
            </w:r>
          </w:p>
        </w:tc>
      </w:tr>
      <w:tr w14:paraId="24209A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20479B6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5A9F8E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食品残渣</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3F8C0DE8">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2A769FF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2C111855">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048F38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20.0</w:t>
            </w:r>
          </w:p>
        </w:tc>
        <w:tc>
          <w:tcPr>
            <w:tcW w:w="1559" w:type="dxa"/>
            <w:noWrap w:val="0"/>
            <w:vAlign w:val="center"/>
          </w:tcPr>
          <w:p w14:paraId="5935705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0B72B6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20.0</w:t>
            </w:r>
          </w:p>
        </w:tc>
        <w:tc>
          <w:tcPr>
            <w:tcW w:w="1276" w:type="dxa"/>
            <w:shd w:val="clear" w:color="auto" w:fill="auto"/>
            <w:noWrap w:val="0"/>
            <w:vAlign w:val="center"/>
          </w:tcPr>
          <w:p w14:paraId="4AB3875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+20.0</w:t>
            </w:r>
          </w:p>
        </w:tc>
      </w:tr>
      <w:tr w14:paraId="0B3C3E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146B47D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248F23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14:textFill>
                  <w14:solidFill>
                    <w14:schemeClr w14:val="tx1"/>
                  </w14:solidFill>
                </w14:textFill>
              </w:rPr>
              <w:t>废包装材料</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0644E4A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7F53A16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02BB9E5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5AE14F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5.0</w:t>
            </w:r>
          </w:p>
        </w:tc>
        <w:tc>
          <w:tcPr>
            <w:tcW w:w="1559" w:type="dxa"/>
            <w:noWrap w:val="0"/>
            <w:vAlign w:val="center"/>
          </w:tcPr>
          <w:p w14:paraId="2CF9687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4C3E0B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5.0</w:t>
            </w:r>
          </w:p>
        </w:tc>
        <w:tc>
          <w:tcPr>
            <w:tcW w:w="1276" w:type="dxa"/>
            <w:shd w:val="clear" w:color="auto" w:fill="auto"/>
            <w:noWrap w:val="0"/>
            <w:vAlign w:val="center"/>
          </w:tcPr>
          <w:p w14:paraId="65B7CF9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5.0</w:t>
            </w:r>
          </w:p>
        </w:tc>
      </w:tr>
      <w:tr w14:paraId="54AFD1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1C84596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443B2ABC">
            <w:pPr>
              <w:jc w:val="center"/>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b w:val="0"/>
                <w:bCs/>
                <w:color w:val="000000" w:themeColor="text1"/>
                <w:szCs w:val="21"/>
                <w14:textFill>
                  <w14:solidFill>
                    <w14:schemeClr w14:val="tx1"/>
                  </w14:solidFill>
                </w14:textFill>
              </w:rPr>
              <w:t>废石英砂</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4DC5646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632AE3B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72A7192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7B4C218D">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b w:val="0"/>
                <w:bCs/>
                <w:color w:val="000000" w:themeColor="text1"/>
                <w:szCs w:val="21"/>
                <w14:textFill>
                  <w14:solidFill>
                    <w14:schemeClr w14:val="tx1"/>
                  </w14:solidFill>
                </w14:textFill>
              </w:rPr>
              <w:t>0.5</w:t>
            </w:r>
          </w:p>
        </w:tc>
        <w:tc>
          <w:tcPr>
            <w:tcW w:w="1559" w:type="dxa"/>
            <w:noWrap w:val="0"/>
            <w:vAlign w:val="center"/>
          </w:tcPr>
          <w:p w14:paraId="45C360DA">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5957770D">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b w:val="0"/>
                <w:bCs/>
                <w:color w:val="000000" w:themeColor="text1"/>
                <w:szCs w:val="21"/>
                <w14:textFill>
                  <w14:solidFill>
                    <w14:schemeClr w14:val="tx1"/>
                  </w14:solidFill>
                </w14:textFill>
              </w:rPr>
              <w:t>0.5</w:t>
            </w:r>
          </w:p>
        </w:tc>
        <w:tc>
          <w:tcPr>
            <w:tcW w:w="1276" w:type="dxa"/>
            <w:shd w:val="clear" w:color="auto" w:fill="auto"/>
            <w:noWrap w:val="0"/>
            <w:vAlign w:val="center"/>
          </w:tcPr>
          <w:p w14:paraId="70AF64C7">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w:t>
            </w:r>
            <w:r>
              <w:rPr>
                <w:rFonts w:hint="eastAsia"/>
                <w:b w:val="0"/>
                <w:bCs/>
                <w:color w:val="000000" w:themeColor="text1"/>
                <w:szCs w:val="21"/>
                <w14:textFill>
                  <w14:solidFill>
                    <w14:schemeClr w14:val="tx1"/>
                  </w14:solidFill>
                </w14:textFill>
              </w:rPr>
              <w:t>0.5</w:t>
            </w:r>
          </w:p>
        </w:tc>
      </w:tr>
      <w:tr w14:paraId="230981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6C214B8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30AC8E29">
            <w:pPr>
              <w:jc w:val="center"/>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b w:val="0"/>
                <w:bCs/>
                <w:color w:val="000000" w:themeColor="text1"/>
                <w:szCs w:val="21"/>
                <w14:textFill>
                  <w14:solidFill>
                    <w14:schemeClr w14:val="tx1"/>
                  </w14:solidFill>
                </w14:textFill>
              </w:rPr>
              <w:t>废滤芯</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34C4A063">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4DA5F99D">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0E7DABA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504BD85E">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b w:val="0"/>
                <w:bCs/>
                <w:color w:val="000000" w:themeColor="text1"/>
                <w:szCs w:val="21"/>
                <w14:textFill>
                  <w14:solidFill>
                    <w14:schemeClr w14:val="tx1"/>
                  </w14:solidFill>
                </w14:textFill>
              </w:rPr>
              <w:t>0.5</w:t>
            </w:r>
          </w:p>
        </w:tc>
        <w:tc>
          <w:tcPr>
            <w:tcW w:w="1559" w:type="dxa"/>
            <w:noWrap w:val="0"/>
            <w:vAlign w:val="center"/>
          </w:tcPr>
          <w:p w14:paraId="5517CD62">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02439F0D">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b w:val="0"/>
                <w:bCs/>
                <w:color w:val="000000" w:themeColor="text1"/>
                <w:szCs w:val="21"/>
                <w14:textFill>
                  <w14:solidFill>
                    <w14:schemeClr w14:val="tx1"/>
                  </w14:solidFill>
                </w14:textFill>
              </w:rPr>
              <w:t>0.5</w:t>
            </w:r>
          </w:p>
        </w:tc>
        <w:tc>
          <w:tcPr>
            <w:tcW w:w="1276" w:type="dxa"/>
            <w:shd w:val="clear" w:color="auto" w:fill="auto"/>
            <w:noWrap w:val="0"/>
            <w:vAlign w:val="center"/>
          </w:tcPr>
          <w:p w14:paraId="490142CC">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w:t>
            </w:r>
            <w:r>
              <w:rPr>
                <w:rFonts w:hint="eastAsia"/>
                <w:b w:val="0"/>
                <w:bCs/>
                <w:color w:val="000000" w:themeColor="text1"/>
                <w:szCs w:val="21"/>
                <w14:textFill>
                  <w14:solidFill>
                    <w14:schemeClr w14:val="tx1"/>
                  </w14:solidFill>
                </w14:textFill>
              </w:rPr>
              <w:t>0.5</w:t>
            </w:r>
          </w:p>
        </w:tc>
      </w:tr>
      <w:tr w14:paraId="1BFFCF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5CF452C7">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7236A1CE">
            <w:pPr>
              <w:jc w:val="center"/>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b w:val="0"/>
                <w:bCs/>
                <w:color w:val="000000" w:themeColor="text1"/>
                <w:szCs w:val="21"/>
                <w14:textFill>
                  <w14:solidFill>
                    <w14:schemeClr w14:val="tx1"/>
                  </w14:solidFill>
                </w14:textFill>
              </w:rPr>
              <w:t>废活性炭</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6ED5106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341FE28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4340899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28DC8EEF">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b w:val="0"/>
                <w:bCs/>
                <w:color w:val="000000" w:themeColor="text1"/>
                <w:szCs w:val="21"/>
                <w14:textFill>
                  <w14:solidFill>
                    <w14:schemeClr w14:val="tx1"/>
                  </w14:solidFill>
                </w14:textFill>
              </w:rPr>
              <w:t>0.5</w:t>
            </w:r>
          </w:p>
        </w:tc>
        <w:tc>
          <w:tcPr>
            <w:tcW w:w="1559" w:type="dxa"/>
            <w:noWrap w:val="0"/>
            <w:vAlign w:val="center"/>
          </w:tcPr>
          <w:p w14:paraId="4A419D3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747C91CE">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b w:val="0"/>
                <w:bCs/>
                <w:color w:val="000000" w:themeColor="text1"/>
                <w:szCs w:val="21"/>
                <w14:textFill>
                  <w14:solidFill>
                    <w14:schemeClr w14:val="tx1"/>
                  </w14:solidFill>
                </w14:textFill>
              </w:rPr>
              <w:t>0.5</w:t>
            </w:r>
          </w:p>
        </w:tc>
        <w:tc>
          <w:tcPr>
            <w:tcW w:w="1276" w:type="dxa"/>
            <w:shd w:val="clear" w:color="auto" w:fill="auto"/>
            <w:noWrap w:val="0"/>
            <w:vAlign w:val="center"/>
          </w:tcPr>
          <w:p w14:paraId="0AC29608">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w:t>
            </w:r>
            <w:r>
              <w:rPr>
                <w:rFonts w:hint="eastAsia"/>
                <w:b w:val="0"/>
                <w:bCs/>
                <w:color w:val="000000" w:themeColor="text1"/>
                <w:szCs w:val="21"/>
                <w14:textFill>
                  <w14:solidFill>
                    <w14:schemeClr w14:val="tx1"/>
                  </w14:solidFill>
                </w14:textFill>
              </w:rPr>
              <w:t>0.5</w:t>
            </w:r>
          </w:p>
        </w:tc>
      </w:tr>
      <w:tr w14:paraId="779FE0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37211ABF">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12638E5A">
            <w:pPr>
              <w:jc w:val="center"/>
              <w:rPr>
                <w:rFonts w:hint="default"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b w:val="0"/>
                <w:bCs/>
                <w:color w:val="000000" w:themeColor="text1"/>
                <w:kern w:val="0"/>
                <w:szCs w:val="21"/>
                <w14:textFill>
                  <w14:solidFill>
                    <w14:schemeClr w14:val="tx1"/>
                  </w14:solidFill>
                </w14:textFill>
              </w:rPr>
              <w:t>废反渗透膜</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0661BB0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3A46A536">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69FF75B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516B465B">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b w:val="0"/>
                <w:bCs/>
                <w:color w:val="000000" w:themeColor="text1"/>
                <w:kern w:val="0"/>
                <w:szCs w:val="21"/>
                <w14:textFill>
                  <w14:solidFill>
                    <w14:schemeClr w14:val="tx1"/>
                  </w14:solidFill>
                </w14:textFill>
              </w:rPr>
              <w:t>0.</w:t>
            </w:r>
            <w:r>
              <w:rPr>
                <w:rFonts w:hint="eastAsia"/>
                <w:b w:val="0"/>
                <w:bCs/>
                <w:color w:val="000000" w:themeColor="text1"/>
                <w:kern w:val="0"/>
                <w:szCs w:val="21"/>
                <w14:textFill>
                  <w14:solidFill>
                    <w14:schemeClr w14:val="tx1"/>
                  </w14:solidFill>
                </w14:textFill>
              </w:rPr>
              <w:t>2</w:t>
            </w:r>
          </w:p>
        </w:tc>
        <w:tc>
          <w:tcPr>
            <w:tcW w:w="1559" w:type="dxa"/>
            <w:noWrap w:val="0"/>
            <w:vAlign w:val="center"/>
          </w:tcPr>
          <w:p w14:paraId="4B68C51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7A404361">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b w:val="0"/>
                <w:bCs/>
                <w:color w:val="000000" w:themeColor="text1"/>
                <w:kern w:val="0"/>
                <w:szCs w:val="21"/>
                <w14:textFill>
                  <w14:solidFill>
                    <w14:schemeClr w14:val="tx1"/>
                  </w14:solidFill>
                </w14:textFill>
              </w:rPr>
              <w:t>0.</w:t>
            </w:r>
            <w:r>
              <w:rPr>
                <w:rFonts w:hint="eastAsia"/>
                <w:b w:val="0"/>
                <w:bCs/>
                <w:color w:val="000000" w:themeColor="text1"/>
                <w:kern w:val="0"/>
                <w:szCs w:val="21"/>
                <w14:textFill>
                  <w14:solidFill>
                    <w14:schemeClr w14:val="tx1"/>
                  </w14:solidFill>
                </w14:textFill>
              </w:rPr>
              <w:t>2</w:t>
            </w:r>
          </w:p>
        </w:tc>
        <w:tc>
          <w:tcPr>
            <w:tcW w:w="1276" w:type="dxa"/>
            <w:shd w:val="clear" w:color="auto" w:fill="auto"/>
            <w:noWrap w:val="0"/>
            <w:vAlign w:val="center"/>
          </w:tcPr>
          <w:p w14:paraId="58C28886">
            <w:pPr>
              <w:jc w:val="center"/>
              <w:rPr>
                <w:rFonts w:hint="eastAsia" w:ascii="Times New Roman" w:hAnsi="Times New Roman" w:eastAsia="宋体" w:cs="Times New Roman"/>
                <w:b w:val="0"/>
                <w:bCs/>
                <w:color w:val="000000" w:themeColor="text1"/>
                <w:kern w:val="0"/>
                <w:sz w:val="21"/>
                <w:szCs w:val="21"/>
                <w:highlight w:val="none"/>
                <w:u w:val="none"/>
                <w:lang w:val="en-US" w:eastAsia="zh-CN"/>
                <w14:textFill>
                  <w14:solidFill>
                    <w14:schemeClr w14:val="tx1"/>
                  </w14:solidFill>
                </w14:textFill>
              </w:rPr>
            </w:pPr>
            <w:r>
              <w:rPr>
                <w:rFonts w:hint="eastAsia"/>
                <w:b w:val="0"/>
                <w:bCs/>
                <w:color w:val="000000" w:themeColor="text1"/>
                <w:kern w:val="0"/>
                <w:szCs w:val="21"/>
                <w:lang w:val="en-US" w:eastAsia="zh-CN"/>
                <w14:textFill>
                  <w14:solidFill>
                    <w14:schemeClr w14:val="tx1"/>
                  </w14:solidFill>
                </w14:textFill>
              </w:rPr>
              <w:t>+</w:t>
            </w:r>
            <w:r>
              <w:rPr>
                <w:b w:val="0"/>
                <w:bCs/>
                <w:color w:val="000000" w:themeColor="text1"/>
                <w:kern w:val="0"/>
                <w:szCs w:val="21"/>
                <w14:textFill>
                  <w14:solidFill>
                    <w14:schemeClr w14:val="tx1"/>
                  </w14:solidFill>
                </w14:textFill>
              </w:rPr>
              <w:t>0.</w:t>
            </w:r>
            <w:r>
              <w:rPr>
                <w:rFonts w:hint="eastAsia"/>
                <w:b w:val="0"/>
                <w:bCs/>
                <w:color w:val="000000" w:themeColor="text1"/>
                <w:kern w:val="0"/>
                <w:szCs w:val="21"/>
                <w14:textFill>
                  <w14:solidFill>
                    <w14:schemeClr w14:val="tx1"/>
                  </w14:solidFill>
                </w14:textFill>
              </w:rPr>
              <w:t>2</w:t>
            </w:r>
          </w:p>
        </w:tc>
      </w:tr>
      <w:tr w14:paraId="1BC908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3C890B7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34C972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污水处理污泥</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587223F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0BD20AAE">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548B3A54">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shd w:val="clear" w:color="auto" w:fill="auto"/>
            <w:noWrap w:val="0"/>
            <w:vAlign w:val="center"/>
          </w:tcPr>
          <w:p w14:paraId="44573E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5.515</w:t>
            </w:r>
          </w:p>
        </w:tc>
        <w:tc>
          <w:tcPr>
            <w:tcW w:w="1559" w:type="dxa"/>
            <w:noWrap w:val="0"/>
            <w:vAlign w:val="center"/>
          </w:tcPr>
          <w:p w14:paraId="62F21150">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67D627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5.515</w:t>
            </w:r>
          </w:p>
        </w:tc>
        <w:tc>
          <w:tcPr>
            <w:tcW w:w="1276" w:type="dxa"/>
            <w:shd w:val="clear" w:color="auto" w:fill="auto"/>
            <w:noWrap w:val="0"/>
            <w:vAlign w:val="center"/>
          </w:tcPr>
          <w:p w14:paraId="28D77E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kern w:val="0"/>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5.515</w:t>
            </w:r>
          </w:p>
        </w:tc>
      </w:tr>
      <w:tr w14:paraId="2FC68E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restart"/>
            <w:noWrap w:val="0"/>
            <w:vAlign w:val="center"/>
          </w:tcPr>
          <w:p w14:paraId="5E794DEB">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危险废物</w:t>
            </w:r>
          </w:p>
        </w:tc>
        <w:tc>
          <w:tcPr>
            <w:tcW w:w="2171" w:type="dxa"/>
            <w:noWrap w:val="0"/>
            <w:vAlign w:val="center"/>
          </w:tcPr>
          <w:p w14:paraId="3A7DE10A">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t>废润滑油</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7E6E5739">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282B38FC">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1CE164FC">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noWrap w:val="0"/>
            <w:vAlign w:val="center"/>
          </w:tcPr>
          <w:p w14:paraId="608D280D">
            <w:pPr>
              <w:pStyle w:val="44"/>
              <w:snapToGrid w:val="0"/>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ascii="Times New Roman" w:hAnsi="Times New Roman"/>
                <w:b w:val="0"/>
                <w:bCs/>
                <w:sz w:val="21"/>
                <w:szCs w:val="21"/>
                <w:highlight w:val="none"/>
              </w:rPr>
              <w:t>0.</w:t>
            </w:r>
            <w:r>
              <w:rPr>
                <w:rFonts w:hint="eastAsia" w:ascii="Times New Roman" w:hAnsi="Times New Roman"/>
                <w:b w:val="0"/>
                <w:bCs/>
                <w:sz w:val="21"/>
                <w:szCs w:val="21"/>
                <w:highlight w:val="none"/>
              </w:rPr>
              <w:t>5</w:t>
            </w:r>
          </w:p>
        </w:tc>
        <w:tc>
          <w:tcPr>
            <w:tcW w:w="1559" w:type="dxa"/>
            <w:noWrap w:val="0"/>
            <w:vAlign w:val="center"/>
          </w:tcPr>
          <w:p w14:paraId="3DFF0EAE">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19AD026E">
            <w:pPr>
              <w:pStyle w:val="44"/>
              <w:snapToGrid w:val="0"/>
              <w:rPr>
                <w:rFonts w:hint="default" w:ascii="Times New Roman" w:hAnsi="Times New Roman" w:eastAsia="宋体" w:cs="Times New Roman"/>
                <w:b w:val="0"/>
                <w:bCs/>
                <w:color w:val="000000" w:themeColor="text1"/>
                <w:kern w:val="24"/>
                <w:sz w:val="21"/>
                <w:szCs w:val="21"/>
                <w:highlight w:val="none"/>
                <w:u w:val="none"/>
                <w:lang w:val="en-US" w:eastAsia="zh-CN" w:bidi="ar-SA"/>
                <w14:textFill>
                  <w14:solidFill>
                    <w14:schemeClr w14:val="tx1"/>
                  </w14:solidFill>
                </w14:textFill>
              </w:rPr>
            </w:pPr>
            <w:r>
              <w:rPr>
                <w:rFonts w:ascii="Times New Roman" w:hAnsi="Times New Roman"/>
                <w:b w:val="0"/>
                <w:bCs/>
                <w:sz w:val="21"/>
                <w:szCs w:val="21"/>
                <w:highlight w:val="none"/>
              </w:rPr>
              <w:t>0.</w:t>
            </w:r>
            <w:r>
              <w:rPr>
                <w:rFonts w:hint="eastAsia" w:ascii="Times New Roman" w:hAnsi="Times New Roman"/>
                <w:b w:val="0"/>
                <w:bCs/>
                <w:sz w:val="21"/>
                <w:szCs w:val="21"/>
                <w:highlight w:val="none"/>
              </w:rPr>
              <w:t>5</w:t>
            </w:r>
          </w:p>
        </w:tc>
        <w:tc>
          <w:tcPr>
            <w:tcW w:w="1276" w:type="dxa"/>
            <w:noWrap w:val="0"/>
            <w:vAlign w:val="center"/>
          </w:tcPr>
          <w:p w14:paraId="39A7D1D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0"/>
                <w:sz w:val="21"/>
                <w:szCs w:val="21"/>
                <w:u w:val="none"/>
                <w:lang w:val="en-US" w:eastAsia="zh-CN"/>
                <w14:textFill>
                  <w14:solidFill>
                    <w14:schemeClr w14:val="tx1"/>
                  </w14:solidFill>
                </w14:textFill>
              </w:rPr>
              <w:t>+</w:t>
            </w:r>
            <w:r>
              <w:rPr>
                <w:rFonts w:ascii="Times New Roman" w:hAnsi="Times New Roman"/>
                <w:b w:val="0"/>
                <w:bCs/>
                <w:sz w:val="21"/>
                <w:szCs w:val="21"/>
                <w:highlight w:val="none"/>
              </w:rPr>
              <w:t>0.</w:t>
            </w:r>
            <w:r>
              <w:rPr>
                <w:rFonts w:hint="eastAsia" w:ascii="Times New Roman" w:hAnsi="Times New Roman"/>
                <w:b w:val="0"/>
                <w:bCs/>
                <w:sz w:val="21"/>
                <w:szCs w:val="21"/>
                <w:highlight w:val="none"/>
              </w:rPr>
              <w:t>5</w:t>
            </w:r>
          </w:p>
        </w:tc>
      </w:tr>
      <w:tr w14:paraId="694C32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noWrap w:val="0"/>
            <w:vAlign w:val="center"/>
          </w:tcPr>
          <w:p w14:paraId="64BA9FE1">
            <w:pPr>
              <w:pStyle w:val="27"/>
              <w:keepNext w:val="0"/>
              <w:keepLines w:val="0"/>
              <w:pageBreakBefore w:val="0"/>
              <w:widowControl w:val="0"/>
              <w:kinsoku/>
              <w:wordWrap/>
              <w:overflowPunct/>
              <w:topLinePunct w:val="0"/>
              <w:bidi w:val="0"/>
              <w:spacing w:line="240" w:lineRule="auto"/>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2171" w:type="dxa"/>
            <w:noWrap w:val="0"/>
            <w:vAlign w:val="center"/>
          </w:tcPr>
          <w:p w14:paraId="6E6B11AE">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b w:val="0"/>
                <w:bCs/>
                <w:snapToGrid w:val="0"/>
                <w:color w:val="000000" w:themeColor="text1"/>
                <w:kern w:val="2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t>废润滑油桶</w:t>
            </w:r>
            <w:r>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t>（t/a）</w:t>
            </w:r>
          </w:p>
        </w:tc>
        <w:tc>
          <w:tcPr>
            <w:tcW w:w="1417" w:type="dxa"/>
            <w:noWrap w:val="0"/>
            <w:vAlign w:val="center"/>
          </w:tcPr>
          <w:p w14:paraId="78BFF065">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276" w:type="dxa"/>
            <w:noWrap w:val="0"/>
            <w:vAlign w:val="center"/>
          </w:tcPr>
          <w:p w14:paraId="2A019C88">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noWrap w:val="0"/>
            <w:vAlign w:val="center"/>
          </w:tcPr>
          <w:p w14:paraId="26EAC839">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559" w:type="dxa"/>
            <w:noWrap w:val="0"/>
            <w:vAlign w:val="center"/>
          </w:tcPr>
          <w:p w14:paraId="3CC044D8">
            <w:pPr>
              <w:pStyle w:val="44"/>
              <w:snapToGrid w:val="0"/>
              <w:rPr>
                <w:rFonts w:hint="eastAsia"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ascii="Times New Roman" w:hAnsi="Times New Roman"/>
                <w:b w:val="0"/>
                <w:bCs/>
                <w:sz w:val="21"/>
                <w:szCs w:val="21"/>
                <w:highlight w:val="none"/>
              </w:rPr>
              <w:t>0.</w:t>
            </w:r>
            <w:r>
              <w:rPr>
                <w:rFonts w:hint="eastAsia" w:ascii="Times New Roman" w:hAnsi="Times New Roman"/>
                <w:b w:val="0"/>
                <w:bCs/>
                <w:sz w:val="21"/>
                <w:szCs w:val="21"/>
                <w:highlight w:val="none"/>
              </w:rPr>
              <w:t>1</w:t>
            </w:r>
          </w:p>
        </w:tc>
        <w:tc>
          <w:tcPr>
            <w:tcW w:w="1559" w:type="dxa"/>
            <w:noWrap w:val="0"/>
            <w:vAlign w:val="center"/>
          </w:tcPr>
          <w:p w14:paraId="40D48987">
            <w:pPr>
              <w:pStyle w:val="27"/>
              <w:keepNext w:val="0"/>
              <w:keepLines w:val="0"/>
              <w:pageBreakBefore w:val="0"/>
              <w:widowControl w:val="0"/>
              <w:kinsoku/>
              <w:wordWrap/>
              <w:overflowPunct/>
              <w:topLinePunct w:val="0"/>
              <w:bidi w:val="0"/>
              <w:spacing w:line="240" w:lineRule="auto"/>
              <w:ind w:firstLine="0" w:firstLineChars="0"/>
              <w:rPr>
                <w:rFonts w:hint="default" w:ascii="Times New Roman" w:hAnsi="Times New Roman" w:eastAsia="宋体" w:cs="Times New Roman"/>
                <w:b w:val="0"/>
                <w:bCs/>
                <w:snapToGrid w:val="0"/>
                <w:color w:val="000000" w:themeColor="text1"/>
                <w:kern w:val="21"/>
                <w:sz w:val="21"/>
                <w:szCs w:val="21"/>
                <w:highlight w:val="none"/>
                <w:u w:val="none"/>
                <w14:textFill>
                  <w14:solidFill>
                    <w14:schemeClr w14:val="tx1"/>
                  </w14:solidFill>
                </w14:textFill>
              </w:rPr>
            </w:pPr>
          </w:p>
        </w:tc>
        <w:tc>
          <w:tcPr>
            <w:tcW w:w="1701" w:type="dxa"/>
            <w:shd w:val="clear" w:color="auto" w:fill="auto"/>
            <w:noWrap w:val="0"/>
            <w:vAlign w:val="center"/>
          </w:tcPr>
          <w:p w14:paraId="6556E563">
            <w:pPr>
              <w:pStyle w:val="44"/>
              <w:snapToGrid w:val="0"/>
              <w:rPr>
                <w:rFonts w:hint="eastAsia"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ascii="Times New Roman" w:hAnsi="Times New Roman"/>
                <w:b w:val="0"/>
                <w:bCs/>
                <w:sz w:val="21"/>
                <w:szCs w:val="21"/>
                <w:highlight w:val="none"/>
              </w:rPr>
              <w:t>0.</w:t>
            </w:r>
            <w:r>
              <w:rPr>
                <w:rFonts w:hint="eastAsia" w:ascii="Times New Roman" w:hAnsi="Times New Roman"/>
                <w:b w:val="0"/>
                <w:bCs/>
                <w:sz w:val="21"/>
                <w:szCs w:val="21"/>
                <w:highlight w:val="none"/>
              </w:rPr>
              <w:t>1</w:t>
            </w:r>
          </w:p>
        </w:tc>
        <w:tc>
          <w:tcPr>
            <w:tcW w:w="1276" w:type="dxa"/>
            <w:noWrap w:val="0"/>
            <w:vAlign w:val="center"/>
          </w:tcPr>
          <w:p w14:paraId="0B5B3916">
            <w:pPr>
              <w:pStyle w:val="44"/>
              <w:keepNext w:val="0"/>
              <w:keepLines w:val="0"/>
              <w:pageBreakBefore w:val="0"/>
              <w:widowControl w:val="0"/>
              <w:kinsoku/>
              <w:wordWrap/>
              <w:overflowPunct/>
              <w:topLinePunct w:val="0"/>
              <w:bidi w:val="0"/>
              <w:snapToGrid w:val="0"/>
              <w:spacing w:line="240" w:lineRule="auto"/>
              <w:rPr>
                <w:rFonts w:hint="eastAsia"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t>0.</w:t>
            </w:r>
            <w:r>
              <w:rPr>
                <w:rFonts w:hint="eastAsia"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t>1</w:t>
            </w:r>
          </w:p>
        </w:tc>
      </w:tr>
    </w:tbl>
    <w:p w14:paraId="1E86A348">
      <w:pPr>
        <w:pStyle w:val="27"/>
        <w:spacing w:before="249" w:beforeLines="80" w:after="31"/>
        <w:jc w:val="left"/>
        <w:rPr>
          <w:highlight w:val="none"/>
        </w:rPr>
      </w:pPr>
      <w:r>
        <w:rPr>
          <w:rFonts w:ascii="Times New Roman"/>
          <w:snapToGrid w:val="0"/>
          <w:color w:val="000000"/>
          <w:kern w:val="21"/>
          <w:szCs w:val="21"/>
          <w:highlight w:val="none"/>
        </w:rPr>
        <w:t>注：</w:t>
      </w:r>
      <w:r>
        <w:rPr>
          <w:rFonts w:ascii="Times New Roman"/>
          <w:snapToGrid w:val="0"/>
          <w:color w:val="000000"/>
          <w:spacing w:val="-16"/>
          <w:kern w:val="21"/>
          <w:szCs w:val="21"/>
          <w:highlight w:val="none"/>
        </w:rPr>
        <w:fldChar w:fldCharType="begin"/>
      </w:r>
      <w:r>
        <w:rPr>
          <w:rFonts w:ascii="Times New Roman"/>
          <w:snapToGrid w:val="0"/>
          <w:color w:val="000000"/>
          <w:spacing w:val="-16"/>
          <w:kern w:val="21"/>
          <w:szCs w:val="21"/>
          <w:highlight w:val="none"/>
        </w:rPr>
        <w:instrText xml:space="preserve"> = 6 \* GB3 \* MERGEFORMAT </w:instrText>
      </w:r>
      <w:r>
        <w:rPr>
          <w:rFonts w:ascii="Times New Roman"/>
          <w:snapToGrid w:val="0"/>
          <w:color w:val="000000"/>
          <w:spacing w:val="-16"/>
          <w:kern w:val="21"/>
          <w:szCs w:val="21"/>
          <w:highlight w:val="none"/>
        </w:rPr>
        <w:fldChar w:fldCharType="separate"/>
      </w:r>
      <w:r>
        <w:rPr>
          <w:rFonts w:hint="eastAsia" w:hAnsi="宋体" w:cs="宋体"/>
          <w:color w:val="000000"/>
          <w:szCs w:val="21"/>
          <w:highlight w:val="none"/>
        </w:rPr>
        <w:t>⑥</w:t>
      </w:r>
      <w:r>
        <w:rPr>
          <w:rFonts w:ascii="Times New Roman"/>
          <w:snapToGrid w:val="0"/>
          <w:color w:val="000000"/>
          <w:spacing w:val="-16"/>
          <w:kern w:val="21"/>
          <w:szCs w:val="21"/>
          <w:highlight w:val="none"/>
        </w:rPr>
        <w:fldChar w:fldCharType="end"/>
      </w:r>
      <w:r>
        <w:rPr>
          <w:rFonts w:ascii="Times New Roman"/>
          <w:snapToGrid w:val="0"/>
          <w:color w:val="000000"/>
          <w:spacing w:val="-16"/>
          <w:kern w:val="21"/>
          <w:szCs w:val="21"/>
          <w:highlight w:val="none"/>
        </w:rPr>
        <w:t>=</w:t>
      </w:r>
      <w:r>
        <w:rPr>
          <w:rFonts w:ascii="Times New Roman"/>
          <w:snapToGrid w:val="0"/>
          <w:color w:val="000000"/>
          <w:spacing w:val="-6"/>
          <w:kern w:val="21"/>
          <w:szCs w:val="21"/>
          <w:highlight w:val="none"/>
        </w:rPr>
        <w:fldChar w:fldCharType="begin"/>
      </w:r>
      <w:r>
        <w:rPr>
          <w:rFonts w:ascii="Times New Roman"/>
          <w:snapToGrid w:val="0"/>
          <w:color w:val="000000"/>
          <w:spacing w:val="-6"/>
          <w:kern w:val="21"/>
          <w:szCs w:val="21"/>
          <w:highlight w:val="none"/>
        </w:rPr>
        <w:instrText xml:space="preserve"> = 1 \* GB3 \* MERGEFORMAT </w:instrText>
      </w:r>
      <w:r>
        <w:rPr>
          <w:rFonts w:ascii="Times New Roman"/>
          <w:snapToGrid w:val="0"/>
          <w:color w:val="000000"/>
          <w:spacing w:val="-6"/>
          <w:kern w:val="21"/>
          <w:szCs w:val="21"/>
          <w:highlight w:val="none"/>
        </w:rPr>
        <w:fldChar w:fldCharType="separate"/>
      </w:r>
      <w:r>
        <w:rPr>
          <w:rFonts w:hint="eastAsia" w:hAnsi="宋体" w:cs="宋体"/>
          <w:color w:val="000000"/>
          <w:szCs w:val="21"/>
          <w:highlight w:val="none"/>
        </w:rPr>
        <w:t>①</w:t>
      </w:r>
      <w:r>
        <w:rPr>
          <w:rFonts w:ascii="Times New Roman"/>
          <w:snapToGrid w:val="0"/>
          <w:color w:val="000000"/>
          <w:spacing w:val="-6"/>
          <w:kern w:val="21"/>
          <w:szCs w:val="21"/>
          <w:highlight w:val="none"/>
        </w:rPr>
        <w:fldChar w:fldCharType="end"/>
      </w:r>
      <w:r>
        <w:rPr>
          <w:rFonts w:ascii="Times New Roman"/>
          <w:snapToGrid w:val="0"/>
          <w:color w:val="000000"/>
          <w:spacing w:val="-6"/>
          <w:kern w:val="21"/>
          <w:szCs w:val="21"/>
          <w:highlight w:val="none"/>
        </w:rPr>
        <w:t>+</w:t>
      </w:r>
      <w:r>
        <w:rPr>
          <w:rFonts w:ascii="Times New Roman"/>
          <w:snapToGrid w:val="0"/>
          <w:color w:val="000000"/>
          <w:spacing w:val="-6"/>
          <w:kern w:val="21"/>
          <w:szCs w:val="21"/>
          <w:highlight w:val="none"/>
        </w:rPr>
        <w:fldChar w:fldCharType="begin"/>
      </w:r>
      <w:r>
        <w:rPr>
          <w:rFonts w:ascii="Times New Roman"/>
          <w:snapToGrid w:val="0"/>
          <w:color w:val="000000"/>
          <w:spacing w:val="-6"/>
          <w:kern w:val="21"/>
          <w:szCs w:val="21"/>
          <w:highlight w:val="none"/>
        </w:rPr>
        <w:instrText xml:space="preserve"> = 3 \* GB3 \* MERGEFORMAT </w:instrText>
      </w:r>
      <w:r>
        <w:rPr>
          <w:rFonts w:ascii="Times New Roman"/>
          <w:snapToGrid w:val="0"/>
          <w:color w:val="000000"/>
          <w:spacing w:val="-6"/>
          <w:kern w:val="21"/>
          <w:szCs w:val="21"/>
          <w:highlight w:val="none"/>
        </w:rPr>
        <w:fldChar w:fldCharType="separate"/>
      </w:r>
      <w:r>
        <w:rPr>
          <w:rFonts w:hint="eastAsia" w:hAnsi="宋体" w:cs="宋体"/>
          <w:color w:val="000000"/>
          <w:szCs w:val="21"/>
          <w:highlight w:val="none"/>
        </w:rPr>
        <w:t>③</w:t>
      </w:r>
      <w:r>
        <w:rPr>
          <w:rFonts w:ascii="Times New Roman"/>
          <w:snapToGrid w:val="0"/>
          <w:color w:val="000000"/>
          <w:spacing w:val="-6"/>
          <w:kern w:val="21"/>
          <w:szCs w:val="21"/>
          <w:highlight w:val="none"/>
        </w:rPr>
        <w:fldChar w:fldCharType="end"/>
      </w:r>
      <w:r>
        <w:rPr>
          <w:rFonts w:ascii="Times New Roman"/>
          <w:snapToGrid w:val="0"/>
          <w:color w:val="000000"/>
          <w:spacing w:val="-6"/>
          <w:kern w:val="21"/>
          <w:szCs w:val="21"/>
          <w:highlight w:val="none"/>
        </w:rPr>
        <w:t>+</w:t>
      </w:r>
      <w:r>
        <w:rPr>
          <w:rFonts w:ascii="Times New Roman"/>
          <w:snapToGrid w:val="0"/>
          <w:color w:val="000000"/>
          <w:spacing w:val="-6"/>
          <w:kern w:val="21"/>
          <w:szCs w:val="21"/>
          <w:highlight w:val="none"/>
        </w:rPr>
        <w:fldChar w:fldCharType="begin"/>
      </w:r>
      <w:r>
        <w:rPr>
          <w:rFonts w:ascii="Times New Roman"/>
          <w:snapToGrid w:val="0"/>
          <w:color w:val="000000"/>
          <w:spacing w:val="-6"/>
          <w:kern w:val="21"/>
          <w:szCs w:val="21"/>
          <w:highlight w:val="none"/>
        </w:rPr>
        <w:instrText xml:space="preserve"> = 4 \* GB3 \* MERGEFORMAT </w:instrText>
      </w:r>
      <w:r>
        <w:rPr>
          <w:rFonts w:ascii="Times New Roman"/>
          <w:snapToGrid w:val="0"/>
          <w:color w:val="000000"/>
          <w:spacing w:val="-6"/>
          <w:kern w:val="21"/>
          <w:szCs w:val="21"/>
          <w:highlight w:val="none"/>
        </w:rPr>
        <w:fldChar w:fldCharType="separate"/>
      </w:r>
      <w:r>
        <w:rPr>
          <w:rFonts w:hint="eastAsia" w:hAnsi="宋体" w:cs="宋体"/>
          <w:color w:val="000000"/>
          <w:szCs w:val="21"/>
          <w:highlight w:val="none"/>
        </w:rPr>
        <w:t>④</w:t>
      </w:r>
      <w:r>
        <w:rPr>
          <w:rFonts w:ascii="Times New Roman"/>
          <w:snapToGrid w:val="0"/>
          <w:color w:val="000000"/>
          <w:spacing w:val="-6"/>
          <w:kern w:val="21"/>
          <w:szCs w:val="21"/>
          <w:highlight w:val="none"/>
        </w:rPr>
        <w:fldChar w:fldCharType="end"/>
      </w:r>
      <w:r>
        <w:rPr>
          <w:rFonts w:ascii="Times New Roman"/>
          <w:snapToGrid w:val="0"/>
          <w:color w:val="000000"/>
          <w:spacing w:val="-6"/>
          <w:kern w:val="21"/>
          <w:szCs w:val="21"/>
          <w:highlight w:val="none"/>
        </w:rPr>
        <w:t>-</w:t>
      </w:r>
      <w:r>
        <w:rPr>
          <w:rFonts w:ascii="Times New Roman"/>
          <w:snapToGrid w:val="0"/>
          <w:color w:val="000000"/>
          <w:spacing w:val="-16"/>
          <w:kern w:val="21"/>
          <w:szCs w:val="21"/>
          <w:highlight w:val="none"/>
        </w:rPr>
        <w:fldChar w:fldCharType="begin"/>
      </w:r>
      <w:r>
        <w:rPr>
          <w:rFonts w:ascii="Times New Roman"/>
          <w:snapToGrid w:val="0"/>
          <w:color w:val="000000"/>
          <w:spacing w:val="-16"/>
          <w:kern w:val="21"/>
          <w:szCs w:val="21"/>
          <w:highlight w:val="none"/>
        </w:rPr>
        <w:instrText xml:space="preserve"> = 5 \* GB3 \* MERGEFORMAT </w:instrText>
      </w:r>
      <w:r>
        <w:rPr>
          <w:rFonts w:ascii="Times New Roman"/>
          <w:snapToGrid w:val="0"/>
          <w:color w:val="000000"/>
          <w:spacing w:val="-16"/>
          <w:kern w:val="21"/>
          <w:szCs w:val="21"/>
          <w:highlight w:val="none"/>
        </w:rPr>
        <w:fldChar w:fldCharType="separate"/>
      </w:r>
      <w:r>
        <w:rPr>
          <w:rFonts w:hint="eastAsia" w:hAnsi="宋体" w:cs="宋体"/>
          <w:color w:val="000000"/>
          <w:szCs w:val="21"/>
          <w:highlight w:val="none"/>
        </w:rPr>
        <w:t>⑤</w:t>
      </w:r>
      <w:r>
        <w:rPr>
          <w:rFonts w:ascii="Times New Roman"/>
          <w:snapToGrid w:val="0"/>
          <w:color w:val="000000"/>
          <w:spacing w:val="-16"/>
          <w:kern w:val="21"/>
          <w:szCs w:val="21"/>
          <w:highlight w:val="none"/>
        </w:rPr>
        <w:fldChar w:fldCharType="end"/>
      </w:r>
      <w:r>
        <w:rPr>
          <w:rFonts w:ascii="Times New Roman"/>
          <w:snapToGrid w:val="0"/>
          <w:color w:val="000000"/>
          <w:spacing w:val="-16"/>
          <w:kern w:val="21"/>
          <w:szCs w:val="21"/>
          <w:highlight w:val="none"/>
        </w:rPr>
        <w:t>；</w:t>
      </w:r>
      <w:r>
        <w:rPr>
          <w:rFonts w:ascii="Times New Roman"/>
          <w:snapToGrid w:val="0"/>
          <w:color w:val="000000"/>
          <w:spacing w:val="-6"/>
          <w:kern w:val="21"/>
          <w:szCs w:val="21"/>
          <w:highlight w:val="none"/>
        </w:rPr>
        <w:fldChar w:fldCharType="begin"/>
      </w:r>
      <w:r>
        <w:rPr>
          <w:rFonts w:ascii="Times New Roman"/>
          <w:snapToGrid w:val="0"/>
          <w:color w:val="000000"/>
          <w:spacing w:val="-6"/>
          <w:kern w:val="21"/>
          <w:szCs w:val="21"/>
          <w:highlight w:val="none"/>
        </w:rPr>
        <w:instrText xml:space="preserve"> = 7 \* GB3 \* MERGEFORMAT </w:instrText>
      </w:r>
      <w:r>
        <w:rPr>
          <w:rFonts w:ascii="Times New Roman"/>
          <w:snapToGrid w:val="0"/>
          <w:color w:val="000000"/>
          <w:spacing w:val="-6"/>
          <w:kern w:val="21"/>
          <w:szCs w:val="21"/>
          <w:highlight w:val="none"/>
        </w:rPr>
        <w:fldChar w:fldCharType="separate"/>
      </w:r>
      <w:r>
        <w:rPr>
          <w:rFonts w:hint="eastAsia" w:hAnsi="宋体" w:cs="宋体"/>
          <w:color w:val="000000"/>
          <w:szCs w:val="21"/>
          <w:highlight w:val="none"/>
        </w:rPr>
        <w:t>⑦</w:t>
      </w:r>
      <w:r>
        <w:rPr>
          <w:rFonts w:ascii="Times New Roman"/>
          <w:snapToGrid w:val="0"/>
          <w:color w:val="000000"/>
          <w:spacing w:val="-6"/>
          <w:kern w:val="21"/>
          <w:szCs w:val="21"/>
          <w:highlight w:val="none"/>
        </w:rPr>
        <w:fldChar w:fldCharType="end"/>
      </w:r>
      <w:r>
        <w:rPr>
          <w:rFonts w:ascii="Times New Roman"/>
          <w:snapToGrid w:val="0"/>
          <w:color w:val="000000"/>
          <w:spacing w:val="-6"/>
          <w:kern w:val="21"/>
          <w:szCs w:val="21"/>
          <w:highlight w:val="none"/>
        </w:rPr>
        <w:t>=</w:t>
      </w:r>
      <w:r>
        <w:rPr>
          <w:rFonts w:ascii="Times New Roman"/>
          <w:snapToGrid w:val="0"/>
          <w:color w:val="000000"/>
          <w:spacing w:val="-16"/>
          <w:kern w:val="21"/>
          <w:szCs w:val="21"/>
          <w:highlight w:val="none"/>
        </w:rPr>
        <w:fldChar w:fldCharType="begin"/>
      </w:r>
      <w:r>
        <w:rPr>
          <w:rFonts w:ascii="Times New Roman"/>
          <w:snapToGrid w:val="0"/>
          <w:color w:val="000000"/>
          <w:spacing w:val="-16"/>
          <w:kern w:val="21"/>
          <w:szCs w:val="21"/>
          <w:highlight w:val="none"/>
        </w:rPr>
        <w:instrText xml:space="preserve"> = 6 \* GB3 \* MERGEFORMAT </w:instrText>
      </w:r>
      <w:r>
        <w:rPr>
          <w:rFonts w:ascii="Times New Roman"/>
          <w:snapToGrid w:val="0"/>
          <w:color w:val="000000"/>
          <w:spacing w:val="-16"/>
          <w:kern w:val="21"/>
          <w:szCs w:val="21"/>
          <w:highlight w:val="none"/>
        </w:rPr>
        <w:fldChar w:fldCharType="separate"/>
      </w:r>
      <w:r>
        <w:rPr>
          <w:rFonts w:hint="eastAsia" w:hAnsi="宋体" w:cs="宋体"/>
          <w:color w:val="000000"/>
          <w:szCs w:val="21"/>
          <w:highlight w:val="none"/>
        </w:rPr>
        <w:t>⑥</w:t>
      </w:r>
      <w:r>
        <w:rPr>
          <w:rFonts w:ascii="Times New Roman"/>
          <w:snapToGrid w:val="0"/>
          <w:color w:val="000000"/>
          <w:spacing w:val="-16"/>
          <w:kern w:val="21"/>
          <w:szCs w:val="21"/>
          <w:highlight w:val="none"/>
        </w:rPr>
        <w:fldChar w:fldCharType="end"/>
      </w:r>
      <w:r>
        <w:rPr>
          <w:rFonts w:ascii="Times New Roman"/>
          <w:snapToGrid w:val="0"/>
          <w:color w:val="000000"/>
          <w:spacing w:val="-16"/>
          <w:kern w:val="21"/>
          <w:szCs w:val="21"/>
          <w:highlight w:val="none"/>
        </w:rPr>
        <w:t>-</w:t>
      </w:r>
      <w:r>
        <w:rPr>
          <w:rFonts w:ascii="Times New Roman"/>
          <w:snapToGrid w:val="0"/>
          <w:color w:val="000000"/>
          <w:spacing w:val="-6"/>
          <w:kern w:val="21"/>
          <w:szCs w:val="21"/>
          <w:highlight w:val="none"/>
        </w:rPr>
        <w:fldChar w:fldCharType="begin"/>
      </w:r>
      <w:r>
        <w:rPr>
          <w:rFonts w:ascii="Times New Roman"/>
          <w:snapToGrid w:val="0"/>
          <w:color w:val="000000"/>
          <w:spacing w:val="-6"/>
          <w:kern w:val="21"/>
          <w:szCs w:val="21"/>
          <w:highlight w:val="none"/>
        </w:rPr>
        <w:instrText xml:space="preserve"> = 1 \* GB3 \* MERGEFORMAT </w:instrText>
      </w:r>
      <w:r>
        <w:rPr>
          <w:rFonts w:ascii="Times New Roman"/>
          <w:snapToGrid w:val="0"/>
          <w:color w:val="000000"/>
          <w:spacing w:val="-6"/>
          <w:kern w:val="21"/>
          <w:szCs w:val="21"/>
          <w:highlight w:val="none"/>
        </w:rPr>
        <w:fldChar w:fldCharType="separate"/>
      </w:r>
      <w:r>
        <w:rPr>
          <w:rFonts w:hint="eastAsia" w:hAnsi="宋体" w:cs="宋体"/>
          <w:color w:val="000000"/>
          <w:szCs w:val="21"/>
          <w:highlight w:val="none"/>
        </w:rPr>
        <w:t>①</w:t>
      </w:r>
      <w:r>
        <w:rPr>
          <w:rFonts w:ascii="Times New Roman"/>
          <w:snapToGrid w:val="0"/>
          <w:color w:val="000000"/>
          <w:spacing w:val="-6"/>
          <w:kern w:val="21"/>
          <w:szCs w:val="21"/>
          <w:highlight w:val="none"/>
        </w:rPr>
        <w:fldChar w:fldCharType="end"/>
      </w:r>
    </w:p>
    <w:p w14:paraId="0D5000DE">
      <w:pPr>
        <w:pStyle w:val="4"/>
        <w:rPr>
          <w:rFonts w:ascii="Times New Roman" w:hAnsi="Times New Roman"/>
          <w:snapToGrid w:val="0"/>
          <w:color w:val="auto"/>
          <w:u w:val="none"/>
        </w:rPr>
        <w:sectPr>
          <w:pgSz w:w="16838" w:h="11906" w:orient="landscape"/>
          <w:pgMar w:top="1083" w:right="1440" w:bottom="1083" w:left="1440" w:header="851" w:footer="992" w:gutter="0"/>
          <w:pgNumType w:fmt="decimal"/>
          <w:cols w:space="0" w:num="1"/>
          <w:rtlGutter w:val="0"/>
          <w:docGrid w:type="lines" w:linePitch="312" w:charSpace="0"/>
        </w:sectPr>
      </w:pPr>
    </w:p>
    <w:tbl>
      <w:tblPr>
        <w:tblStyle w:val="20"/>
        <w:tblW w:w="5000" w:type="pct"/>
        <w:tblInd w:w="0" w:type="dxa"/>
        <w:tblLayout w:type="autofit"/>
        <w:tblCellMar>
          <w:top w:w="0" w:type="dxa"/>
          <w:left w:w="108" w:type="dxa"/>
          <w:bottom w:w="0" w:type="dxa"/>
          <w:right w:w="108" w:type="dxa"/>
        </w:tblCellMar>
      </w:tblPr>
      <w:tblGrid>
        <w:gridCol w:w="9956"/>
      </w:tblGrid>
      <w:tr w14:paraId="67749C8B">
        <w:tblPrEx>
          <w:tblCellMar>
            <w:top w:w="0" w:type="dxa"/>
            <w:left w:w="108" w:type="dxa"/>
            <w:bottom w:w="0" w:type="dxa"/>
            <w:right w:w="108" w:type="dxa"/>
          </w:tblCellMar>
        </w:tblPrEx>
        <w:tc>
          <w:tcPr>
            <w:tcW w:w="5000" w:type="pct"/>
          </w:tcPr>
          <w:p w14:paraId="19879268">
            <w:pPr>
              <w:rPr>
                <w:highlight w:val="yellow"/>
              </w:rPr>
            </w:pPr>
            <w:r>
              <w:rPr>
                <w:sz w:val="24"/>
              </w:rPr>
              <mc:AlternateContent>
                <mc:Choice Requires="wps">
                  <w:drawing>
                    <wp:anchor distT="0" distB="0" distL="114300" distR="114300" simplePos="0" relativeHeight="251668480" behindDoc="0" locked="0" layoutInCell="1" allowOverlap="1">
                      <wp:simplePos x="0" y="0"/>
                      <wp:positionH relativeFrom="column">
                        <wp:posOffset>2238375</wp:posOffset>
                      </wp:positionH>
                      <wp:positionV relativeFrom="paragraph">
                        <wp:posOffset>4213860</wp:posOffset>
                      </wp:positionV>
                      <wp:extent cx="914400" cy="375920"/>
                      <wp:effectExtent l="6350" t="6350" r="203200" b="93980"/>
                      <wp:wrapNone/>
                      <wp:docPr id="139" name="矩形标注 139"/>
                      <wp:cNvGraphicFramePr/>
                      <a:graphic xmlns:a="http://schemas.openxmlformats.org/drawingml/2006/main">
                        <a:graphicData uri="http://schemas.microsoft.com/office/word/2010/wordprocessingShape">
                          <wps:wsp>
                            <wps:cNvSpPr/>
                            <wps:spPr>
                              <a:xfrm>
                                <a:off x="0" y="0"/>
                                <a:ext cx="914400" cy="375920"/>
                              </a:xfrm>
                              <a:prstGeom prst="wedgeRectCallout">
                                <a:avLst>
                                  <a:gd name="adj1" fmla="val 68125"/>
                                  <a:gd name="adj2" fmla="val 64630"/>
                                </a:avLst>
                              </a:prstGeom>
                              <a:solidFill>
                                <a:srgbClr val="FFFF00"/>
                              </a:solidFill>
                              <a:ln w="12700" cap="flat" cmpd="sng">
                                <a:solidFill>
                                  <a:srgbClr val="000000"/>
                                </a:solidFill>
                                <a:prstDash val="solid"/>
                                <a:miter/>
                                <a:headEnd type="none" w="med" len="med"/>
                                <a:tailEnd type="none" w="med" len="med"/>
                              </a:ln>
                            </wps:spPr>
                            <wps:txbx>
                              <w:txbxContent>
                                <w:p w14:paraId="1582EB08">
                                  <w:pPr>
                                    <w:rPr>
                                      <w:b/>
                                      <w:bCs/>
                                      <w:color w:val="000000"/>
                                    </w:rPr>
                                  </w:pPr>
                                  <w:r>
                                    <w:rPr>
                                      <w:rFonts w:hint="eastAsia"/>
                                      <w:b/>
                                      <w:bCs/>
                                      <w:color w:val="000000"/>
                                    </w:rPr>
                                    <w:t>项目位置</w:t>
                                  </w:r>
                                </w:p>
                              </w:txbxContent>
                            </wps:txbx>
                            <wps:bodyPr anchor="ctr" anchorCtr="0" upright="1"/>
                          </wps:wsp>
                        </a:graphicData>
                      </a:graphic>
                    </wp:anchor>
                  </w:drawing>
                </mc:Choice>
                <mc:Fallback>
                  <w:pict>
                    <v:shape id="_x0000_s1026" o:spid="_x0000_s1026" o:spt="61" type="#_x0000_t61" style="position:absolute;left:0pt;margin-left:176.25pt;margin-top:331.8pt;height:29.6pt;width:72pt;z-index:251668480;v-text-anchor:middle;mso-width-relative:page;mso-height-relative:page;" fillcolor="#FFFF00" filled="t" stroked="t" coordsize="21600,21600" o:gfxdata="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g8YeJdsAAAALAQAADwAAAAAAAAAB&#10;ACAAAAAiAAAAZHJzL2Rvd25yZXYueG1sUEsBAhQAFAAAAAgAh07iQNqA0WtGAgAAqwQAAA4AAAAA&#10;AAAAAQAgAAAAKgEAAGRycy9lMm9Eb2MueG1sUEsFBgAAAAAGAAYAWQEAAOIFAAAAAA==&#10;" adj="25515,24760">
                      <v:fill on="t" focussize="0,0"/>
                      <v:stroke weight="1pt" color="#000000" joinstyle="miter"/>
                      <v:imagedata o:title=""/>
                      <o:lock v:ext="edit" aspectratio="f"/>
                      <v:textbox>
                        <w:txbxContent>
                          <w:p w14:paraId="1582EB08">
                            <w:pPr>
                              <w:rPr>
                                <w:b/>
                                <w:bCs/>
                                <w:color w:val="000000"/>
                              </w:rPr>
                            </w:pPr>
                            <w:r>
                              <w:rPr>
                                <w:rFonts w:hint="eastAsia"/>
                                <w:b/>
                                <w:bCs/>
                                <w:color w:val="000000"/>
                              </w:rPr>
                              <w:t>项目位置</w:t>
                            </w: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505460</wp:posOffset>
                      </wp:positionH>
                      <wp:positionV relativeFrom="paragraph">
                        <wp:posOffset>45085</wp:posOffset>
                      </wp:positionV>
                      <wp:extent cx="400050" cy="466725"/>
                      <wp:effectExtent l="0" t="0" r="0" b="0"/>
                      <wp:wrapNone/>
                      <wp:docPr id="140" name="矩形 140"/>
                      <wp:cNvGraphicFramePr/>
                      <a:graphic xmlns:a="http://schemas.openxmlformats.org/drawingml/2006/main">
                        <a:graphicData uri="http://schemas.microsoft.com/office/word/2010/wordprocessingShape">
                          <wps:wsp>
                            <wps:cNvSpPr/>
                            <wps:spPr>
                              <a:xfrm>
                                <a:off x="0" y="0"/>
                                <a:ext cx="400050" cy="466725"/>
                              </a:xfrm>
                              <a:prstGeom prst="rect">
                                <a:avLst/>
                              </a:prstGeom>
                              <a:noFill/>
                              <a:ln w="12700" cap="flat" cmpd="sng" algn="ctr">
                                <a:noFill/>
                                <a:prstDash val="solid"/>
                                <a:miter lim="800000"/>
                              </a:ln>
                              <a:effectLst/>
                            </wps:spPr>
                            <wps:txbx>
                              <w:txbxContent>
                                <w:p w14:paraId="11F3027A">
                                  <w:pPr>
                                    <w:jc w:val="center"/>
                                    <w:rPr>
                                      <w:b/>
                                      <w:color w:val="000000"/>
                                      <w:sz w:val="44"/>
                                      <w:szCs w:val="44"/>
                                    </w:rPr>
                                  </w:pPr>
                                  <w:r>
                                    <w:rPr>
                                      <w:rFonts w:hint="eastAsia"/>
                                      <w:b/>
                                      <w:color w:val="000000"/>
                                      <w:sz w:val="44"/>
                                      <w:szCs w:val="44"/>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8pt;margin-top:3.55pt;height:36.75pt;width:31.5pt;z-index:251670528;v-text-anchor:middle;mso-width-relative:page;mso-height-relative:page;" filled="f" stroked="f" coordsize="21600,21600" o:gfxdata="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jRZwzUAAAABwEAAA8AAAAAAAAAAQAgAAAAIgAAAGRycy9kb3ducmV2LnhtbFBLAQIUABQAAAAI&#10;AIdO4kAVbOkHYwIAAL4EAAAOAAAAAAAAAAEAIAAAACMBAABkcnMvZTJvRG9jLnhtbFBLBQYAAAAA&#10;BgAGAFkBAAD4BQAAAAA=&#10;">
                      <v:fill on="f" focussize="0,0"/>
                      <v:stroke on="f" weight="1pt" miterlimit="8" joinstyle="miter"/>
                      <v:imagedata o:title=""/>
                      <o:lock v:ext="edit" aspectratio="f"/>
                      <v:textbox>
                        <w:txbxContent>
                          <w:p w14:paraId="11F3027A">
                            <w:pPr>
                              <w:jc w:val="center"/>
                              <w:rPr>
                                <w:b/>
                                <w:color w:val="000000"/>
                                <w:sz w:val="44"/>
                                <w:szCs w:val="44"/>
                              </w:rPr>
                            </w:pPr>
                            <w:r>
                              <w:rPr>
                                <w:rFonts w:hint="eastAsia"/>
                                <w:b/>
                                <w:color w:val="000000"/>
                                <w:sz w:val="44"/>
                                <w:szCs w:val="44"/>
                              </w:rPr>
                              <w:t>N</w:t>
                            </w:r>
                          </w:p>
                        </w:txbxContent>
                      </v:textbox>
                    </v:rect>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525780</wp:posOffset>
                      </wp:positionH>
                      <wp:positionV relativeFrom="paragraph">
                        <wp:posOffset>116840</wp:posOffset>
                      </wp:positionV>
                      <wp:extent cx="0" cy="542925"/>
                      <wp:effectExtent l="85725" t="0" r="85725" b="9525"/>
                      <wp:wrapNone/>
                      <wp:docPr id="141" name="直接箭头连接符 141"/>
                      <wp:cNvGraphicFramePr/>
                      <a:graphic xmlns:a="http://schemas.openxmlformats.org/drawingml/2006/main">
                        <a:graphicData uri="http://schemas.microsoft.com/office/word/2010/wordprocessingShape">
                          <wps:wsp>
                            <wps:cNvCnPr/>
                            <wps:spPr>
                              <a:xfrm flipV="1">
                                <a:off x="0" y="0"/>
                                <a:ext cx="0" cy="542925"/>
                              </a:xfrm>
                              <a:prstGeom prst="straightConnector1">
                                <a:avLst/>
                              </a:prstGeom>
                              <a:noFill/>
                              <a:ln w="57150" cap="flat" cmpd="sng" algn="ctr">
                                <a:solidFill>
                                  <a:srgbClr val="000000"/>
                                </a:solidFill>
                                <a:prstDash val="solid"/>
                                <a:miter lim="800000"/>
                                <a:headEnd type="none" w="med" len="med"/>
                                <a:tailEnd type="triangle" w="med" len="med"/>
                              </a:ln>
                              <a:effectLst/>
                            </wps:spPr>
                            <wps:bodyPr/>
                          </wps:wsp>
                        </a:graphicData>
                      </a:graphic>
                    </wp:anchor>
                  </w:drawing>
                </mc:Choice>
                <mc:Fallback>
                  <w:pict>
                    <v:shape id="_x0000_s1026" o:spid="_x0000_s1026" o:spt="32" type="#_x0000_t32" style="position:absolute;left:0pt;flip:y;margin-left:41.4pt;margin-top:9.2pt;height:42.75pt;width:0pt;z-index:251669504;mso-width-relative:page;mso-height-relative:page;" filled="f" stroked="t" coordsize="21600,21600" o:gfxdata="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7&#10;LorTAAAACAEAAA8AAAAAAAAAAQAgAAAAIgAAAGRycy9kb3ducmV2LnhtbFBLAQIUABQAAAAIAIdO&#10;4kBk7VbEKAIAADkEAAAOAAAAAAAAAAEAIAAAACIBAABkcnMvZTJvRG9jLnhtbFBLBQYAAAAABgAG&#10;AFkBAAC8BQAAAAA=&#10;">
                      <v:fill on="f" focussize="0,0"/>
                      <v:stroke weight="4.5pt" color="#000000" miterlimit="8" joinstyle="miter" endarrow="block"/>
                      <v:imagedata o:title=""/>
                      <o:lock v:ext="edit" aspectratio="f"/>
                    </v:shape>
                  </w:pict>
                </mc:Fallback>
              </mc:AlternateContent>
            </w:r>
            <w:r>
              <w:rPr>
                <w:rFonts w:ascii="宋体" w:hAnsi="宋体" w:cs="宋体"/>
                <w:sz w:val="24"/>
              </w:rPr>
              <w:drawing>
                <wp:inline distT="0" distB="0" distL="114300" distR="114300">
                  <wp:extent cx="5776595" cy="8440420"/>
                  <wp:effectExtent l="0" t="0" r="14605" b="17780"/>
                  <wp:docPr id="14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0" descr="IMG_256"/>
                          <pic:cNvPicPr>
                            <a:picLocks noChangeAspect="1"/>
                          </pic:cNvPicPr>
                        </pic:nvPicPr>
                        <pic:blipFill>
                          <a:blip r:embed="rId38"/>
                          <a:stretch>
                            <a:fillRect/>
                          </a:stretch>
                        </pic:blipFill>
                        <pic:spPr>
                          <a:xfrm>
                            <a:off x="0" y="0"/>
                            <a:ext cx="5776595" cy="8440420"/>
                          </a:xfrm>
                          <a:prstGeom prst="rect">
                            <a:avLst/>
                          </a:prstGeom>
                          <a:noFill/>
                          <a:ln>
                            <a:noFill/>
                          </a:ln>
                        </pic:spPr>
                      </pic:pic>
                    </a:graphicData>
                  </a:graphic>
                </wp:inline>
              </w:drawing>
            </w:r>
            <w:r>
              <w:rPr>
                <w:highlight w:val="yellow"/>
              </w:rPr>
              <mc:AlternateContent>
                <mc:Choice Requires="wps">
                  <w:drawing>
                    <wp:anchor distT="0" distB="0" distL="114300" distR="114300" simplePos="0" relativeHeight="251667456" behindDoc="0" locked="0" layoutInCell="1" allowOverlap="1">
                      <wp:simplePos x="0" y="0"/>
                      <wp:positionH relativeFrom="column">
                        <wp:posOffset>581660</wp:posOffset>
                      </wp:positionH>
                      <wp:positionV relativeFrom="paragraph">
                        <wp:posOffset>-7915275</wp:posOffset>
                      </wp:positionV>
                      <wp:extent cx="400050" cy="466725"/>
                      <wp:effectExtent l="0" t="0" r="0" b="0"/>
                      <wp:wrapNone/>
                      <wp:docPr id="143" name="矩形 143"/>
                      <wp:cNvGraphicFramePr/>
                      <a:graphic xmlns:a="http://schemas.openxmlformats.org/drawingml/2006/main">
                        <a:graphicData uri="http://schemas.microsoft.com/office/word/2010/wordprocessingShape">
                          <wps:wsp>
                            <wps:cNvSpPr/>
                            <wps:spPr>
                              <a:xfrm>
                                <a:off x="0" y="0"/>
                                <a:ext cx="400050" cy="466725"/>
                              </a:xfrm>
                              <a:prstGeom prst="rect">
                                <a:avLst/>
                              </a:prstGeom>
                              <a:noFill/>
                              <a:ln w="12700" cap="flat" cmpd="sng" algn="ctr">
                                <a:noFill/>
                                <a:prstDash val="solid"/>
                                <a:miter lim="800000"/>
                              </a:ln>
                              <a:effectLst/>
                            </wps:spPr>
                            <wps:txbx>
                              <w:txbxContent>
                                <w:p w14:paraId="3FCD16A0">
                                  <w:pPr>
                                    <w:jc w:val="center"/>
                                    <w:rPr>
                                      <w:b/>
                                      <w:color w:val="000000"/>
                                      <w:sz w:val="44"/>
                                      <w:szCs w:val="44"/>
                                    </w:rPr>
                                  </w:pPr>
                                  <w:r>
                                    <w:rPr>
                                      <w:rFonts w:hint="eastAsia"/>
                                      <w:b/>
                                      <w:color w:val="000000"/>
                                      <w:sz w:val="44"/>
                                      <w:szCs w:val="44"/>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8pt;margin-top:-623.25pt;height:36.75pt;width:31.5pt;z-index:251667456;v-text-anchor:middle;mso-width-relative:page;mso-height-relative:page;" filled="f" stroked="f" coordsize="21600,21600" o:gfxdata="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nSJCh9sAAAAOAQAADwAAAAAAAAABACAAAAAiAAAAZHJzL2Rvd25yZXYueG1sUEsB&#10;AhQAFAAAAAgAh07iQPp05q5kAgAAvgQAAA4AAAAAAAAAAQAgAAAAKgEAAGRycy9lMm9Eb2MueG1s&#10;UEsFBgAAAAAGAAYAWQEAAAAGAAAAAA==&#10;">
                      <v:fill on="f" focussize="0,0"/>
                      <v:stroke on="f" weight="1pt" miterlimit="8" joinstyle="miter"/>
                      <v:imagedata o:title=""/>
                      <o:lock v:ext="edit" aspectratio="f"/>
                      <v:textbox>
                        <w:txbxContent>
                          <w:p w14:paraId="3FCD16A0">
                            <w:pPr>
                              <w:jc w:val="center"/>
                              <w:rPr>
                                <w:b/>
                                <w:color w:val="000000"/>
                                <w:sz w:val="44"/>
                                <w:szCs w:val="44"/>
                              </w:rPr>
                            </w:pPr>
                            <w:r>
                              <w:rPr>
                                <w:rFonts w:hint="eastAsia"/>
                                <w:b/>
                                <w:color w:val="000000"/>
                                <w:sz w:val="44"/>
                                <w:szCs w:val="44"/>
                              </w:rPr>
                              <w:t>N</w:t>
                            </w:r>
                          </w:p>
                        </w:txbxContent>
                      </v:textbox>
                    </v:rect>
                  </w:pict>
                </mc:Fallback>
              </mc:AlternateContent>
            </w:r>
            <w:r>
              <w:rPr>
                <w:highlight w:val="yellow"/>
              </w:rPr>
              <mc:AlternateContent>
                <mc:Choice Requires="wps">
                  <w:drawing>
                    <wp:anchor distT="0" distB="0" distL="114300" distR="114300" simplePos="0" relativeHeight="251666432" behindDoc="0" locked="0" layoutInCell="1" allowOverlap="1">
                      <wp:simplePos x="0" y="0"/>
                      <wp:positionH relativeFrom="column">
                        <wp:posOffset>403860</wp:posOffset>
                      </wp:positionH>
                      <wp:positionV relativeFrom="paragraph">
                        <wp:posOffset>-8023860</wp:posOffset>
                      </wp:positionV>
                      <wp:extent cx="0" cy="542925"/>
                      <wp:effectExtent l="85725" t="0" r="85725" b="9525"/>
                      <wp:wrapNone/>
                      <wp:docPr id="144" name="直接箭头连接符 144"/>
                      <wp:cNvGraphicFramePr/>
                      <a:graphic xmlns:a="http://schemas.openxmlformats.org/drawingml/2006/main">
                        <a:graphicData uri="http://schemas.microsoft.com/office/word/2010/wordprocessingShape">
                          <wps:wsp>
                            <wps:cNvCnPr/>
                            <wps:spPr>
                              <a:xfrm flipV="1">
                                <a:off x="0" y="0"/>
                                <a:ext cx="0" cy="542925"/>
                              </a:xfrm>
                              <a:prstGeom prst="straightConnector1">
                                <a:avLst/>
                              </a:prstGeom>
                              <a:noFill/>
                              <a:ln w="57150" cap="flat" cmpd="sng" algn="ctr">
                                <a:solidFill>
                                  <a:srgbClr val="000000"/>
                                </a:solidFill>
                                <a:prstDash val="solid"/>
                                <a:miter lim="800000"/>
                                <a:headEnd type="none" w="med" len="med"/>
                                <a:tailEnd type="triangle" w="med" len="med"/>
                              </a:ln>
                              <a:effectLst/>
                            </wps:spPr>
                            <wps:bodyPr/>
                          </wps:wsp>
                        </a:graphicData>
                      </a:graphic>
                    </wp:anchor>
                  </w:drawing>
                </mc:Choice>
                <mc:Fallback>
                  <w:pict>
                    <v:shape id="_x0000_s1026" o:spid="_x0000_s1026" o:spt="32" type="#_x0000_t32" style="position:absolute;left:0pt;flip:y;margin-left:31.8pt;margin-top:-631.8pt;height:42.75pt;width:0pt;z-index:251666432;mso-width-relative:page;mso-height-relative:page;" filled="f" stroked="t" coordsize="21600,21600" o:gfxdata="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ZSS3/WAAAADQEAAA8AAAAAAAAAAQAgAAAAIgAAAGRycy9kb3ducmV2LnhtbFBLAQIUABQAAAAI&#10;AIdO4kC/YQ2jKAIAADkEAAAOAAAAAAAAAAEAIAAAACUBAABkcnMvZTJvRG9jLnhtbFBLBQYAAAAA&#10;BgAGAFkBAAC/BQAAAAA=&#10;">
                      <v:fill on="f" focussize="0,0"/>
                      <v:stroke weight="4.5pt" color="#000000" miterlimit="8" joinstyle="miter" endarrow="block"/>
                      <v:imagedata o:title=""/>
                      <o:lock v:ext="edit" aspectratio="f"/>
                    </v:shape>
                  </w:pict>
                </mc:Fallback>
              </mc:AlternateContent>
            </w:r>
          </w:p>
        </w:tc>
      </w:tr>
      <w:tr w14:paraId="145E706B">
        <w:tblPrEx>
          <w:tblCellMar>
            <w:top w:w="0" w:type="dxa"/>
            <w:left w:w="108" w:type="dxa"/>
            <w:bottom w:w="0" w:type="dxa"/>
            <w:right w:w="108" w:type="dxa"/>
          </w:tblCellMar>
        </w:tblPrEx>
        <w:tc>
          <w:tcPr>
            <w:tcW w:w="5000" w:type="pct"/>
          </w:tcPr>
          <w:p w14:paraId="580FFFB3">
            <w:pPr>
              <w:jc w:val="center"/>
              <w:rPr>
                <w:highlight w:val="yellow"/>
              </w:rPr>
            </w:pPr>
            <w:r>
              <w:rPr>
                <w:b/>
                <w:sz w:val="24"/>
              </w:rPr>
              <w:t>附图1</w:t>
            </w:r>
            <w:r>
              <w:rPr>
                <w:rFonts w:hint="eastAsia"/>
                <w:b/>
                <w:sz w:val="24"/>
              </w:rPr>
              <w:t xml:space="preserve">  </w:t>
            </w:r>
            <w:r>
              <w:rPr>
                <w:b/>
                <w:sz w:val="24"/>
              </w:rPr>
              <w:t>项目地理位置图</w:t>
            </w:r>
          </w:p>
        </w:tc>
      </w:tr>
    </w:tbl>
    <w:p w14:paraId="55C9912A">
      <w:pPr>
        <w:sectPr>
          <w:footerReference r:id="rId8" w:type="default"/>
          <w:pgSz w:w="11906" w:h="16838"/>
          <w:pgMar w:top="1440" w:right="1083" w:bottom="1440" w:left="1083" w:header="851" w:footer="992" w:gutter="0"/>
          <w:pgNumType w:fmt="decimal"/>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3EC1A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10063963">
            <w:pPr>
              <w:jc w:val="center"/>
            </w:pPr>
          </w:p>
          <w:p w14:paraId="5BDBEF36">
            <w:pPr>
              <w:jc w:val="center"/>
            </w:pPr>
            <w:r>
              <mc:AlternateContent>
                <mc:Choice Requires="wpg">
                  <w:drawing>
                    <wp:anchor distT="0" distB="0" distL="114300" distR="114300" simplePos="0" relativeHeight="251671552" behindDoc="0" locked="0" layoutInCell="1" allowOverlap="1">
                      <wp:simplePos x="0" y="0"/>
                      <wp:positionH relativeFrom="column">
                        <wp:posOffset>8335010</wp:posOffset>
                      </wp:positionH>
                      <wp:positionV relativeFrom="paragraph">
                        <wp:posOffset>50800</wp:posOffset>
                      </wp:positionV>
                      <wp:extent cx="381635" cy="564515"/>
                      <wp:effectExtent l="80645" t="0" r="0" b="6985"/>
                      <wp:wrapNone/>
                      <wp:docPr id="76" name="组合 76"/>
                      <wp:cNvGraphicFramePr/>
                      <a:graphic xmlns:a="http://schemas.openxmlformats.org/drawingml/2006/main">
                        <a:graphicData uri="http://schemas.microsoft.com/office/word/2010/wordprocessingGroup">
                          <wpg:wgp>
                            <wpg:cNvGrpSpPr/>
                            <wpg:grpSpPr>
                              <a:xfrm>
                                <a:off x="0" y="0"/>
                                <a:ext cx="381635" cy="564515"/>
                                <a:chOff x="16075" y="14959"/>
                                <a:chExt cx="601" cy="889"/>
                              </a:xfrm>
                              <a:effectLst/>
                            </wpg:grpSpPr>
                            <wps:wsp>
                              <wps:cNvPr id="77" name="直接箭头连接符 7"/>
                              <wps:cNvCnPr/>
                              <wps:spPr>
                                <a:xfrm flipV="1">
                                  <a:off x="16075" y="14959"/>
                                  <a:ext cx="0" cy="825"/>
                                </a:xfrm>
                                <a:prstGeom prst="straightConnector1">
                                  <a:avLst/>
                                </a:prstGeom>
                                <a:noFill/>
                                <a:ln w="53975" cap="flat" cmpd="sng" algn="ctr">
                                  <a:solidFill>
                                    <a:srgbClr val="000000"/>
                                  </a:solidFill>
                                  <a:prstDash val="solid"/>
                                  <a:miter lim="800000"/>
                                  <a:tailEnd type="triangle"/>
                                </a:ln>
                                <a:effectLst/>
                              </wps:spPr>
                              <wps:bodyPr/>
                            </wps:wsp>
                            <wps:wsp>
                              <wps:cNvPr id="147" name="文本框 8"/>
                              <wps:cNvSpPr txBox="1"/>
                              <wps:spPr>
                                <a:xfrm>
                                  <a:off x="16174" y="15196"/>
                                  <a:ext cx="503" cy="653"/>
                                </a:xfrm>
                                <a:prstGeom prst="rect">
                                  <a:avLst/>
                                </a:prstGeom>
                                <a:noFill/>
                                <a:ln w="6350">
                                  <a:noFill/>
                                </a:ln>
                                <a:effectLst/>
                              </wps:spPr>
                              <wps:txbx>
                                <w:txbxContent>
                                  <w:p w14:paraId="74F17B0A">
                                    <w:pPr>
                                      <w:rPr>
                                        <w:b/>
                                        <w:bCs/>
                                        <w:sz w:val="40"/>
                                        <w:szCs w:val="28"/>
                                      </w:rPr>
                                    </w:pPr>
                                    <w:r>
                                      <w:rPr>
                                        <w:rFonts w:hint="eastAsia"/>
                                        <w:b/>
                                        <w:bCs/>
                                        <w:sz w:val="40"/>
                                        <w:szCs w:val="28"/>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56.3pt;margin-top:4pt;height:44.45pt;width:30.05pt;z-index:251671552;mso-width-relative:page;mso-height-relative:page;" coordorigin="16075,14959" coordsize="601,889" o:gfxdata="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">
                      <o:lock v:ext="edit" aspectratio="f"/>
                      <v:shape id="直接箭头连接符 7" o:spid="_x0000_s1026" o:spt="32" type="#_x0000_t32" style="position:absolute;left:16075;top:14959;flip:y;height:825;width:0;" filled="f" stroked="t" coordsize="21600,21600" o:gfxdata="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EuZl&#10;wAAAANsAAAAPAAAAAAAAAAEAIAAAACIAAABkcnMvZG93bnJldi54bWxQSwECFAAUAAAACACHTuJA&#10;My8FnjsAAAA5AAAAEAAAAAAAAAABACAAAAAPAQAAZHJzL3NoYXBleG1sLnhtbFBLBQYAAAAABgAG&#10;AFsBAAC5AwAAAAA=&#10;">
                        <v:fill on="f" focussize="0,0"/>
                        <v:stroke weight="4.25pt" color="#000000" miterlimit="8" joinstyle="miter" endarrow="block"/>
                        <v:imagedata o:title=""/>
                        <o:lock v:ext="edit" aspectratio="f"/>
                      </v:shape>
                      <v:shape id="文本框 8" o:spid="_x0000_s1026" o:spt="202" type="#_x0000_t202" style="position:absolute;left:16174;top:15196;height:653;width:503;" filled="f" stroked="f" coordsize="21600,21600" o:gfxdata="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SSw6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74F17B0A">
                              <w:pPr>
                                <w:rPr>
                                  <w:b/>
                                  <w:bCs/>
                                  <w:sz w:val="40"/>
                                  <w:szCs w:val="28"/>
                                </w:rPr>
                              </w:pPr>
                              <w:r>
                                <w:rPr>
                                  <w:rFonts w:hint="eastAsia"/>
                                  <w:b/>
                                  <w:bCs/>
                                  <w:sz w:val="40"/>
                                  <w:szCs w:val="28"/>
                                </w:rPr>
                                <w:t>N</w:t>
                              </w:r>
                            </w:p>
                          </w:txbxContent>
                        </v:textbox>
                      </v:shape>
                    </v:group>
                  </w:pict>
                </mc:Fallback>
              </mc:AlternateContent>
            </w:r>
          </w:p>
          <w:p w14:paraId="179CA1ED">
            <w:pPr>
              <w:jc w:val="center"/>
            </w:pPr>
          </w:p>
          <w:p w14:paraId="020044EF">
            <w:pPr>
              <w:jc w:val="center"/>
            </w:pPr>
          </w:p>
          <w:p w14:paraId="0F7FC382">
            <w:pPr>
              <w:jc w:val="center"/>
              <w:rPr>
                <w:vertAlign w:val="baseline"/>
              </w:rPr>
            </w:pPr>
            <w:r>
              <w:drawing>
                <wp:inline distT="0" distB="0" distL="114300" distR="114300">
                  <wp:extent cx="8860790" cy="3169920"/>
                  <wp:effectExtent l="0" t="0" r="16510" b="11430"/>
                  <wp:docPr id="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39"/>
                          <a:stretch>
                            <a:fillRect/>
                          </a:stretch>
                        </pic:blipFill>
                        <pic:spPr>
                          <a:xfrm>
                            <a:off x="0" y="0"/>
                            <a:ext cx="8860790" cy="3169920"/>
                          </a:xfrm>
                          <a:prstGeom prst="rect">
                            <a:avLst/>
                          </a:prstGeom>
                          <a:noFill/>
                          <a:ln>
                            <a:noFill/>
                          </a:ln>
                        </pic:spPr>
                      </pic:pic>
                    </a:graphicData>
                  </a:graphic>
                </wp:inline>
              </w:drawing>
            </w:r>
          </w:p>
        </w:tc>
      </w:tr>
      <w:tr w14:paraId="6E5E2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799A546D">
            <w:pPr>
              <w:jc w:val="center"/>
              <w:rPr>
                <w:vertAlign w:val="baseline"/>
              </w:rPr>
            </w:pPr>
            <w:r>
              <w:rPr>
                <w:rFonts w:hint="eastAsia"/>
                <w:b/>
                <w:sz w:val="24"/>
              </w:rPr>
              <w:t xml:space="preserve">附图2  </w:t>
            </w:r>
            <w:r>
              <w:rPr>
                <w:rFonts w:hint="eastAsia"/>
                <w:b/>
                <w:sz w:val="24"/>
                <w:lang w:val="en-US" w:eastAsia="zh-CN"/>
              </w:rPr>
              <w:t>厂区总体</w:t>
            </w:r>
            <w:r>
              <w:rPr>
                <w:rFonts w:hint="eastAsia"/>
                <w:b/>
                <w:sz w:val="24"/>
              </w:rPr>
              <w:t>平面布置图</w:t>
            </w:r>
          </w:p>
        </w:tc>
      </w:tr>
    </w:tbl>
    <w:p w14:paraId="07363308">
      <w:pPr>
        <w:sectPr>
          <w:pgSz w:w="16838" w:h="11906" w:orient="landscape"/>
          <w:pgMar w:top="1083" w:right="1440" w:bottom="1083" w:left="1440" w:header="851" w:footer="992" w:gutter="0"/>
          <w:pgNumType w:fmt="decimal"/>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69657C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tcPr>
          <w:p w14:paraId="570502CA">
            <w:r>
              <w:drawing>
                <wp:inline distT="0" distB="0" distL="114300" distR="114300">
                  <wp:extent cx="8852535" cy="5679440"/>
                  <wp:effectExtent l="0" t="0" r="0" b="0"/>
                  <wp:docPr id="1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2"/>
                          <pic:cNvPicPr>
                            <a:picLocks noChangeAspect="1"/>
                          </pic:cNvPicPr>
                        </pic:nvPicPr>
                        <pic:blipFill>
                          <a:blip r:embed="rId40"/>
                          <a:srcRect t="8520"/>
                          <a:stretch>
                            <a:fillRect/>
                          </a:stretch>
                        </pic:blipFill>
                        <pic:spPr>
                          <a:xfrm>
                            <a:off x="0" y="0"/>
                            <a:ext cx="8852535" cy="5679440"/>
                          </a:xfrm>
                          <a:prstGeom prst="rect">
                            <a:avLst/>
                          </a:prstGeom>
                          <a:noFill/>
                          <a:ln>
                            <a:noFill/>
                          </a:ln>
                        </pic:spPr>
                      </pic:pic>
                    </a:graphicData>
                  </a:graphic>
                </wp:inline>
              </w:drawing>
            </w:r>
            <w:r>
              <mc:AlternateContent>
                <mc:Choice Requires="wpg">
                  <w:drawing>
                    <wp:anchor distT="0" distB="0" distL="114300" distR="114300" simplePos="0" relativeHeight="251672576" behindDoc="0" locked="0" layoutInCell="1" allowOverlap="1">
                      <wp:simplePos x="0" y="0"/>
                      <wp:positionH relativeFrom="column">
                        <wp:posOffset>8418830</wp:posOffset>
                      </wp:positionH>
                      <wp:positionV relativeFrom="paragraph">
                        <wp:posOffset>218440</wp:posOffset>
                      </wp:positionV>
                      <wp:extent cx="381635" cy="564515"/>
                      <wp:effectExtent l="80645" t="0" r="0" b="6985"/>
                      <wp:wrapNone/>
                      <wp:docPr id="151" name="组合 151"/>
                      <wp:cNvGraphicFramePr/>
                      <a:graphic xmlns:a="http://schemas.openxmlformats.org/drawingml/2006/main">
                        <a:graphicData uri="http://schemas.microsoft.com/office/word/2010/wordprocessingGroup">
                          <wpg:wgp>
                            <wpg:cNvGrpSpPr/>
                            <wpg:grpSpPr>
                              <a:xfrm>
                                <a:off x="0" y="0"/>
                                <a:ext cx="381635" cy="564515"/>
                                <a:chOff x="16075" y="14959"/>
                                <a:chExt cx="601" cy="889"/>
                              </a:xfrm>
                              <a:effectLst/>
                            </wpg:grpSpPr>
                            <wps:wsp>
                              <wps:cNvPr id="37" name="直接箭头连接符 7"/>
                              <wps:cNvCnPr/>
                              <wps:spPr>
                                <a:xfrm flipV="1">
                                  <a:off x="16075" y="14959"/>
                                  <a:ext cx="0" cy="825"/>
                                </a:xfrm>
                                <a:prstGeom prst="straightConnector1">
                                  <a:avLst/>
                                </a:prstGeom>
                                <a:noFill/>
                                <a:ln w="53975" cap="flat" cmpd="sng" algn="ctr">
                                  <a:solidFill>
                                    <a:srgbClr val="000000"/>
                                  </a:solidFill>
                                  <a:prstDash val="solid"/>
                                  <a:miter lim="800000"/>
                                  <a:tailEnd type="triangle"/>
                                </a:ln>
                                <a:effectLst/>
                              </wps:spPr>
                              <wps:bodyPr/>
                            </wps:wsp>
                            <wps:wsp>
                              <wps:cNvPr id="152" name="文本框 8"/>
                              <wps:cNvSpPr txBox="1"/>
                              <wps:spPr>
                                <a:xfrm>
                                  <a:off x="16174" y="15196"/>
                                  <a:ext cx="503" cy="653"/>
                                </a:xfrm>
                                <a:prstGeom prst="rect">
                                  <a:avLst/>
                                </a:prstGeom>
                                <a:noFill/>
                                <a:ln w="6350">
                                  <a:noFill/>
                                </a:ln>
                                <a:effectLst/>
                              </wps:spPr>
                              <wps:txbx>
                                <w:txbxContent>
                                  <w:p w14:paraId="14709DD0">
                                    <w:pPr>
                                      <w:rPr>
                                        <w:b/>
                                        <w:bCs/>
                                        <w:sz w:val="40"/>
                                        <w:szCs w:val="28"/>
                                      </w:rPr>
                                    </w:pPr>
                                    <w:r>
                                      <w:rPr>
                                        <w:rFonts w:hint="eastAsia"/>
                                        <w:b/>
                                        <w:bCs/>
                                        <w:sz w:val="40"/>
                                        <w:szCs w:val="28"/>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62.9pt;margin-top:17.2pt;height:44.45pt;width:30.05pt;z-index:251672576;mso-width-relative:page;mso-height-relative:page;" coordorigin="16075,14959" coordsize="601,889" o:gfxdata="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">
                      <o:lock v:ext="edit" aspectratio="f"/>
                      <v:shape id="直接箭头连接符 7" o:spid="_x0000_s1026" o:spt="32" type="#_x0000_t32" style="position:absolute;left:16075;top:14959;flip:y;height:825;width:0;" filled="f" stroked="t" coordsize="21600,21600" o:gfxdata="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N4X6W/&#10;AAAA2wAAAA8AAAAAAAAAAQAgAAAAIgAAAGRycy9kb3ducmV2LnhtbFBLAQIUABQAAAAIAIdO4kAz&#10;LwWeOwAAADkAAAAQAAAAAAAAAAEAIAAAAA4BAABkcnMvc2hhcGV4bWwueG1sUEsFBgAAAAAGAAYA&#10;WwEAALgDAAAAAA==&#10;">
                        <v:fill on="f" focussize="0,0"/>
                        <v:stroke weight="4.25pt" color="#000000" miterlimit="8" joinstyle="miter" endarrow="block"/>
                        <v:imagedata o:title=""/>
                        <o:lock v:ext="edit" aspectratio="f"/>
                      </v:shape>
                      <v:shape id="文本框 8" o:spid="_x0000_s1026" o:spt="202" type="#_x0000_t202" style="position:absolute;left:16174;top:15196;height:653;width:503;" filled="f" stroked="f" coordsize="21600,21600" o:gfxdata="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5xl/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14709DD0">
                              <w:pPr>
                                <w:rPr>
                                  <w:b/>
                                  <w:bCs/>
                                  <w:sz w:val="40"/>
                                  <w:szCs w:val="28"/>
                                </w:rPr>
                              </w:pPr>
                              <w:r>
                                <w:rPr>
                                  <w:rFonts w:hint="eastAsia"/>
                                  <w:b/>
                                  <w:bCs/>
                                  <w:sz w:val="40"/>
                                  <w:szCs w:val="28"/>
                                </w:rPr>
                                <w:t>N</w:t>
                              </w:r>
                            </w:p>
                          </w:txbxContent>
                        </v:textbox>
                      </v:shape>
                    </v:group>
                  </w:pict>
                </mc:Fallback>
              </mc:AlternateContent>
            </w:r>
          </w:p>
        </w:tc>
      </w:tr>
      <w:tr w14:paraId="1F9B01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tcPr>
          <w:p w14:paraId="3373EBB2">
            <w:pPr>
              <w:jc w:val="center"/>
            </w:pPr>
            <w:r>
              <w:rPr>
                <w:b/>
                <w:sz w:val="24"/>
              </w:rPr>
              <w:t>附图</w:t>
            </w:r>
            <w:r>
              <w:rPr>
                <w:rFonts w:hint="eastAsia"/>
                <w:b/>
                <w:sz w:val="24"/>
              </w:rPr>
              <w:t xml:space="preserve">3  </w:t>
            </w:r>
            <w:r>
              <w:rPr>
                <w:b/>
                <w:sz w:val="24"/>
              </w:rPr>
              <w:t>项目周围环境敏感点</w:t>
            </w:r>
            <w:commentRangeStart w:id="111"/>
            <w:r>
              <w:rPr>
                <w:b/>
                <w:sz w:val="24"/>
              </w:rPr>
              <w:t>分布情况示意图</w:t>
            </w:r>
            <w:commentRangeEnd w:id="111"/>
            <w:r>
              <w:commentReference w:id="111"/>
            </w:r>
          </w:p>
        </w:tc>
      </w:tr>
    </w:tbl>
    <w:p w14:paraId="5D2E92CE">
      <w:pPr>
        <w:sectPr>
          <w:pgSz w:w="16838" w:h="11906" w:orient="landscape"/>
          <w:pgMar w:top="1083" w:right="1440" w:bottom="1083" w:left="1440" w:header="851" w:footer="992" w:gutter="0"/>
          <w:pgNumType w:fmt="decimal"/>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42CE9B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16B740BA">
            <w:pPr>
              <w:jc w:val="center"/>
            </w:pPr>
            <w:r>
              <w:rPr>
                <w:sz w:val="24"/>
              </w:rPr>
              <mc:AlternateContent>
                <mc:Choice Requires="wps">
                  <w:drawing>
                    <wp:anchor distT="0" distB="0" distL="0" distR="0" simplePos="0" relativeHeight="251674624" behindDoc="0" locked="0" layoutInCell="1" allowOverlap="1">
                      <wp:simplePos x="0" y="0"/>
                      <wp:positionH relativeFrom="column">
                        <wp:posOffset>2821940</wp:posOffset>
                      </wp:positionH>
                      <wp:positionV relativeFrom="paragraph">
                        <wp:posOffset>4097655</wp:posOffset>
                      </wp:positionV>
                      <wp:extent cx="914400" cy="300990"/>
                      <wp:effectExtent l="226060" t="6350" r="21590" b="187960"/>
                      <wp:wrapNone/>
                      <wp:docPr id="1110" name="矩形标注 63"/>
                      <wp:cNvGraphicFramePr/>
                      <a:graphic xmlns:a="http://schemas.openxmlformats.org/drawingml/2006/main">
                        <a:graphicData uri="http://schemas.microsoft.com/office/word/2010/wordprocessingShape">
                          <wps:wsp>
                            <wps:cNvSpPr/>
                            <wps:spPr>
                              <a:xfrm>
                                <a:off x="0" y="0"/>
                                <a:ext cx="914400" cy="300989"/>
                              </a:xfrm>
                              <a:prstGeom prst="wedgeRectCallout">
                                <a:avLst>
                                  <a:gd name="adj1" fmla="val -69444"/>
                                  <a:gd name="adj2" fmla="val 104852"/>
                                </a:avLst>
                              </a:prstGeom>
                              <a:solidFill>
                                <a:srgbClr val="FFFF00"/>
                              </a:solidFill>
                              <a:ln w="12700" cap="flat" cmpd="sng">
                                <a:solidFill>
                                  <a:srgbClr val="000000"/>
                                </a:solidFill>
                                <a:prstDash val="solid"/>
                                <a:miter/>
                                <a:headEnd type="none" w="med" len="med"/>
                                <a:tailEnd type="none" w="med" len="med"/>
                              </a:ln>
                            </wps:spPr>
                            <wps:txbx>
                              <w:txbxContent>
                                <w:p w14:paraId="1183419C">
                                  <w:pPr>
                                    <w:rPr>
                                      <w:b/>
                                      <w:bCs/>
                                      <w:color w:val="000000"/>
                                    </w:rPr>
                                  </w:pPr>
                                  <w:r>
                                    <w:rPr>
                                      <w:rFonts w:hint="eastAsia"/>
                                      <w:b/>
                                      <w:bCs/>
                                      <w:color w:val="000000"/>
                                    </w:rPr>
                                    <w:t>项目位置</w:t>
                                  </w:r>
                                </w:p>
                              </w:txbxContent>
                            </wps:txbx>
                            <wps:bodyPr anchor="ctr" upright="1"/>
                          </wps:wsp>
                        </a:graphicData>
                      </a:graphic>
                    </wp:anchor>
                  </w:drawing>
                </mc:Choice>
                <mc:Fallback>
                  <w:pict>
                    <v:shape id="矩形标注 63" o:spid="_x0000_s1026" o:spt="61" type="#_x0000_t61" style="position:absolute;left:0pt;margin-left:222.2pt;margin-top:322.65pt;height:23.7pt;width:72pt;z-index:251674624;v-text-anchor:middle;mso-width-relative:page;mso-height-relative:page;" fillcolor="#FFFF00" filled="t" stroked="t" coordsize="21600,21600" o:gfxdata="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C/lMTZAAAACwEAAA8AAAAAAAAAAQAg&#10;AAAAIgAAAGRycy9kb3ducmV2LnhtbFBLAQIUABQAAAAIAIdO4kDcHtbVRgIAAJ8EAAAOAAAAAAAA&#10;AAEAIAAAACgBAABkcnMvZTJvRG9jLnhtbFBLBQYAAAAABgAGAFkBAADgBQAAAAA=&#10;" adj="-4200,33448">
                      <v:fill on="t" focussize="0,0"/>
                      <v:stroke weight="1pt" color="#000000" joinstyle="miter"/>
                      <v:imagedata o:title=""/>
                      <o:lock v:ext="edit" aspectratio="f"/>
                      <v:textbox>
                        <w:txbxContent>
                          <w:p w14:paraId="1183419C">
                            <w:pPr>
                              <w:rPr>
                                <w:b/>
                                <w:bCs/>
                                <w:color w:val="000000"/>
                              </w:rPr>
                            </w:pPr>
                            <w:r>
                              <w:rPr>
                                <w:rFonts w:hint="eastAsia"/>
                                <w:b/>
                                <w:bCs/>
                                <w:color w:val="000000"/>
                              </w:rPr>
                              <w:t>项目位置</w:t>
                            </w:r>
                          </w:p>
                        </w:txbxContent>
                      </v:textbox>
                    </v:shape>
                  </w:pict>
                </mc:Fallback>
              </mc:AlternateContent>
            </w:r>
            <w:r>
              <w:rPr>
                <w:rFonts w:hint="eastAsia"/>
              </w:rPr>
              <w:drawing>
                <wp:inline distT="0" distB="0" distL="0" distR="0">
                  <wp:extent cx="8633460" cy="5687695"/>
                  <wp:effectExtent l="0" t="0" r="15240" b="8255"/>
                  <wp:docPr id="1109" name="图片 60" descr="02开发区规划范围图0315"/>
                  <wp:cNvGraphicFramePr/>
                  <a:graphic xmlns:a="http://schemas.openxmlformats.org/drawingml/2006/main">
                    <a:graphicData uri="http://schemas.openxmlformats.org/drawingml/2006/picture">
                      <pic:pic xmlns:pic="http://schemas.openxmlformats.org/drawingml/2006/picture">
                        <pic:nvPicPr>
                          <pic:cNvPr id="1109" name="图片 60" descr="02开发区规划范围图0315"/>
                          <pic:cNvPicPr/>
                        </pic:nvPicPr>
                        <pic:blipFill>
                          <a:blip r:embed="rId41" cstate="print"/>
                          <a:srcRect t="2860" b="3993"/>
                          <a:stretch>
                            <a:fillRect/>
                          </a:stretch>
                        </pic:blipFill>
                        <pic:spPr>
                          <a:xfrm>
                            <a:off x="0" y="0"/>
                            <a:ext cx="8633460" cy="5687695"/>
                          </a:xfrm>
                          <a:prstGeom prst="rect">
                            <a:avLst/>
                          </a:prstGeom>
                        </pic:spPr>
                      </pic:pic>
                    </a:graphicData>
                  </a:graphic>
                </wp:inline>
              </w:drawing>
            </w:r>
          </w:p>
        </w:tc>
      </w:tr>
      <w:tr w14:paraId="78132F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34D48BAC">
            <w:pPr>
              <w:spacing w:line="360" w:lineRule="auto"/>
              <w:jc w:val="center"/>
            </w:pPr>
            <w:r>
              <w:rPr>
                <w:rFonts w:hint="eastAsia"/>
                <w:b/>
                <w:bCs/>
                <w:color w:val="000000" w:themeColor="text1"/>
                <w:sz w:val="24"/>
                <w14:textFill>
                  <w14:solidFill>
                    <w14:schemeClr w14:val="tx1"/>
                  </w14:solidFill>
                </w14:textFill>
              </w:rPr>
              <w:t xml:space="preserve">附图4 </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项目在镇平县先进制造业开发区发展规划中的位置示意图</w:t>
            </w:r>
          </w:p>
        </w:tc>
      </w:tr>
    </w:tbl>
    <w:p w14:paraId="35F08F55">
      <w:pPr>
        <w:sectPr>
          <w:pgSz w:w="16838" w:h="11906" w:orient="landscape"/>
          <w:pgMar w:top="1083" w:right="1440" w:bottom="1083" w:left="1440" w:header="851" w:footer="992" w:gutter="0"/>
          <w:pgNumType w:fmt="decimal"/>
          <w:cols w:space="0" w:num="1"/>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69C9D5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073FFEB3">
            <w:pPr>
              <w:jc w:val="center"/>
            </w:pPr>
            <w:r>
              <w:rPr>
                <w:rFonts w:hint="eastAsia"/>
              </w:rPr>
              <w:drawing>
                <wp:inline distT="0" distB="0" distL="0" distR="0">
                  <wp:extent cx="8633460" cy="5637530"/>
                  <wp:effectExtent l="0" t="0" r="15240" b="1270"/>
                  <wp:docPr id="1112" name="图片 61" descr="06产业功能布局图"/>
                  <wp:cNvGraphicFramePr/>
                  <a:graphic xmlns:a="http://schemas.openxmlformats.org/drawingml/2006/main">
                    <a:graphicData uri="http://schemas.openxmlformats.org/drawingml/2006/picture">
                      <pic:pic xmlns:pic="http://schemas.openxmlformats.org/drawingml/2006/picture">
                        <pic:nvPicPr>
                          <pic:cNvPr id="1112" name="图片 61" descr="06产业功能布局图"/>
                          <pic:cNvPicPr/>
                        </pic:nvPicPr>
                        <pic:blipFill>
                          <a:blip r:embed="rId42" cstate="print"/>
                          <a:srcRect t="1986" b="3941"/>
                          <a:stretch>
                            <a:fillRect/>
                          </a:stretch>
                        </pic:blipFill>
                        <pic:spPr>
                          <a:xfrm>
                            <a:off x="0" y="0"/>
                            <a:ext cx="8633460" cy="5637530"/>
                          </a:xfrm>
                          <a:prstGeom prst="rect">
                            <a:avLst/>
                          </a:prstGeom>
                        </pic:spPr>
                      </pic:pic>
                    </a:graphicData>
                  </a:graphic>
                </wp:inline>
              </w:drawing>
            </w:r>
            <w:r>
              <w:rPr>
                <w:sz w:val="24"/>
              </w:rPr>
              <mc:AlternateContent>
                <mc:Choice Requires="wps">
                  <w:drawing>
                    <wp:anchor distT="0" distB="0" distL="0" distR="0" simplePos="0" relativeHeight="251675648" behindDoc="0" locked="0" layoutInCell="1" allowOverlap="1">
                      <wp:simplePos x="0" y="0"/>
                      <wp:positionH relativeFrom="column">
                        <wp:posOffset>1692275</wp:posOffset>
                      </wp:positionH>
                      <wp:positionV relativeFrom="paragraph">
                        <wp:posOffset>4168140</wp:posOffset>
                      </wp:positionV>
                      <wp:extent cx="914400" cy="300990"/>
                      <wp:effectExtent l="6350" t="6350" r="69850" b="168910"/>
                      <wp:wrapNone/>
                      <wp:docPr id="1111" name="矩形标注 64"/>
                      <wp:cNvGraphicFramePr/>
                      <a:graphic xmlns:a="http://schemas.openxmlformats.org/drawingml/2006/main">
                        <a:graphicData uri="http://schemas.microsoft.com/office/word/2010/wordprocessingShape">
                          <wps:wsp>
                            <wps:cNvSpPr/>
                            <wps:spPr>
                              <a:xfrm>
                                <a:off x="0" y="0"/>
                                <a:ext cx="914400" cy="300989"/>
                              </a:xfrm>
                              <a:prstGeom prst="wedgeRectCallout">
                                <a:avLst>
                                  <a:gd name="adj1" fmla="val 52013"/>
                                  <a:gd name="adj2" fmla="val 94514"/>
                                </a:avLst>
                              </a:prstGeom>
                              <a:solidFill>
                                <a:srgbClr val="FFFF00"/>
                              </a:solidFill>
                              <a:ln w="12700" cap="flat" cmpd="sng">
                                <a:solidFill>
                                  <a:srgbClr val="000000"/>
                                </a:solidFill>
                                <a:prstDash val="solid"/>
                                <a:miter/>
                                <a:headEnd type="none" w="med" len="med"/>
                                <a:tailEnd type="none" w="med" len="med"/>
                              </a:ln>
                            </wps:spPr>
                            <wps:txbx>
                              <w:txbxContent>
                                <w:p w14:paraId="0DBA2EF8">
                                  <w:pPr>
                                    <w:rPr>
                                      <w:b/>
                                      <w:bCs/>
                                      <w:color w:val="000000"/>
                                    </w:rPr>
                                  </w:pPr>
                                  <w:r>
                                    <w:rPr>
                                      <w:rFonts w:hint="eastAsia"/>
                                      <w:b/>
                                      <w:bCs/>
                                      <w:color w:val="000000"/>
                                    </w:rPr>
                                    <w:t>项目位置</w:t>
                                  </w:r>
                                </w:p>
                              </w:txbxContent>
                            </wps:txbx>
                            <wps:bodyPr anchor="ctr" upright="1"/>
                          </wps:wsp>
                        </a:graphicData>
                      </a:graphic>
                    </wp:anchor>
                  </w:drawing>
                </mc:Choice>
                <mc:Fallback>
                  <w:pict>
                    <v:shape id="矩形标注 64" o:spid="_x0000_s1026" o:spt="61" type="#_x0000_t61" style="position:absolute;left:0pt;margin-left:133.25pt;margin-top:328.2pt;height:23.7pt;width:72pt;z-index:251675648;v-text-anchor:middle;mso-width-relative:page;mso-height-relative:page;" fillcolor="#FFFF00" filled="t" stroked="t" coordsize="21600,21600" o:gfxdata="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mUK4f2wAAAAsBAAAPAAAAAAAAAAEAIAAA&#10;ACIAAABkcnMvZG93bnJldi54bWxQSwECFAAUAAAACACHTuJA5j7G+0ICAACdBAAADgAAAAAAAAAB&#10;ACAAAAAqAQAAZHJzL2Uyb0RvYy54bWxQSwUGAAAAAAYABgBZAQAA3gUAAAAA&#10;" adj="22035,31215">
                      <v:fill on="t" focussize="0,0"/>
                      <v:stroke weight="1pt" color="#000000" joinstyle="miter"/>
                      <v:imagedata o:title=""/>
                      <o:lock v:ext="edit" aspectratio="f"/>
                      <v:textbox>
                        <w:txbxContent>
                          <w:p w14:paraId="0DBA2EF8">
                            <w:pPr>
                              <w:rPr>
                                <w:b/>
                                <w:bCs/>
                                <w:color w:val="000000"/>
                              </w:rPr>
                            </w:pPr>
                            <w:r>
                              <w:rPr>
                                <w:rFonts w:hint="eastAsia"/>
                                <w:b/>
                                <w:bCs/>
                                <w:color w:val="000000"/>
                              </w:rPr>
                              <w:t>项目位置</w:t>
                            </w:r>
                          </w:p>
                        </w:txbxContent>
                      </v:textbox>
                    </v:shape>
                  </w:pict>
                </mc:Fallback>
              </mc:AlternateContent>
            </w:r>
          </w:p>
        </w:tc>
      </w:tr>
      <w:tr w14:paraId="3F54F1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7F985753">
            <w:pPr>
              <w:spacing w:line="360" w:lineRule="auto"/>
              <w:jc w:val="center"/>
            </w:pPr>
            <w:r>
              <w:rPr>
                <w:rFonts w:hint="eastAsia"/>
                <w:b/>
                <w:bCs/>
                <w:color w:val="000000" w:themeColor="text1"/>
                <w:sz w:val="24"/>
                <w14:textFill>
                  <w14:solidFill>
                    <w14:schemeClr w14:val="tx1"/>
                  </w14:solidFill>
                </w14:textFill>
              </w:rPr>
              <w:t xml:space="preserve">附图5 </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项目在镇平县先进制造业开发区产业功能布局图中的位置示意图</w:t>
            </w:r>
          </w:p>
        </w:tc>
      </w:tr>
    </w:tbl>
    <w:p w14:paraId="6A701257">
      <w:pPr>
        <w:sectPr>
          <w:pgSz w:w="16838" w:h="11906" w:orient="landscape"/>
          <w:pgMar w:top="1083" w:right="1440" w:bottom="1083" w:left="1440" w:header="851" w:footer="992" w:gutter="0"/>
          <w:pgNumType w:fmt="decimal"/>
          <w:cols w:space="0" w:num="1"/>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27D83B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0ABE3444">
            <w:pPr>
              <w:jc w:val="center"/>
            </w:pPr>
            <w:r>
              <w:rPr>
                <w:sz w:val="24"/>
              </w:rPr>
              <mc:AlternateContent>
                <mc:Choice Requires="wps">
                  <w:drawing>
                    <wp:anchor distT="0" distB="0" distL="0" distR="0" simplePos="0" relativeHeight="251676672" behindDoc="0" locked="0" layoutInCell="1" allowOverlap="1">
                      <wp:simplePos x="0" y="0"/>
                      <wp:positionH relativeFrom="column">
                        <wp:posOffset>2837180</wp:posOffset>
                      </wp:positionH>
                      <wp:positionV relativeFrom="paragraph">
                        <wp:posOffset>4144010</wp:posOffset>
                      </wp:positionV>
                      <wp:extent cx="914400" cy="300990"/>
                      <wp:effectExtent l="226060" t="6350" r="21590" b="187960"/>
                      <wp:wrapNone/>
                      <wp:docPr id="1113" name="矩形标注 66"/>
                      <wp:cNvGraphicFramePr/>
                      <a:graphic xmlns:a="http://schemas.openxmlformats.org/drawingml/2006/main">
                        <a:graphicData uri="http://schemas.microsoft.com/office/word/2010/wordprocessingShape">
                          <wps:wsp>
                            <wps:cNvSpPr/>
                            <wps:spPr>
                              <a:xfrm>
                                <a:off x="0" y="0"/>
                                <a:ext cx="914400" cy="300989"/>
                              </a:xfrm>
                              <a:prstGeom prst="wedgeRectCallout">
                                <a:avLst>
                                  <a:gd name="adj1" fmla="val -69444"/>
                                  <a:gd name="adj2" fmla="val 104852"/>
                                </a:avLst>
                              </a:prstGeom>
                              <a:solidFill>
                                <a:srgbClr val="FFFF00"/>
                              </a:solidFill>
                              <a:ln w="12700" cap="flat" cmpd="sng">
                                <a:solidFill>
                                  <a:srgbClr val="000000"/>
                                </a:solidFill>
                                <a:prstDash val="solid"/>
                                <a:miter/>
                                <a:headEnd type="none" w="med" len="med"/>
                                <a:tailEnd type="none" w="med" len="med"/>
                              </a:ln>
                            </wps:spPr>
                            <wps:txbx>
                              <w:txbxContent>
                                <w:p w14:paraId="093F052D">
                                  <w:pPr>
                                    <w:rPr>
                                      <w:b/>
                                      <w:bCs/>
                                      <w:color w:val="000000"/>
                                    </w:rPr>
                                  </w:pPr>
                                  <w:r>
                                    <w:rPr>
                                      <w:rFonts w:hint="eastAsia"/>
                                      <w:b/>
                                      <w:bCs/>
                                      <w:color w:val="000000"/>
                                    </w:rPr>
                                    <w:t>项目位置</w:t>
                                  </w:r>
                                </w:p>
                              </w:txbxContent>
                            </wps:txbx>
                            <wps:bodyPr anchor="ctr" upright="1"/>
                          </wps:wsp>
                        </a:graphicData>
                      </a:graphic>
                    </wp:anchor>
                  </w:drawing>
                </mc:Choice>
                <mc:Fallback>
                  <w:pict>
                    <v:shape id="矩形标注 66" o:spid="_x0000_s1026" o:spt="61" type="#_x0000_t61" style="position:absolute;left:0pt;margin-left:223.4pt;margin-top:326.3pt;height:23.7pt;width:72pt;z-index:251676672;v-text-anchor:middle;mso-width-relative:page;mso-height-relative:page;" fillcolor="#FFFF00" filled="t" stroked="t" coordsize="21600,21600" o:gfxdata="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xj9l42gAAAAsBAAAPAAAAAAAAAAEA&#10;IAAAACIAAABkcnMvZG93bnJldi54bWxQSwECFAAUAAAACACHTuJA6DnvH0YCAACfBAAADgAAAAAA&#10;AAABACAAAAApAQAAZHJzL2Uyb0RvYy54bWxQSwUGAAAAAAYABgBZAQAA4QUAAAAA&#10;" adj="-4200,33448">
                      <v:fill on="t" focussize="0,0"/>
                      <v:stroke weight="1pt" color="#000000" joinstyle="miter"/>
                      <v:imagedata o:title=""/>
                      <o:lock v:ext="edit" aspectratio="f"/>
                      <v:textbox>
                        <w:txbxContent>
                          <w:p w14:paraId="093F052D">
                            <w:pPr>
                              <w:rPr>
                                <w:b/>
                                <w:bCs/>
                                <w:color w:val="000000"/>
                              </w:rPr>
                            </w:pPr>
                            <w:r>
                              <w:rPr>
                                <w:rFonts w:hint="eastAsia"/>
                                <w:b/>
                                <w:bCs/>
                                <w:color w:val="000000"/>
                              </w:rPr>
                              <w:t>项目位置</w:t>
                            </w:r>
                          </w:p>
                        </w:txbxContent>
                      </v:textbox>
                    </v:shape>
                  </w:pict>
                </mc:Fallback>
              </mc:AlternateContent>
            </w:r>
            <w:r>
              <w:rPr>
                <w:rFonts w:hint="eastAsia"/>
              </w:rPr>
              <w:drawing>
                <wp:inline distT="0" distB="0" distL="0" distR="0">
                  <wp:extent cx="8633460" cy="5636895"/>
                  <wp:effectExtent l="0" t="0" r="15240" b="1905"/>
                  <wp:docPr id="1114" name="图片 65" descr="05用地功能布局图"/>
                  <wp:cNvGraphicFramePr/>
                  <a:graphic xmlns:a="http://schemas.openxmlformats.org/drawingml/2006/main">
                    <a:graphicData uri="http://schemas.openxmlformats.org/drawingml/2006/picture">
                      <pic:pic xmlns:pic="http://schemas.openxmlformats.org/drawingml/2006/picture">
                        <pic:nvPicPr>
                          <pic:cNvPr id="1114" name="图片 65" descr="05用地功能布局图"/>
                          <pic:cNvPicPr/>
                        </pic:nvPicPr>
                        <pic:blipFill>
                          <a:blip r:embed="rId43" cstate="print"/>
                          <a:srcRect t="2860" b="4825"/>
                          <a:stretch>
                            <a:fillRect/>
                          </a:stretch>
                        </pic:blipFill>
                        <pic:spPr>
                          <a:xfrm>
                            <a:off x="0" y="0"/>
                            <a:ext cx="8633460" cy="5636895"/>
                          </a:xfrm>
                          <a:prstGeom prst="rect">
                            <a:avLst/>
                          </a:prstGeom>
                        </pic:spPr>
                      </pic:pic>
                    </a:graphicData>
                  </a:graphic>
                </wp:inline>
              </w:drawing>
            </w:r>
          </w:p>
        </w:tc>
      </w:tr>
      <w:tr w14:paraId="70BC9F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7207DF9C">
            <w:pPr>
              <w:spacing w:line="360" w:lineRule="auto"/>
              <w:jc w:val="center"/>
            </w:pPr>
            <w:r>
              <w:rPr>
                <w:rFonts w:hint="eastAsia"/>
                <w:b/>
                <w:bCs/>
                <w:color w:val="000000" w:themeColor="text1"/>
                <w:sz w:val="24"/>
                <w14:textFill>
                  <w14:solidFill>
                    <w14:schemeClr w14:val="tx1"/>
                  </w14:solidFill>
                </w14:textFill>
              </w:rPr>
              <w:t xml:space="preserve">附图6 </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项目在镇平县先进制造业开发区用地功能布局图中的位置示意图</w:t>
            </w:r>
          </w:p>
        </w:tc>
      </w:tr>
    </w:tbl>
    <w:p w14:paraId="53B07ED6">
      <w:pPr>
        <w:sectPr>
          <w:pgSz w:w="16838" w:h="11906" w:orient="landscape"/>
          <w:pgMar w:top="1083" w:right="1440" w:bottom="1083" w:left="1440" w:header="851" w:footer="992" w:gutter="0"/>
          <w:pgNumType w:fmt="decimal"/>
          <w:cols w:space="0" w:num="1"/>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4DA490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3F3083B3">
            <w:pPr>
              <w:jc w:val="center"/>
              <w:rPr>
                <w:sz w:val="24"/>
              </w:rPr>
            </w:pPr>
            <w:r>
              <w:rPr>
                <w:rFonts w:hint="eastAsia"/>
                <w:sz w:val="24"/>
              </w:rPr>
              <w:drawing>
                <wp:inline distT="0" distB="0" distL="0" distR="0">
                  <wp:extent cx="8633460" cy="5671185"/>
                  <wp:effectExtent l="0" t="0" r="15240" b="5715"/>
                  <wp:docPr id="1116" name="图片 62" descr="09污水工程规划图_1"/>
                  <wp:cNvGraphicFramePr/>
                  <a:graphic xmlns:a="http://schemas.openxmlformats.org/drawingml/2006/main">
                    <a:graphicData uri="http://schemas.openxmlformats.org/drawingml/2006/picture">
                      <pic:pic xmlns:pic="http://schemas.openxmlformats.org/drawingml/2006/picture">
                        <pic:nvPicPr>
                          <pic:cNvPr id="1116" name="图片 62" descr="09污水工程规划图_1"/>
                          <pic:cNvPicPr/>
                        </pic:nvPicPr>
                        <pic:blipFill>
                          <a:blip r:embed="rId44" cstate="print"/>
                          <a:srcRect t="2329" b="4794"/>
                          <a:stretch>
                            <a:fillRect/>
                          </a:stretch>
                        </pic:blipFill>
                        <pic:spPr>
                          <a:xfrm>
                            <a:off x="0" y="0"/>
                            <a:ext cx="8633460" cy="5671185"/>
                          </a:xfrm>
                          <a:prstGeom prst="rect">
                            <a:avLst/>
                          </a:prstGeom>
                        </pic:spPr>
                      </pic:pic>
                    </a:graphicData>
                  </a:graphic>
                </wp:inline>
              </w:drawing>
            </w:r>
            <w:r>
              <w:rPr>
                <w:sz w:val="24"/>
              </w:rPr>
              <mc:AlternateContent>
                <mc:Choice Requires="wps">
                  <w:drawing>
                    <wp:anchor distT="0" distB="0" distL="0" distR="0" simplePos="0" relativeHeight="251677696" behindDoc="0" locked="0" layoutInCell="1" allowOverlap="1">
                      <wp:simplePos x="0" y="0"/>
                      <wp:positionH relativeFrom="column">
                        <wp:posOffset>2819400</wp:posOffset>
                      </wp:positionH>
                      <wp:positionV relativeFrom="paragraph">
                        <wp:posOffset>4147820</wp:posOffset>
                      </wp:positionV>
                      <wp:extent cx="914400" cy="300990"/>
                      <wp:effectExtent l="226060" t="6350" r="21590" b="187960"/>
                      <wp:wrapNone/>
                      <wp:docPr id="1115" name="矩形标注 67"/>
                      <wp:cNvGraphicFramePr/>
                      <a:graphic xmlns:a="http://schemas.openxmlformats.org/drawingml/2006/main">
                        <a:graphicData uri="http://schemas.microsoft.com/office/word/2010/wordprocessingShape">
                          <wps:wsp>
                            <wps:cNvSpPr/>
                            <wps:spPr>
                              <a:xfrm>
                                <a:off x="0" y="0"/>
                                <a:ext cx="914400" cy="300989"/>
                              </a:xfrm>
                              <a:prstGeom prst="wedgeRectCallout">
                                <a:avLst>
                                  <a:gd name="adj1" fmla="val -69444"/>
                                  <a:gd name="adj2" fmla="val 104852"/>
                                </a:avLst>
                              </a:prstGeom>
                              <a:solidFill>
                                <a:srgbClr val="FFFF00"/>
                              </a:solidFill>
                              <a:ln w="12700" cap="flat" cmpd="sng">
                                <a:solidFill>
                                  <a:srgbClr val="000000"/>
                                </a:solidFill>
                                <a:prstDash val="solid"/>
                                <a:miter/>
                                <a:headEnd type="none" w="med" len="med"/>
                                <a:tailEnd type="none" w="med" len="med"/>
                              </a:ln>
                            </wps:spPr>
                            <wps:txbx>
                              <w:txbxContent>
                                <w:p w14:paraId="04D49F1F">
                                  <w:pPr>
                                    <w:rPr>
                                      <w:b/>
                                      <w:bCs/>
                                      <w:color w:val="000000"/>
                                    </w:rPr>
                                  </w:pPr>
                                  <w:r>
                                    <w:rPr>
                                      <w:rFonts w:hint="eastAsia"/>
                                      <w:b/>
                                      <w:bCs/>
                                      <w:color w:val="000000"/>
                                    </w:rPr>
                                    <w:t>项目位置</w:t>
                                  </w:r>
                                </w:p>
                              </w:txbxContent>
                            </wps:txbx>
                            <wps:bodyPr anchor="ctr" upright="1"/>
                          </wps:wsp>
                        </a:graphicData>
                      </a:graphic>
                    </wp:anchor>
                  </w:drawing>
                </mc:Choice>
                <mc:Fallback>
                  <w:pict>
                    <v:shape id="矩形标注 67" o:spid="_x0000_s1026" o:spt="61" type="#_x0000_t61" style="position:absolute;left:0pt;margin-left:222pt;margin-top:326.6pt;height:23.7pt;width:72pt;z-index:251677696;v-text-anchor:middle;mso-width-relative:page;mso-height-relative:page;" fillcolor="#FFFF00" filled="t" stroked="t" coordsize="21600,21600" o:gfxdata="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rSeRA9oAAAALAQAADwAAAAAAAAAB&#10;ACAAAAAiAAAAZHJzL2Rvd25yZXYueG1sUEsBAhQAFAAAAAgAh07iQDXrWAhHAgAAnwQAAA4AAAAA&#10;AAAAAQAgAAAAKQEAAGRycy9lMm9Eb2MueG1sUEsFBgAAAAAGAAYAWQEAAOIFAAAAAA==&#10;" adj="-4200,33448">
                      <v:fill on="t" focussize="0,0"/>
                      <v:stroke weight="1pt" color="#000000" joinstyle="miter"/>
                      <v:imagedata o:title=""/>
                      <o:lock v:ext="edit" aspectratio="f"/>
                      <v:textbox>
                        <w:txbxContent>
                          <w:p w14:paraId="04D49F1F">
                            <w:pPr>
                              <w:rPr>
                                <w:b/>
                                <w:bCs/>
                                <w:color w:val="000000"/>
                              </w:rPr>
                            </w:pPr>
                            <w:r>
                              <w:rPr>
                                <w:rFonts w:hint="eastAsia"/>
                                <w:b/>
                                <w:bCs/>
                                <w:color w:val="000000"/>
                              </w:rPr>
                              <w:t>项目位置</w:t>
                            </w:r>
                          </w:p>
                        </w:txbxContent>
                      </v:textbox>
                    </v:shape>
                  </w:pict>
                </mc:Fallback>
              </mc:AlternateContent>
            </w:r>
          </w:p>
        </w:tc>
      </w:tr>
      <w:tr w14:paraId="7C7FFC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4E271CD0">
            <w:pPr>
              <w:jc w:val="center"/>
              <w:rPr>
                <w:sz w:val="24"/>
              </w:rPr>
            </w:pPr>
            <w:r>
              <w:rPr>
                <w:rFonts w:hint="eastAsia"/>
                <w:b/>
                <w:bCs/>
                <w:color w:val="000000" w:themeColor="text1"/>
                <w:sz w:val="24"/>
                <w14:textFill>
                  <w14:solidFill>
                    <w14:schemeClr w14:val="tx1"/>
                  </w14:solidFill>
                </w14:textFill>
              </w:rPr>
              <w:t xml:space="preserve">附图7 </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项目在镇平县先进制造业开发区污水工程规划图中的位置示意图</w:t>
            </w:r>
          </w:p>
        </w:tc>
      </w:tr>
    </w:tbl>
    <w:p w14:paraId="3C2F658F">
      <w:pPr>
        <w:sectPr>
          <w:pgSz w:w="16838" w:h="11906" w:orient="landscape"/>
          <w:pgMar w:top="1083" w:right="1440" w:bottom="1083" w:left="1440" w:header="851" w:footer="992" w:gutter="0"/>
          <w:pgNumType w:fmt="decimal"/>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04A7D1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29C1C734">
            <w:pPr>
              <w:jc w:val="center"/>
              <w:rPr>
                <w:vertAlign w:val="baseline"/>
              </w:rPr>
            </w:pPr>
            <w:r>
              <w:rPr>
                <w:sz w:val="24"/>
              </w:rPr>
              <mc:AlternateContent>
                <mc:Choice Requires="wps">
                  <w:drawing>
                    <wp:anchor distT="0" distB="0" distL="114300" distR="114300" simplePos="0" relativeHeight="251661312" behindDoc="0" locked="0" layoutInCell="1" allowOverlap="1">
                      <wp:simplePos x="0" y="0"/>
                      <wp:positionH relativeFrom="column">
                        <wp:posOffset>3919855</wp:posOffset>
                      </wp:positionH>
                      <wp:positionV relativeFrom="paragraph">
                        <wp:posOffset>3445510</wp:posOffset>
                      </wp:positionV>
                      <wp:extent cx="914400" cy="300990"/>
                      <wp:effectExtent l="226060" t="6350" r="21590" b="187960"/>
                      <wp:wrapNone/>
                      <wp:docPr id="67" name="矩形标注 67"/>
                      <wp:cNvGraphicFramePr/>
                      <a:graphic xmlns:a="http://schemas.openxmlformats.org/drawingml/2006/main">
                        <a:graphicData uri="http://schemas.microsoft.com/office/word/2010/wordprocessingShape">
                          <wps:wsp>
                            <wps:cNvSpPr/>
                            <wps:spPr>
                              <a:xfrm>
                                <a:off x="0" y="0"/>
                                <a:ext cx="914400" cy="300990"/>
                              </a:xfrm>
                              <a:prstGeom prst="wedgeRectCallout">
                                <a:avLst>
                                  <a:gd name="adj1" fmla="val -69444"/>
                                  <a:gd name="adj2" fmla="val 104852"/>
                                </a:avLst>
                              </a:prstGeom>
                              <a:solidFill>
                                <a:srgbClr val="FFFF00"/>
                              </a:solidFill>
                              <a:ln w="12700" cap="flat" cmpd="sng">
                                <a:solidFill>
                                  <a:srgbClr val="000000"/>
                                </a:solidFill>
                                <a:prstDash val="solid"/>
                                <a:miter/>
                                <a:headEnd type="none" w="med" len="med"/>
                                <a:tailEnd type="none" w="med" len="med"/>
                              </a:ln>
                            </wps:spPr>
                            <wps:txbx>
                              <w:txbxContent>
                                <w:p w14:paraId="284EA54A">
                                  <w:pPr>
                                    <w:rPr>
                                      <w:b/>
                                      <w:bCs/>
                                      <w:color w:val="000000"/>
                                    </w:rPr>
                                  </w:pPr>
                                  <w:r>
                                    <w:rPr>
                                      <w:rFonts w:hint="eastAsia"/>
                                      <w:b/>
                                      <w:bCs/>
                                      <w:color w:val="000000"/>
                                    </w:rPr>
                                    <w:t>项目位置</w:t>
                                  </w:r>
                                </w:p>
                              </w:txbxContent>
                            </wps:txbx>
                            <wps:bodyPr anchor="ctr" anchorCtr="0" upright="1"/>
                          </wps:wsp>
                        </a:graphicData>
                      </a:graphic>
                    </wp:anchor>
                  </w:drawing>
                </mc:Choice>
                <mc:Fallback>
                  <w:pict>
                    <v:shape id="_x0000_s1026" o:spid="_x0000_s1026" o:spt="61" type="#_x0000_t61" style="position:absolute;left:0pt;margin-left:308.65pt;margin-top:271.3pt;height:23.7pt;width:72pt;z-index:251661312;v-text-anchor:middle;mso-width-relative:page;mso-height-relative:page;" fillcolor="#FFFF00" filled="t" stroked="t" coordsize="21600,21600" o:gfxdata="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JV0Pb2QAAAAsBAAAPAAAAAAAA&#10;AAEAIAAAACIAAABkcnMvZG93bnJldi54bWxQSwECFAAUAAAACACHTuJAOQWkC0oCAACrBAAADgAA&#10;AAAAAAABACAAAAAoAQAAZHJzL2Uyb0RvYy54bWxQSwUGAAAAAAYABgBZAQAA5AUAAAAA&#10;" adj="-4200,33448">
                      <v:fill on="t" focussize="0,0"/>
                      <v:stroke weight="1pt" color="#000000" joinstyle="miter"/>
                      <v:imagedata o:title=""/>
                      <o:lock v:ext="edit" aspectratio="f"/>
                      <v:textbox>
                        <w:txbxContent>
                          <w:p w14:paraId="284EA54A">
                            <w:pPr>
                              <w:rPr>
                                <w:b/>
                                <w:bCs/>
                                <w:color w:val="000000"/>
                              </w:rPr>
                            </w:pPr>
                            <w:r>
                              <w:rPr>
                                <w:rFonts w:hint="eastAsia"/>
                                <w:b/>
                                <w:bCs/>
                                <w:color w:val="000000"/>
                              </w:rPr>
                              <w:t>项目位置</w:t>
                            </w:r>
                          </w:p>
                        </w:txbxContent>
                      </v:textbox>
                    </v:shape>
                  </w:pict>
                </mc:Fallback>
              </mc:AlternateContent>
            </w:r>
            <w:r>
              <w:drawing>
                <wp:inline distT="0" distB="0" distL="114300" distR="114300">
                  <wp:extent cx="8929370" cy="4643120"/>
                  <wp:effectExtent l="0" t="0" r="5080" b="5080"/>
                  <wp:docPr id="10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0"/>
                          <pic:cNvPicPr>
                            <a:picLocks noChangeAspect="1"/>
                          </pic:cNvPicPr>
                        </pic:nvPicPr>
                        <pic:blipFill>
                          <a:blip r:embed="rId45"/>
                          <a:srcRect l="1247" r="1884" b="-861"/>
                          <a:stretch>
                            <a:fillRect/>
                          </a:stretch>
                        </pic:blipFill>
                        <pic:spPr>
                          <a:xfrm>
                            <a:off x="0" y="0"/>
                            <a:ext cx="8929370" cy="4643120"/>
                          </a:xfrm>
                          <a:prstGeom prst="rect">
                            <a:avLst/>
                          </a:prstGeom>
                          <a:noFill/>
                          <a:ln>
                            <a:noFill/>
                          </a:ln>
                        </pic:spPr>
                      </pic:pic>
                    </a:graphicData>
                  </a:graphic>
                </wp:inline>
              </w:drawing>
            </w:r>
            <w:r>
              <mc:AlternateContent>
                <mc:Choice Requires="wpg">
                  <w:drawing>
                    <wp:anchor distT="0" distB="0" distL="114300" distR="114300" simplePos="0" relativeHeight="251673600" behindDoc="0" locked="0" layoutInCell="1" allowOverlap="1">
                      <wp:simplePos x="0" y="0"/>
                      <wp:positionH relativeFrom="column">
                        <wp:posOffset>8408670</wp:posOffset>
                      </wp:positionH>
                      <wp:positionV relativeFrom="paragraph">
                        <wp:posOffset>70485</wp:posOffset>
                      </wp:positionV>
                      <wp:extent cx="381635" cy="564515"/>
                      <wp:effectExtent l="80645" t="0" r="0" b="6985"/>
                      <wp:wrapNone/>
                      <wp:docPr id="5" name="组合 5"/>
                      <wp:cNvGraphicFramePr/>
                      <a:graphic xmlns:a="http://schemas.openxmlformats.org/drawingml/2006/main">
                        <a:graphicData uri="http://schemas.microsoft.com/office/word/2010/wordprocessingGroup">
                          <wpg:wgp>
                            <wpg:cNvGrpSpPr/>
                            <wpg:grpSpPr>
                              <a:xfrm>
                                <a:off x="0" y="0"/>
                                <a:ext cx="381635" cy="564515"/>
                                <a:chOff x="16075" y="14959"/>
                                <a:chExt cx="601" cy="889"/>
                              </a:xfrm>
                              <a:effectLst/>
                            </wpg:grpSpPr>
                            <wps:wsp>
                              <wps:cNvPr id="6" name="直接箭头连接符 7"/>
                              <wps:cNvCnPr/>
                              <wps:spPr>
                                <a:xfrm flipV="1">
                                  <a:off x="16075" y="14959"/>
                                  <a:ext cx="0" cy="825"/>
                                </a:xfrm>
                                <a:prstGeom prst="straightConnector1">
                                  <a:avLst/>
                                </a:prstGeom>
                                <a:noFill/>
                                <a:ln w="53975" cap="flat" cmpd="sng" algn="ctr">
                                  <a:solidFill>
                                    <a:srgbClr val="000000"/>
                                  </a:solidFill>
                                  <a:prstDash val="solid"/>
                                  <a:miter lim="800000"/>
                                  <a:tailEnd type="triangle"/>
                                </a:ln>
                                <a:effectLst/>
                              </wps:spPr>
                              <wps:bodyPr/>
                            </wps:wsp>
                            <wps:wsp>
                              <wps:cNvPr id="7" name="文本框 8"/>
                              <wps:cNvSpPr txBox="1"/>
                              <wps:spPr>
                                <a:xfrm>
                                  <a:off x="16174" y="15196"/>
                                  <a:ext cx="503" cy="653"/>
                                </a:xfrm>
                                <a:prstGeom prst="rect">
                                  <a:avLst/>
                                </a:prstGeom>
                                <a:noFill/>
                                <a:ln w="6350">
                                  <a:noFill/>
                                </a:ln>
                                <a:effectLst/>
                              </wps:spPr>
                              <wps:txbx>
                                <w:txbxContent>
                                  <w:p w14:paraId="24AC0CDC">
                                    <w:pPr>
                                      <w:rPr>
                                        <w:b/>
                                        <w:bCs/>
                                        <w:sz w:val="40"/>
                                        <w:szCs w:val="28"/>
                                      </w:rPr>
                                    </w:pPr>
                                    <w:r>
                                      <w:rPr>
                                        <w:rFonts w:hint="eastAsia"/>
                                        <w:b/>
                                        <w:bCs/>
                                        <w:sz w:val="40"/>
                                        <w:szCs w:val="28"/>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62.1pt;margin-top:5.55pt;height:44.45pt;width:30.05pt;z-index:251673600;mso-width-relative:page;mso-height-relative:page;" coordorigin="16075,14959" coordsize="601,889" o:gfxdata="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">
                      <o:lock v:ext="edit" aspectratio="f"/>
                      <v:shape id="直接箭头连接符 7" o:spid="_x0000_s1026" o:spt="32" type="#_x0000_t32" style="position:absolute;left:16075;top:14959;flip:y;height:825;width:0;" filled="f" stroked="t" coordsize="21600,21600" o:gfxdata="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DnXvQAA&#10;ANoAAAAPAAAAAAAAAAEAIAAAACIAAABkcnMvZG93bnJldi54bWxQSwECFAAUAAAACACHTuJAMy8F&#10;njsAAAA5AAAAEAAAAAAAAAABACAAAAAMAQAAZHJzL3NoYXBleG1sLnhtbFBLBQYAAAAABgAGAFsB&#10;AAC2AwAAAAA=&#10;">
                        <v:fill on="f" focussize="0,0"/>
                        <v:stroke weight="4.25pt" color="#000000" miterlimit="8" joinstyle="miter" endarrow="block"/>
                        <v:imagedata o:title=""/>
                        <o:lock v:ext="edit" aspectratio="f"/>
                      </v:shape>
                      <v:shape id="文本框 8" o:spid="_x0000_s1026" o:spt="202" type="#_x0000_t202" style="position:absolute;left:16174;top:15196;height:653;width:503;" filled="f" stroked="f" coordsize="21600,21600" o:gfxdata="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XEvC/&#10;AAAA2g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4AC0CDC">
                              <w:pPr>
                                <w:rPr>
                                  <w:b/>
                                  <w:bCs/>
                                  <w:sz w:val="40"/>
                                  <w:szCs w:val="28"/>
                                </w:rPr>
                              </w:pPr>
                              <w:r>
                                <w:rPr>
                                  <w:rFonts w:hint="eastAsia"/>
                                  <w:b/>
                                  <w:bCs/>
                                  <w:sz w:val="40"/>
                                  <w:szCs w:val="28"/>
                                </w:rPr>
                                <w:t>N</w:t>
                              </w:r>
                            </w:p>
                          </w:txbxContent>
                        </v:textbox>
                      </v:shape>
                    </v:group>
                  </w:pict>
                </mc:Fallback>
              </mc:AlternateContent>
            </w:r>
          </w:p>
        </w:tc>
      </w:tr>
      <w:tr w14:paraId="5136D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340C4CDD">
            <w:pPr>
              <w:jc w:val="center"/>
              <w:rPr>
                <w:vertAlign w:val="baseline"/>
              </w:rPr>
            </w:pPr>
            <w:r>
              <w:rPr>
                <w:b/>
                <w:bCs/>
                <w:color w:val="000000"/>
                <w:kern w:val="0"/>
                <w:sz w:val="24"/>
                <w:szCs w:val="24"/>
                <w:lang w:bidi="ar"/>
              </w:rPr>
              <w:t>附图</w:t>
            </w:r>
            <w:r>
              <w:rPr>
                <w:rFonts w:hint="eastAsia"/>
                <w:b/>
                <w:bCs/>
                <w:color w:val="000000"/>
                <w:kern w:val="0"/>
                <w:sz w:val="24"/>
                <w:szCs w:val="24"/>
                <w:lang w:val="en-US" w:eastAsia="zh-CN" w:bidi="ar"/>
              </w:rPr>
              <w:t>8</w:t>
            </w:r>
            <w:r>
              <w:rPr>
                <w:rFonts w:hint="eastAsia"/>
                <w:b/>
                <w:bCs/>
                <w:color w:val="000000"/>
                <w:kern w:val="0"/>
                <w:sz w:val="24"/>
                <w:szCs w:val="24"/>
                <w:lang w:bidi="ar"/>
              </w:rPr>
              <w:t xml:space="preserve"> </w:t>
            </w:r>
            <w:r>
              <w:rPr>
                <w:b/>
                <w:bCs/>
                <w:color w:val="000000"/>
                <w:kern w:val="0"/>
                <w:sz w:val="24"/>
                <w:szCs w:val="24"/>
                <w:lang w:bidi="ar"/>
              </w:rPr>
              <w:t xml:space="preserve"> 项目区与南阳市生态环境管控单元分布位置关系图</w:t>
            </w:r>
          </w:p>
        </w:tc>
      </w:tr>
    </w:tbl>
    <w:p w14:paraId="7F9207CE">
      <w:pPr>
        <w:rPr>
          <w:rFonts w:hint="eastAsia" w:eastAsia="宋体"/>
          <w:lang w:eastAsia="zh-CN"/>
        </w:rPr>
        <w:sectPr>
          <w:pgSz w:w="16838" w:h="11906" w:orient="landscape"/>
          <w:pgMar w:top="1083" w:right="1440" w:bottom="1083" w:left="1440" w:header="851" w:footer="992" w:gutter="0"/>
          <w:pgNumType w:fmt="decimal"/>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775"/>
        <w:gridCol w:w="7399"/>
      </w:tblGrid>
      <w:tr w14:paraId="4E059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75" w:type="dxa"/>
          </w:tcPr>
          <w:p w14:paraId="1C41E5C5">
            <w:pPr>
              <w:jc w:val="center"/>
              <w:rPr>
                <w:rFonts w:hint="eastAsia" w:eastAsia="宋体"/>
                <w:lang w:eastAsia="zh-CN"/>
              </w:rPr>
            </w:pPr>
            <w:r>
              <w:rPr>
                <w:rFonts w:hint="eastAsia" w:eastAsia="宋体"/>
                <w:lang w:eastAsia="zh-CN"/>
              </w:rPr>
              <w:drawing>
                <wp:inline distT="0" distB="0" distL="114300" distR="114300">
                  <wp:extent cx="4031615" cy="2614295"/>
                  <wp:effectExtent l="0" t="0" r="6985" b="14605"/>
                  <wp:docPr id="46" name="图片 4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4"/>
                          <pic:cNvPicPr>
                            <a:picLocks noChangeAspect="1"/>
                          </pic:cNvPicPr>
                        </pic:nvPicPr>
                        <pic:blipFill>
                          <a:blip r:embed="rId46"/>
                          <a:srcRect t="16403" b="30830"/>
                          <a:stretch>
                            <a:fillRect/>
                          </a:stretch>
                        </pic:blipFill>
                        <pic:spPr>
                          <a:xfrm>
                            <a:off x="0" y="0"/>
                            <a:ext cx="4031615" cy="2614295"/>
                          </a:xfrm>
                          <a:prstGeom prst="rect">
                            <a:avLst/>
                          </a:prstGeom>
                        </pic:spPr>
                      </pic:pic>
                    </a:graphicData>
                  </a:graphic>
                </wp:inline>
              </w:drawing>
            </w:r>
          </w:p>
        </w:tc>
        <w:tc>
          <w:tcPr>
            <w:tcW w:w="7399" w:type="dxa"/>
            <w:vAlign w:val="center"/>
          </w:tcPr>
          <w:p w14:paraId="044F5D68">
            <w:pPr>
              <w:jc w:val="center"/>
              <w:rPr>
                <w:rFonts w:hint="eastAsia" w:eastAsia="宋体"/>
                <w:lang w:eastAsia="zh-CN"/>
              </w:rPr>
            </w:pPr>
            <w:r>
              <w:rPr>
                <w:rFonts w:hint="eastAsia" w:eastAsia="宋体"/>
                <w:lang w:eastAsia="zh-CN"/>
              </w:rPr>
              <w:drawing>
                <wp:inline distT="0" distB="0" distL="114300" distR="114300">
                  <wp:extent cx="4385945" cy="2689860"/>
                  <wp:effectExtent l="0" t="0" r="14605" b="15240"/>
                  <wp:docPr id="35" name="图片 35" descr="627df589753b02613f15da8359b66b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627df589753b02613f15da8359b66baa"/>
                          <pic:cNvPicPr>
                            <a:picLocks noChangeAspect="1"/>
                          </pic:cNvPicPr>
                        </pic:nvPicPr>
                        <pic:blipFill>
                          <a:blip r:embed="rId47"/>
                          <a:srcRect b="36873"/>
                          <a:stretch>
                            <a:fillRect/>
                          </a:stretch>
                        </pic:blipFill>
                        <pic:spPr>
                          <a:xfrm>
                            <a:off x="0" y="0"/>
                            <a:ext cx="4385945" cy="2689860"/>
                          </a:xfrm>
                          <a:prstGeom prst="rect">
                            <a:avLst/>
                          </a:prstGeom>
                        </pic:spPr>
                      </pic:pic>
                    </a:graphicData>
                  </a:graphic>
                </wp:inline>
              </w:drawing>
            </w:r>
          </w:p>
        </w:tc>
      </w:tr>
      <w:tr w14:paraId="46EC30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75" w:type="dxa"/>
          </w:tcPr>
          <w:p w14:paraId="4971F119">
            <w:pPr>
              <w:jc w:val="center"/>
            </w:pPr>
            <w:r>
              <w:rPr>
                <w:rFonts w:hint="eastAsia"/>
              </w:rPr>
              <w:t>东厂界</w:t>
            </w:r>
          </w:p>
        </w:tc>
        <w:tc>
          <w:tcPr>
            <w:tcW w:w="7399" w:type="dxa"/>
          </w:tcPr>
          <w:p w14:paraId="3A00B3BB">
            <w:pPr>
              <w:jc w:val="center"/>
            </w:pPr>
            <w:r>
              <w:rPr>
                <w:rFonts w:hint="eastAsia"/>
              </w:rPr>
              <w:t>南厂界</w:t>
            </w:r>
          </w:p>
        </w:tc>
      </w:tr>
      <w:tr w14:paraId="5EF7A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4" w:hRule="atLeast"/>
        </w:trPr>
        <w:tc>
          <w:tcPr>
            <w:tcW w:w="6775" w:type="dxa"/>
          </w:tcPr>
          <w:p w14:paraId="15DCFE1E">
            <w:pPr>
              <w:jc w:val="center"/>
              <w:rPr>
                <w:rFonts w:hint="eastAsia" w:eastAsia="宋体"/>
                <w:lang w:eastAsia="zh-CN"/>
              </w:rPr>
            </w:pPr>
            <w:r>
              <w:rPr>
                <w:rFonts w:hint="eastAsia" w:eastAsia="宋体"/>
                <w:lang w:eastAsia="zh-CN"/>
              </w:rPr>
              <w:drawing>
                <wp:inline distT="0" distB="0" distL="114300" distR="114300">
                  <wp:extent cx="4125595" cy="2541270"/>
                  <wp:effectExtent l="0" t="0" r="8255" b="11430"/>
                  <wp:docPr id="14" name="图片 14" descr="091578b45e46c5704cf41c48bd65e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91578b45e46c5704cf41c48bd65e080"/>
                          <pic:cNvPicPr>
                            <a:picLocks noChangeAspect="1"/>
                          </pic:cNvPicPr>
                        </pic:nvPicPr>
                        <pic:blipFill>
                          <a:blip r:embed="rId48"/>
                          <a:srcRect t="5513" b="37653"/>
                          <a:stretch>
                            <a:fillRect/>
                          </a:stretch>
                        </pic:blipFill>
                        <pic:spPr>
                          <a:xfrm>
                            <a:off x="0" y="0"/>
                            <a:ext cx="4125595" cy="2541270"/>
                          </a:xfrm>
                          <a:prstGeom prst="rect">
                            <a:avLst/>
                          </a:prstGeom>
                        </pic:spPr>
                      </pic:pic>
                    </a:graphicData>
                  </a:graphic>
                </wp:inline>
              </w:drawing>
            </w:r>
          </w:p>
        </w:tc>
        <w:tc>
          <w:tcPr>
            <w:tcW w:w="7399" w:type="dxa"/>
          </w:tcPr>
          <w:p w14:paraId="48425893">
            <w:pPr>
              <w:jc w:val="center"/>
              <w:rPr>
                <w:rFonts w:hint="eastAsia" w:eastAsia="宋体"/>
                <w:lang w:eastAsia="zh-CN"/>
              </w:rPr>
            </w:pPr>
            <w:r>
              <w:rPr>
                <w:rFonts w:hint="eastAsia" w:eastAsia="宋体"/>
                <w:lang w:eastAsia="zh-CN"/>
              </w:rPr>
              <w:drawing>
                <wp:inline distT="0" distB="0" distL="114300" distR="114300">
                  <wp:extent cx="4408805" cy="2465705"/>
                  <wp:effectExtent l="0" t="0" r="10795" b="10795"/>
                  <wp:docPr id="52" name="图片 52" descr="51a097c77079275139f10ce5285528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51a097c77079275139f10ce52855287f"/>
                          <pic:cNvPicPr>
                            <a:picLocks noChangeAspect="1"/>
                          </pic:cNvPicPr>
                        </pic:nvPicPr>
                        <pic:blipFill>
                          <a:blip r:embed="rId49"/>
                          <a:srcRect t="7899" b="33238"/>
                          <a:stretch>
                            <a:fillRect/>
                          </a:stretch>
                        </pic:blipFill>
                        <pic:spPr>
                          <a:xfrm>
                            <a:off x="0" y="0"/>
                            <a:ext cx="4408805" cy="2465705"/>
                          </a:xfrm>
                          <a:prstGeom prst="rect">
                            <a:avLst/>
                          </a:prstGeom>
                        </pic:spPr>
                      </pic:pic>
                    </a:graphicData>
                  </a:graphic>
                </wp:inline>
              </w:drawing>
            </w:r>
          </w:p>
        </w:tc>
      </w:tr>
      <w:tr w14:paraId="236F4B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75" w:type="dxa"/>
          </w:tcPr>
          <w:p w14:paraId="105BB328">
            <w:pPr>
              <w:jc w:val="center"/>
            </w:pPr>
            <w:r>
              <w:rPr>
                <w:rFonts w:hint="eastAsia"/>
              </w:rPr>
              <w:t>西厂界</w:t>
            </w:r>
          </w:p>
        </w:tc>
        <w:tc>
          <w:tcPr>
            <w:tcW w:w="7399" w:type="dxa"/>
          </w:tcPr>
          <w:p w14:paraId="5F538642">
            <w:pPr>
              <w:jc w:val="center"/>
            </w:pPr>
            <w:r>
              <w:rPr>
                <w:rFonts w:hint="eastAsia"/>
              </w:rPr>
              <w:t>北厂界</w:t>
            </w:r>
          </w:p>
        </w:tc>
      </w:tr>
      <w:tr w14:paraId="23A71F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4174" w:type="dxa"/>
            <w:gridSpan w:val="2"/>
          </w:tcPr>
          <w:p w14:paraId="5CB4E2A3">
            <w:pPr>
              <w:jc w:val="center"/>
            </w:pPr>
            <w:r>
              <w:rPr>
                <w:b/>
                <w:bCs/>
                <w:sz w:val="24"/>
              </w:rPr>
              <w:t>附图</w:t>
            </w:r>
            <w:r>
              <w:rPr>
                <w:rFonts w:hint="eastAsia"/>
                <w:b/>
                <w:bCs/>
                <w:sz w:val="24"/>
                <w:lang w:val="en-US" w:eastAsia="zh-CN"/>
              </w:rPr>
              <w:t>9</w:t>
            </w:r>
            <w:r>
              <w:rPr>
                <w:b/>
                <w:bCs/>
                <w:sz w:val="24"/>
              </w:rPr>
              <w:t xml:space="preserve">  </w:t>
            </w:r>
            <w:r>
              <w:rPr>
                <w:rFonts w:hint="eastAsia"/>
                <w:b/>
                <w:bCs/>
                <w:sz w:val="24"/>
              </w:rPr>
              <w:t>项目四周厂界照片</w:t>
            </w:r>
          </w:p>
        </w:tc>
      </w:tr>
    </w:tbl>
    <w:p w14:paraId="563069AB">
      <w:pPr>
        <w:ind w:left="0" w:leftChars="0" w:firstLine="0" w:firstLineChars="0"/>
        <w:sectPr>
          <w:pgSz w:w="16838" w:h="11906" w:orient="landscape"/>
          <w:pgMar w:top="1083" w:right="1440" w:bottom="1083" w:left="1440" w:header="851" w:footer="992" w:gutter="0"/>
          <w:pgNumType w:fmt="decimal"/>
          <w:cols w:space="0" w:num="1"/>
          <w:rtlGutter w:val="0"/>
          <w:docGrid w:type="lines" w:linePitch="312" w:charSpace="0"/>
        </w:sectPr>
      </w:pPr>
    </w:p>
    <w:p w14:paraId="793FA17A">
      <w:pPr>
        <w:jc w:val="center"/>
        <w:rPr>
          <w:b/>
          <w:sz w:val="40"/>
          <w:szCs w:val="32"/>
        </w:rPr>
      </w:pPr>
      <w:r>
        <w:rPr>
          <w:rFonts w:hint="eastAsia"/>
          <w:b/>
          <w:sz w:val="40"/>
          <w:szCs w:val="32"/>
        </w:rPr>
        <w:t>委</w:t>
      </w:r>
      <w:r>
        <w:rPr>
          <w:b/>
          <w:sz w:val="40"/>
          <w:szCs w:val="32"/>
        </w:rPr>
        <w:t xml:space="preserve"> </w:t>
      </w:r>
      <w:r>
        <w:rPr>
          <w:rFonts w:hint="eastAsia"/>
          <w:b/>
          <w:sz w:val="40"/>
          <w:szCs w:val="32"/>
        </w:rPr>
        <w:t>托</w:t>
      </w:r>
      <w:r>
        <w:rPr>
          <w:b/>
          <w:sz w:val="40"/>
          <w:szCs w:val="32"/>
        </w:rPr>
        <w:t xml:space="preserve"> </w:t>
      </w:r>
      <w:r>
        <w:rPr>
          <w:rFonts w:hint="eastAsia"/>
          <w:b/>
          <w:sz w:val="40"/>
          <w:szCs w:val="32"/>
        </w:rPr>
        <w:t>书</w:t>
      </w:r>
    </w:p>
    <w:p w14:paraId="49740742">
      <w:pPr>
        <w:jc w:val="center"/>
        <w:rPr>
          <w:b/>
          <w:sz w:val="40"/>
          <w:szCs w:val="32"/>
        </w:rPr>
      </w:pPr>
    </w:p>
    <w:p w14:paraId="133D94CF">
      <w:pPr>
        <w:adjustRightInd w:val="0"/>
        <w:snapToGrid w:val="0"/>
        <w:spacing w:line="360" w:lineRule="auto"/>
        <w:ind w:firstLine="160" w:firstLineChars="50"/>
        <w:rPr>
          <w:rFonts w:eastAsia="楷体"/>
          <w:sz w:val="32"/>
          <w:szCs w:val="32"/>
        </w:rPr>
      </w:pPr>
      <w:r>
        <w:rPr>
          <w:rFonts w:hint="eastAsia" w:eastAsia="楷体"/>
          <w:sz w:val="32"/>
          <w:szCs w:val="32"/>
        </w:rPr>
        <w:t>南阳市益诚环保科技有限公司</w:t>
      </w:r>
      <w:r>
        <w:rPr>
          <w:rFonts w:eastAsia="楷体"/>
          <w:sz w:val="32"/>
          <w:szCs w:val="32"/>
        </w:rPr>
        <w:t>：</w:t>
      </w:r>
    </w:p>
    <w:p w14:paraId="6550AE75">
      <w:pPr>
        <w:adjustRightInd w:val="0"/>
        <w:snapToGrid w:val="0"/>
        <w:spacing w:line="360" w:lineRule="auto"/>
        <w:ind w:firstLine="640" w:firstLineChars="200"/>
        <w:rPr>
          <w:rFonts w:eastAsia="楷体"/>
          <w:sz w:val="32"/>
          <w:szCs w:val="32"/>
        </w:rPr>
      </w:pPr>
      <w:r>
        <w:rPr>
          <w:rFonts w:eastAsia="楷体"/>
          <w:sz w:val="32"/>
          <w:szCs w:val="32"/>
        </w:rPr>
        <w:t>根据《中华人民共和国环境影响评价法》、《建设项目环境保护管理条例》等相关法律规定，我公司需要开展</w:t>
      </w:r>
      <w:r>
        <w:rPr>
          <w:rFonts w:hint="eastAsia" w:eastAsia="楷体"/>
          <w:sz w:val="32"/>
          <w:szCs w:val="32"/>
          <w:lang w:eastAsia="zh-CN"/>
        </w:rPr>
        <w:t>“</w:t>
      </w:r>
      <w:r>
        <w:rPr>
          <w:rFonts w:hint="eastAsia" w:eastAsia="楷体"/>
          <w:sz w:val="32"/>
          <w:szCs w:val="32"/>
          <w:lang w:val="en-US" w:eastAsia="zh-CN"/>
        </w:rPr>
        <w:t>上口香智能化中央厨房项目</w:t>
      </w:r>
      <w:r>
        <w:rPr>
          <w:rFonts w:hint="eastAsia" w:eastAsia="楷体"/>
          <w:sz w:val="32"/>
          <w:szCs w:val="32"/>
          <w:lang w:eastAsia="zh-CN"/>
        </w:rPr>
        <w:t>”</w:t>
      </w:r>
      <w:r>
        <w:rPr>
          <w:rFonts w:eastAsia="楷体"/>
          <w:sz w:val="32"/>
          <w:szCs w:val="32"/>
        </w:rPr>
        <w:t>环境影响评价工作，现委托贵公司进行，望尽快开展工作。工作中具体事宜，由双方共同协商解决。</w:t>
      </w:r>
    </w:p>
    <w:p w14:paraId="76CD59A0">
      <w:pPr>
        <w:adjustRightInd w:val="0"/>
        <w:snapToGrid w:val="0"/>
        <w:spacing w:line="360" w:lineRule="auto"/>
        <w:ind w:firstLine="420"/>
        <w:rPr>
          <w:sz w:val="32"/>
          <w:szCs w:val="32"/>
        </w:rPr>
      </w:pPr>
    </w:p>
    <w:p w14:paraId="72906250">
      <w:pPr>
        <w:adjustRightInd w:val="0"/>
        <w:snapToGrid w:val="0"/>
        <w:spacing w:line="360" w:lineRule="auto"/>
        <w:rPr>
          <w:rFonts w:ascii="楷体" w:hAnsi="楷体" w:eastAsia="楷体"/>
          <w:sz w:val="32"/>
          <w:szCs w:val="32"/>
        </w:rPr>
      </w:pPr>
    </w:p>
    <w:p w14:paraId="2E4746CA">
      <w:pPr>
        <w:adjustRightInd w:val="0"/>
        <w:snapToGrid w:val="0"/>
        <w:ind w:firstLine="4480" w:firstLineChars="1400"/>
        <w:jc w:val="right"/>
        <w:rPr>
          <w:rFonts w:ascii="楷体" w:hAnsi="楷体" w:eastAsia="楷体"/>
          <w:sz w:val="32"/>
          <w:szCs w:val="32"/>
        </w:rPr>
      </w:pPr>
      <w:r>
        <w:rPr>
          <w:rFonts w:hint="eastAsia" w:ascii="楷体" w:hAnsi="楷体" w:eastAsia="楷体"/>
          <w:sz w:val="32"/>
          <w:szCs w:val="32"/>
        </w:rPr>
        <w:t xml:space="preserve">     </w:t>
      </w:r>
      <w:r>
        <w:rPr>
          <w:rFonts w:ascii="楷体" w:hAnsi="楷体" w:eastAsia="楷体"/>
          <w:sz w:val="32"/>
          <w:szCs w:val="32"/>
        </w:rPr>
        <w:t>(</w:t>
      </w:r>
      <w:r>
        <w:rPr>
          <w:rFonts w:hint="eastAsia" w:ascii="楷体" w:hAnsi="楷体" w:eastAsia="楷体"/>
          <w:sz w:val="32"/>
          <w:szCs w:val="32"/>
        </w:rPr>
        <w:t>公司盖章</w:t>
      </w:r>
      <w:r>
        <w:rPr>
          <w:rFonts w:ascii="楷体" w:hAnsi="楷体" w:eastAsia="楷体"/>
          <w:sz w:val="32"/>
          <w:szCs w:val="32"/>
        </w:rPr>
        <w:t>)</w:t>
      </w:r>
    </w:p>
    <w:p w14:paraId="6B2AF7B6">
      <w:pPr>
        <w:adjustRightInd w:val="0"/>
        <w:snapToGrid w:val="0"/>
        <w:ind w:firstLine="6400" w:firstLineChars="2000"/>
        <w:rPr>
          <w:rFonts w:ascii="楷体" w:hAnsi="楷体" w:eastAsia="楷体"/>
          <w:sz w:val="32"/>
          <w:szCs w:val="32"/>
        </w:rPr>
      </w:pPr>
    </w:p>
    <w:p w14:paraId="574A554C">
      <w:pPr>
        <w:jc w:val="right"/>
        <w:rPr>
          <w:rFonts w:hint="eastAsia" w:eastAsia="楷体"/>
          <w:sz w:val="32"/>
          <w:szCs w:val="32"/>
        </w:rPr>
      </w:pPr>
      <w:r>
        <w:rPr>
          <w:rFonts w:hint="eastAsia" w:eastAsia="楷体"/>
          <w:sz w:val="32"/>
          <w:szCs w:val="32"/>
        </w:rPr>
        <w:t>2025年</w:t>
      </w:r>
      <w:r>
        <w:rPr>
          <w:rFonts w:hint="eastAsia" w:eastAsia="楷体"/>
          <w:sz w:val="32"/>
          <w:szCs w:val="32"/>
          <w:lang w:val="en-US" w:eastAsia="zh-CN"/>
        </w:rPr>
        <w:t>9</w:t>
      </w:r>
      <w:r>
        <w:rPr>
          <w:rFonts w:hint="eastAsia" w:eastAsia="楷体"/>
          <w:sz w:val="32"/>
          <w:szCs w:val="32"/>
        </w:rPr>
        <w:t>月</w:t>
      </w:r>
      <w:r>
        <w:rPr>
          <w:rFonts w:hint="eastAsia" w:eastAsia="楷体"/>
          <w:sz w:val="32"/>
          <w:szCs w:val="32"/>
          <w:lang w:val="en-US" w:eastAsia="zh-CN"/>
        </w:rPr>
        <w:t>26</w:t>
      </w:r>
      <w:r>
        <w:rPr>
          <w:rFonts w:hint="eastAsia" w:eastAsia="楷体"/>
          <w:sz w:val="32"/>
          <w:szCs w:val="32"/>
        </w:rPr>
        <w:t>日</w:t>
      </w:r>
    </w:p>
    <w:p w14:paraId="6FF4AA27">
      <w:pPr>
        <w:sectPr>
          <w:footerReference r:id="rId9" w:type="default"/>
          <w:pgSz w:w="11905" w:h="16838"/>
          <w:pgMar w:top="1440" w:right="1083" w:bottom="1440" w:left="1083" w:header="851" w:footer="992" w:gutter="0"/>
          <w:pgNumType w:fmt="decimal"/>
          <w:cols w:space="720" w:num="1"/>
          <w:docGrid w:type="lines" w:linePitch="317"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78258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0C18557B">
            <w:pPr>
              <w:jc w:val="center"/>
              <w:rPr>
                <w:rFonts w:hint="eastAsia" w:eastAsia="宋体"/>
                <w:b/>
                <w:bCs/>
                <w:vertAlign w:val="baseline"/>
                <w:lang w:eastAsia="zh-CN"/>
              </w:rPr>
            </w:pPr>
            <w:r>
              <w:drawing>
                <wp:inline distT="0" distB="0" distL="114300" distR="114300">
                  <wp:extent cx="6131560" cy="8644255"/>
                  <wp:effectExtent l="0" t="0" r="2540" b="4445"/>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50"/>
                          <a:stretch>
                            <a:fillRect/>
                          </a:stretch>
                        </pic:blipFill>
                        <pic:spPr>
                          <a:xfrm>
                            <a:off x="0" y="0"/>
                            <a:ext cx="6131560" cy="8644255"/>
                          </a:xfrm>
                          <a:prstGeom prst="rect">
                            <a:avLst/>
                          </a:prstGeom>
                          <a:noFill/>
                          <a:ln>
                            <a:noFill/>
                          </a:ln>
                        </pic:spPr>
                      </pic:pic>
                    </a:graphicData>
                  </a:graphic>
                </wp:inline>
              </w:drawing>
            </w:r>
          </w:p>
        </w:tc>
      </w:tr>
    </w:tbl>
    <w:p w14:paraId="3FA2C3B9">
      <w:pPr>
        <w:sectPr>
          <w:pgSz w:w="11906" w:h="16838"/>
          <w:pgMar w:top="1440" w:right="1083" w:bottom="1440" w:left="1083" w:header="851" w:footer="992" w:gutter="0"/>
          <w:pgNumType w:fmt="decimal"/>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4C38A6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75D4BE74">
            <w:pPr>
              <w:jc w:val="center"/>
            </w:pPr>
            <w:r>
              <w:drawing>
                <wp:inline distT="0" distB="0" distL="114300" distR="114300">
                  <wp:extent cx="6169660" cy="8949055"/>
                  <wp:effectExtent l="0" t="0" r="2540" b="4445"/>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pic:cNvPicPr>
                            <a:picLocks noChangeAspect="1"/>
                          </pic:cNvPicPr>
                        </pic:nvPicPr>
                        <pic:blipFill>
                          <a:blip r:embed="rId51"/>
                          <a:stretch>
                            <a:fillRect/>
                          </a:stretch>
                        </pic:blipFill>
                        <pic:spPr>
                          <a:xfrm>
                            <a:off x="0" y="0"/>
                            <a:ext cx="6169660" cy="8949055"/>
                          </a:xfrm>
                          <a:prstGeom prst="rect">
                            <a:avLst/>
                          </a:prstGeom>
                          <a:noFill/>
                          <a:ln>
                            <a:noFill/>
                          </a:ln>
                        </pic:spPr>
                      </pic:pic>
                    </a:graphicData>
                  </a:graphic>
                </wp:inline>
              </w:drawing>
            </w:r>
          </w:p>
        </w:tc>
      </w:tr>
    </w:tbl>
    <w:p w14:paraId="0F77A0E4">
      <w:pPr>
        <w:sectPr>
          <w:pgSz w:w="11906" w:h="16838"/>
          <w:pgMar w:top="1440" w:right="1083" w:bottom="1440" w:left="1083" w:header="851" w:footer="992" w:gutter="0"/>
          <w:pgNumType w:fmt="decimal"/>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366882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6D44E72A">
            <w:pPr>
              <w:jc w:val="center"/>
              <w:rPr>
                <w:rFonts w:hint="eastAsia" w:eastAsia="宋体"/>
                <w:vertAlign w:val="baseline"/>
                <w:lang w:eastAsia="zh-CN"/>
              </w:rPr>
            </w:pPr>
            <w:r>
              <w:drawing>
                <wp:inline distT="0" distB="0" distL="114300" distR="114300">
                  <wp:extent cx="6172200" cy="9159240"/>
                  <wp:effectExtent l="0" t="0" r="0" b="3810"/>
                  <wp:docPr id="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pic:cNvPicPr>
                            <a:picLocks noChangeAspect="1"/>
                          </pic:cNvPicPr>
                        </pic:nvPicPr>
                        <pic:blipFill>
                          <a:blip r:embed="rId52"/>
                          <a:stretch>
                            <a:fillRect/>
                          </a:stretch>
                        </pic:blipFill>
                        <pic:spPr>
                          <a:xfrm>
                            <a:off x="0" y="0"/>
                            <a:ext cx="6172200" cy="9159240"/>
                          </a:xfrm>
                          <a:prstGeom prst="rect">
                            <a:avLst/>
                          </a:prstGeom>
                          <a:noFill/>
                          <a:ln>
                            <a:noFill/>
                          </a:ln>
                        </pic:spPr>
                      </pic:pic>
                    </a:graphicData>
                  </a:graphic>
                </wp:inline>
              </w:drawing>
            </w:r>
          </w:p>
        </w:tc>
      </w:tr>
      <w:tr w14:paraId="2622A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376CA3AF">
            <w:pPr>
              <w:jc w:val="center"/>
              <w:rPr>
                <w:rFonts w:hint="eastAsia" w:eastAsia="宋体"/>
                <w:vertAlign w:val="baseline"/>
                <w:lang w:eastAsia="zh-CN"/>
              </w:rPr>
            </w:pPr>
            <w:r>
              <w:drawing>
                <wp:inline distT="0" distB="0" distL="114300" distR="114300">
                  <wp:extent cx="6048375" cy="8829675"/>
                  <wp:effectExtent l="0" t="0" r="9525" b="9525"/>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53"/>
                          <a:srcRect l="13550"/>
                          <a:stretch>
                            <a:fillRect/>
                          </a:stretch>
                        </pic:blipFill>
                        <pic:spPr>
                          <a:xfrm>
                            <a:off x="0" y="0"/>
                            <a:ext cx="6048375" cy="8829675"/>
                          </a:xfrm>
                          <a:prstGeom prst="rect">
                            <a:avLst/>
                          </a:prstGeom>
                          <a:noFill/>
                          <a:ln>
                            <a:noFill/>
                          </a:ln>
                        </pic:spPr>
                      </pic:pic>
                    </a:graphicData>
                  </a:graphic>
                </wp:inline>
              </w:drawing>
            </w:r>
          </w:p>
        </w:tc>
      </w:tr>
      <w:tr w14:paraId="526B60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083465AF">
            <w:pPr>
              <w:jc w:val="center"/>
              <w:rPr>
                <w:rFonts w:hint="eastAsia" w:eastAsia="宋体"/>
                <w:vertAlign w:val="baseline"/>
                <w:lang w:eastAsia="zh-CN"/>
              </w:rPr>
            </w:pPr>
            <w:r>
              <w:drawing>
                <wp:inline distT="0" distB="0" distL="114300" distR="114300">
                  <wp:extent cx="6172200" cy="9283065"/>
                  <wp:effectExtent l="0" t="0" r="0" b="13335"/>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pic:cNvPicPr>
                        </pic:nvPicPr>
                        <pic:blipFill>
                          <a:blip r:embed="rId54"/>
                          <a:stretch>
                            <a:fillRect/>
                          </a:stretch>
                        </pic:blipFill>
                        <pic:spPr>
                          <a:xfrm>
                            <a:off x="0" y="0"/>
                            <a:ext cx="6172200" cy="9283065"/>
                          </a:xfrm>
                          <a:prstGeom prst="rect">
                            <a:avLst/>
                          </a:prstGeom>
                          <a:noFill/>
                          <a:ln>
                            <a:noFill/>
                          </a:ln>
                        </pic:spPr>
                      </pic:pic>
                    </a:graphicData>
                  </a:graphic>
                </wp:inline>
              </w:drawing>
            </w:r>
          </w:p>
        </w:tc>
      </w:tr>
      <w:tr w14:paraId="00D1B2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7AAF52C7">
            <w:pPr>
              <w:jc w:val="center"/>
              <w:rPr>
                <w:rFonts w:hint="eastAsia" w:eastAsia="宋体"/>
                <w:vertAlign w:val="baseline"/>
                <w:lang w:eastAsia="zh-CN"/>
              </w:rPr>
            </w:pPr>
            <w:r>
              <w:drawing>
                <wp:inline distT="0" distB="0" distL="114300" distR="114300">
                  <wp:extent cx="6167120" cy="9279890"/>
                  <wp:effectExtent l="0" t="0" r="5080" b="16510"/>
                  <wp:docPr id="6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pic:cNvPicPr>
                            <a:picLocks noChangeAspect="1"/>
                          </pic:cNvPicPr>
                        </pic:nvPicPr>
                        <pic:blipFill>
                          <a:blip r:embed="rId55"/>
                          <a:stretch>
                            <a:fillRect/>
                          </a:stretch>
                        </pic:blipFill>
                        <pic:spPr>
                          <a:xfrm>
                            <a:off x="0" y="0"/>
                            <a:ext cx="6167120" cy="9279890"/>
                          </a:xfrm>
                          <a:prstGeom prst="rect">
                            <a:avLst/>
                          </a:prstGeom>
                          <a:noFill/>
                          <a:ln>
                            <a:noFill/>
                          </a:ln>
                        </pic:spPr>
                      </pic:pic>
                    </a:graphicData>
                  </a:graphic>
                </wp:inline>
              </w:drawing>
            </w:r>
          </w:p>
        </w:tc>
      </w:tr>
      <w:tr w14:paraId="677F29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508F6727">
            <w:pPr>
              <w:jc w:val="center"/>
              <w:rPr>
                <w:rFonts w:hint="eastAsia" w:eastAsia="宋体"/>
                <w:vertAlign w:val="baseline"/>
                <w:lang w:eastAsia="zh-CN"/>
              </w:rPr>
            </w:pPr>
            <w:r>
              <w:drawing>
                <wp:inline distT="0" distB="0" distL="114300" distR="114300">
                  <wp:extent cx="6181725" cy="9795510"/>
                  <wp:effectExtent l="0" t="0" r="9525" b="15240"/>
                  <wp:docPr id="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5"/>
                          <pic:cNvPicPr>
                            <a:picLocks noChangeAspect="1"/>
                          </pic:cNvPicPr>
                        </pic:nvPicPr>
                        <pic:blipFill>
                          <a:blip r:embed="rId56"/>
                          <a:stretch>
                            <a:fillRect/>
                          </a:stretch>
                        </pic:blipFill>
                        <pic:spPr>
                          <a:xfrm>
                            <a:off x="0" y="0"/>
                            <a:ext cx="6181725" cy="9795510"/>
                          </a:xfrm>
                          <a:prstGeom prst="rect">
                            <a:avLst/>
                          </a:prstGeom>
                          <a:noFill/>
                          <a:ln>
                            <a:noFill/>
                          </a:ln>
                        </pic:spPr>
                      </pic:pic>
                    </a:graphicData>
                  </a:graphic>
                </wp:inline>
              </w:drawing>
            </w:r>
          </w:p>
        </w:tc>
      </w:tr>
      <w:tr w14:paraId="702C50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516BB575">
            <w:pPr>
              <w:jc w:val="center"/>
              <w:rPr>
                <w:rFonts w:hint="eastAsia" w:eastAsia="宋体"/>
                <w:vertAlign w:val="baseline"/>
                <w:lang w:eastAsia="zh-CN"/>
              </w:rPr>
            </w:pPr>
            <w:r>
              <w:drawing>
                <wp:inline distT="0" distB="0" distL="114300" distR="114300">
                  <wp:extent cx="6172200" cy="9048115"/>
                  <wp:effectExtent l="0" t="0" r="0" b="635"/>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57"/>
                          <a:stretch>
                            <a:fillRect/>
                          </a:stretch>
                        </pic:blipFill>
                        <pic:spPr>
                          <a:xfrm>
                            <a:off x="0" y="0"/>
                            <a:ext cx="6172200" cy="9048115"/>
                          </a:xfrm>
                          <a:prstGeom prst="rect">
                            <a:avLst/>
                          </a:prstGeom>
                          <a:noFill/>
                          <a:ln>
                            <a:noFill/>
                          </a:ln>
                        </pic:spPr>
                      </pic:pic>
                    </a:graphicData>
                  </a:graphic>
                </wp:inline>
              </w:drawing>
            </w:r>
          </w:p>
        </w:tc>
      </w:tr>
      <w:tr w14:paraId="405706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4DC502BB">
            <w:pPr>
              <w:jc w:val="center"/>
              <w:rPr>
                <w:rFonts w:hint="eastAsia" w:eastAsia="宋体"/>
                <w:vertAlign w:val="baseline"/>
                <w:lang w:eastAsia="zh-CN"/>
              </w:rPr>
            </w:pPr>
            <w:r>
              <w:drawing>
                <wp:inline distT="0" distB="0" distL="114300" distR="114300">
                  <wp:extent cx="6163310" cy="9008745"/>
                  <wp:effectExtent l="0" t="0" r="8890" b="1905"/>
                  <wp:docPr id="9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7"/>
                          <pic:cNvPicPr>
                            <a:picLocks noChangeAspect="1"/>
                          </pic:cNvPicPr>
                        </pic:nvPicPr>
                        <pic:blipFill>
                          <a:blip r:embed="rId58"/>
                          <a:stretch>
                            <a:fillRect/>
                          </a:stretch>
                        </pic:blipFill>
                        <pic:spPr>
                          <a:xfrm>
                            <a:off x="0" y="0"/>
                            <a:ext cx="6163310" cy="9008745"/>
                          </a:xfrm>
                          <a:prstGeom prst="rect">
                            <a:avLst/>
                          </a:prstGeom>
                          <a:noFill/>
                          <a:ln>
                            <a:noFill/>
                          </a:ln>
                        </pic:spPr>
                      </pic:pic>
                    </a:graphicData>
                  </a:graphic>
                </wp:inline>
              </w:drawing>
            </w:r>
          </w:p>
        </w:tc>
      </w:tr>
      <w:tr w14:paraId="71ECC8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297125B7">
            <w:pPr>
              <w:jc w:val="center"/>
              <w:rPr>
                <w:rFonts w:hint="eastAsia" w:eastAsia="宋体"/>
                <w:vertAlign w:val="baseline"/>
                <w:lang w:eastAsia="zh-CN"/>
              </w:rPr>
            </w:pPr>
            <w:r>
              <w:drawing>
                <wp:inline distT="0" distB="0" distL="114300" distR="114300">
                  <wp:extent cx="6174105" cy="9715500"/>
                  <wp:effectExtent l="0" t="0" r="17145" b="0"/>
                  <wp:docPr id="9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8"/>
                          <pic:cNvPicPr>
                            <a:picLocks noChangeAspect="1"/>
                          </pic:cNvPicPr>
                        </pic:nvPicPr>
                        <pic:blipFill>
                          <a:blip r:embed="rId59"/>
                          <a:stretch>
                            <a:fillRect/>
                          </a:stretch>
                        </pic:blipFill>
                        <pic:spPr>
                          <a:xfrm>
                            <a:off x="0" y="0"/>
                            <a:ext cx="6174105" cy="9715500"/>
                          </a:xfrm>
                          <a:prstGeom prst="rect">
                            <a:avLst/>
                          </a:prstGeom>
                          <a:noFill/>
                          <a:ln>
                            <a:noFill/>
                          </a:ln>
                        </pic:spPr>
                      </pic:pic>
                    </a:graphicData>
                  </a:graphic>
                </wp:inline>
              </w:drawing>
            </w:r>
          </w:p>
        </w:tc>
      </w:tr>
      <w:tr w14:paraId="0D2096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24AB06E5">
            <w:pPr>
              <w:jc w:val="center"/>
              <w:rPr>
                <w:rFonts w:hint="eastAsia" w:eastAsia="宋体"/>
                <w:vertAlign w:val="baseline"/>
                <w:lang w:eastAsia="zh-CN"/>
              </w:rPr>
            </w:pPr>
            <w:r>
              <w:drawing>
                <wp:inline distT="0" distB="0" distL="114300" distR="114300">
                  <wp:extent cx="6172200" cy="9634220"/>
                  <wp:effectExtent l="0" t="0" r="0" b="5080"/>
                  <wp:docPr id="9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9"/>
                          <pic:cNvPicPr>
                            <a:picLocks noChangeAspect="1"/>
                          </pic:cNvPicPr>
                        </pic:nvPicPr>
                        <pic:blipFill>
                          <a:blip r:embed="rId60"/>
                          <a:stretch>
                            <a:fillRect/>
                          </a:stretch>
                        </pic:blipFill>
                        <pic:spPr>
                          <a:xfrm>
                            <a:off x="0" y="0"/>
                            <a:ext cx="6172200" cy="9634220"/>
                          </a:xfrm>
                          <a:prstGeom prst="rect">
                            <a:avLst/>
                          </a:prstGeom>
                          <a:noFill/>
                          <a:ln>
                            <a:noFill/>
                          </a:ln>
                        </pic:spPr>
                      </pic:pic>
                    </a:graphicData>
                  </a:graphic>
                </wp:inline>
              </w:drawing>
            </w:r>
          </w:p>
        </w:tc>
      </w:tr>
    </w:tbl>
    <w:p w14:paraId="2C346BE4">
      <w:pPr>
        <w:sectPr>
          <w:pgSz w:w="11906" w:h="16838"/>
          <w:pgMar w:top="1440" w:right="1083" w:bottom="1440" w:left="1083" w:header="851" w:footer="992" w:gutter="0"/>
          <w:pgNumType w:fmt="decimal"/>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6DC5A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281641B3">
            <w:pPr>
              <w:jc w:val="center"/>
              <w:rPr>
                <w:rFonts w:hint="eastAsia" w:eastAsia="宋体"/>
                <w:vertAlign w:val="baseline"/>
                <w:lang w:eastAsia="zh-CN"/>
              </w:rPr>
            </w:pPr>
            <w:r>
              <w:rPr>
                <w:rFonts w:hint="eastAsia" w:eastAsia="宋体"/>
                <w:vertAlign w:val="baseline"/>
                <w:lang w:eastAsia="zh-CN"/>
              </w:rPr>
              <w:drawing>
                <wp:inline distT="0" distB="0" distL="114300" distR="114300">
                  <wp:extent cx="6058535" cy="8627745"/>
                  <wp:effectExtent l="0" t="0" r="1905" b="18415"/>
                  <wp:docPr id="4" name="图片 4" descr="c6d494bc14e30adc4bba100ee08f8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6d494bc14e30adc4bba100ee08f87f9"/>
                          <pic:cNvPicPr>
                            <a:picLocks noChangeAspect="1"/>
                          </pic:cNvPicPr>
                        </pic:nvPicPr>
                        <pic:blipFill>
                          <a:blip r:embed="rId61"/>
                          <a:stretch>
                            <a:fillRect/>
                          </a:stretch>
                        </pic:blipFill>
                        <pic:spPr>
                          <a:xfrm rot="16200000">
                            <a:off x="0" y="0"/>
                            <a:ext cx="6058535" cy="8627745"/>
                          </a:xfrm>
                          <a:prstGeom prst="rect">
                            <a:avLst/>
                          </a:prstGeom>
                        </pic:spPr>
                      </pic:pic>
                    </a:graphicData>
                  </a:graphic>
                </wp:inline>
              </w:drawing>
            </w:r>
          </w:p>
        </w:tc>
      </w:tr>
    </w:tbl>
    <w:p w14:paraId="6951AA58">
      <w:r>
        <w:br w:type="page"/>
      </w:r>
    </w:p>
    <w:p w14:paraId="1A0B0F18">
      <w:pPr>
        <w:sectPr>
          <w:pgSz w:w="16838" w:h="11906" w:orient="landscape"/>
          <w:pgMar w:top="1083" w:right="1440" w:bottom="1083" w:left="1440" w:header="851" w:footer="992" w:gutter="0"/>
          <w:pgNumType w:fmt="decimal"/>
          <w:cols w:space="0" w:num="1"/>
          <w:rtlGutter w:val="0"/>
          <w:docGrid w:type="lines" w:linePitch="312" w:charSpace="0"/>
        </w:sectPr>
      </w:pPr>
    </w:p>
    <w:tbl>
      <w:tblPr>
        <w:tblStyle w:val="2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16D9E0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4174" w:type="dxa"/>
          </w:tcPr>
          <w:p w14:paraId="22DC261C">
            <w:pPr>
              <w:pStyle w:val="5"/>
              <w:rPr>
                <w:rFonts w:hint="eastAsia" w:eastAsia="宋体"/>
                <w:vertAlign w:val="baseline"/>
                <w:lang w:eastAsia="zh-CN"/>
              </w:rPr>
            </w:pPr>
            <w:r>
              <w:rPr>
                <w:rFonts w:hint="eastAsia" w:eastAsia="宋体"/>
                <w:vertAlign w:val="baseline"/>
                <w:lang w:eastAsia="zh-CN"/>
              </w:rPr>
              <w:drawing>
                <wp:inline distT="0" distB="0" distL="114300" distR="114300">
                  <wp:extent cx="6181090" cy="8493125"/>
                  <wp:effectExtent l="0" t="0" r="10160" b="3175"/>
                  <wp:docPr id="9" name="图片 9" descr="d08becbede7d61ee0430ab20fd7e47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08becbede7d61ee0430ab20fd7e47da"/>
                          <pic:cNvPicPr>
                            <a:picLocks noChangeAspect="1"/>
                          </pic:cNvPicPr>
                        </pic:nvPicPr>
                        <pic:blipFill>
                          <a:blip r:embed="rId62"/>
                          <a:stretch>
                            <a:fillRect/>
                          </a:stretch>
                        </pic:blipFill>
                        <pic:spPr>
                          <a:xfrm>
                            <a:off x="0" y="0"/>
                            <a:ext cx="6181090" cy="8493125"/>
                          </a:xfrm>
                          <a:prstGeom prst="rect">
                            <a:avLst/>
                          </a:prstGeom>
                        </pic:spPr>
                      </pic:pic>
                    </a:graphicData>
                  </a:graphic>
                </wp:inline>
              </w:drawing>
            </w:r>
          </w:p>
        </w:tc>
      </w:tr>
    </w:tbl>
    <w:p w14:paraId="6269876D">
      <w:pPr>
        <w:bidi w:val="0"/>
      </w:pPr>
    </w:p>
    <w:sectPr>
      <w:pgSz w:w="11906" w:h="16838"/>
      <w:pgMar w:top="1440" w:right="1083" w:bottom="1440" w:left="1083" w:header="851" w:footer="992" w:gutter="0"/>
      <w:pgNumType w:fmt="decimal"/>
      <w:cols w:space="0" w:num="1"/>
      <w:rtlGutter w:val="0"/>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Administrator" w:date="2025-10-03T19:48:06Z" w:initials="A">
    <w:p w14:paraId="40961D7E">
      <w:pPr>
        <w:pStyle w:val="8"/>
        <w:rPr>
          <w:rFonts w:hint="eastAsia"/>
          <w:lang w:eastAsia="zh-CN"/>
        </w:rPr>
      </w:pPr>
      <w:r>
        <w:rPr>
          <w:rFonts w:hint="eastAsia"/>
          <w:lang w:eastAsia="zh-CN"/>
        </w:rPr>
        <w:t>什么乡镇什么村？</w:t>
      </w:r>
    </w:p>
    <w:p w14:paraId="44375902">
      <w:pPr>
        <w:pStyle w:val="8"/>
        <w:rPr>
          <w:rFonts w:hint="default"/>
          <w:lang w:val="en-US" w:eastAsia="zh-CN"/>
        </w:rPr>
      </w:pPr>
      <w:r>
        <w:rPr>
          <w:rFonts w:hint="eastAsia"/>
          <w:lang w:eastAsia="zh-CN"/>
        </w:rPr>
        <w:t>在开发区内，直接明确是</w:t>
      </w:r>
      <w:r>
        <w:rPr>
          <w:rFonts w:hint="eastAsia"/>
          <w:lang w:val="en-US" w:eastAsia="zh-CN"/>
        </w:rPr>
        <w:t xml:space="preserve"> 先进制造业开发区</w:t>
      </w:r>
    </w:p>
  </w:comment>
  <w:comment w:id="1" w:author="Administrator" w:date="2025-10-03T19:48:42Z" w:initials="A">
    <w:p w14:paraId="2688BEC6">
      <w:pPr>
        <w:pStyle w:val="8"/>
        <w:rPr>
          <w:rFonts w:hint="eastAsia"/>
          <w:lang w:eastAsia="zh-CN"/>
        </w:rPr>
      </w:pPr>
      <w:r>
        <w:rPr>
          <w:rFonts w:hint="eastAsia"/>
          <w:lang w:eastAsia="zh-CN"/>
        </w:rPr>
        <w:t>行业类别，左侧、右侧应该是对应的</w:t>
      </w:r>
    </w:p>
    <w:p w14:paraId="39473591">
      <w:pPr>
        <w:pStyle w:val="8"/>
        <w:rPr>
          <w:rFonts w:hint="eastAsia"/>
          <w:lang w:eastAsia="zh-CN"/>
        </w:rPr>
      </w:pPr>
    </w:p>
    <w:p w14:paraId="04C99949">
      <w:pPr>
        <w:pStyle w:val="8"/>
        <w:rPr>
          <w:rFonts w:hint="eastAsia"/>
          <w:lang w:eastAsia="zh-CN"/>
        </w:rPr>
      </w:pPr>
      <w:r>
        <w:rPr>
          <w:rFonts w:hint="eastAsia"/>
          <w:lang w:eastAsia="zh-CN"/>
        </w:rPr>
        <w:t>即国民经济代码、环评分类是对应的，不涉及的可以不写</w:t>
      </w:r>
    </w:p>
  </w:comment>
  <w:comment w:id="2" w:author="Administrator" w:date="2025-10-03T19:55:21Z" w:initials="A">
    <w:p w14:paraId="37937827">
      <w:pPr>
        <w:pStyle w:val="8"/>
        <w:rPr>
          <w:rFonts w:hint="eastAsia" w:eastAsia="宋体"/>
          <w:lang w:eastAsia="zh-CN"/>
        </w:rPr>
      </w:pPr>
      <w:r>
        <w:rPr>
          <w:rFonts w:hint="eastAsia"/>
          <w:lang w:eastAsia="zh-CN"/>
        </w:rPr>
        <w:t>主导产业是什么</w:t>
      </w:r>
    </w:p>
  </w:comment>
  <w:comment w:id="3" w:author="Administrator" w:date="2025-10-03T19:52:35Z" w:initials="A">
    <w:p w14:paraId="28122247">
      <w:pPr>
        <w:pStyle w:val="8"/>
        <w:numPr>
          <w:ilvl w:val="0"/>
          <w:numId w:val="1"/>
        </w:numPr>
        <w:rPr>
          <w:rFonts w:hint="eastAsia"/>
          <w:lang w:val="en-US" w:eastAsia="zh-CN"/>
        </w:rPr>
      </w:pPr>
      <w:r>
        <w:rPr>
          <w:rFonts w:hint="eastAsia"/>
          <w:lang w:val="en-US" w:eastAsia="zh-CN"/>
        </w:rPr>
        <w:t>建议对照开发区规划的负面清单来分析，关键条款重点分析</w:t>
      </w:r>
    </w:p>
    <w:p w14:paraId="55BEA9E4">
      <w:pPr>
        <w:pStyle w:val="8"/>
        <w:numPr>
          <w:ilvl w:val="0"/>
          <w:numId w:val="1"/>
        </w:numPr>
        <w:rPr>
          <w:rFonts w:hint="eastAsia"/>
          <w:lang w:val="en-US" w:eastAsia="zh-CN"/>
        </w:rPr>
      </w:pPr>
      <w:r>
        <w:rPr>
          <w:rFonts w:hint="eastAsia"/>
          <w:lang w:val="en-US" w:eastAsia="zh-CN"/>
        </w:rPr>
        <w:t>绿色食品产业园和乡村振兴产业园是什么关系</w:t>
      </w:r>
    </w:p>
  </w:comment>
  <w:comment w:id="4" w:author="Administrator" w:date="2025-10-03T19:56:20Z" w:initials="A">
    <w:p w14:paraId="4841321A">
      <w:pPr>
        <w:pStyle w:val="8"/>
        <w:rPr>
          <w:rFonts w:hint="eastAsia" w:eastAsia="宋体"/>
          <w:lang w:eastAsia="zh-CN"/>
        </w:rPr>
      </w:pPr>
      <w:r>
        <w:rPr>
          <w:rFonts w:hint="eastAsia"/>
          <w:lang w:eastAsia="zh-CN"/>
        </w:rPr>
        <w:t>这个不是总量控制指标</w:t>
      </w:r>
    </w:p>
  </w:comment>
  <w:comment w:id="5" w:author="Administrator" w:date="2025-10-03T19:56:49Z" w:initials="A">
    <w:p w14:paraId="6321428D">
      <w:pPr>
        <w:pStyle w:val="8"/>
        <w:rPr>
          <w:rFonts w:hint="eastAsia"/>
          <w:lang w:eastAsia="zh-CN"/>
        </w:rPr>
      </w:pPr>
      <w:r>
        <w:rPr>
          <w:rFonts w:hint="eastAsia"/>
          <w:lang w:eastAsia="zh-CN"/>
        </w:rPr>
        <w:t>部、省文件，通用行业要求，具体属于哪一类？</w:t>
      </w:r>
    </w:p>
    <w:p w14:paraId="16716386">
      <w:pPr>
        <w:pStyle w:val="8"/>
        <w:rPr>
          <w:rFonts w:hint="eastAsia"/>
          <w:lang w:eastAsia="zh-CN"/>
        </w:rPr>
      </w:pPr>
    </w:p>
    <w:p w14:paraId="547D5437">
      <w:pPr>
        <w:pStyle w:val="8"/>
        <w:rPr>
          <w:rFonts w:hint="default"/>
          <w:lang w:val="en-US" w:eastAsia="zh-CN"/>
        </w:rPr>
      </w:pPr>
      <w:r>
        <w:rPr>
          <w:rFonts w:hint="eastAsia"/>
          <w:lang w:eastAsia="zh-CN"/>
        </w:rPr>
        <w:t>涉锅炉？</w:t>
      </w:r>
      <w:r>
        <w:rPr>
          <w:rFonts w:hint="eastAsia"/>
          <w:lang w:val="en-US" w:eastAsia="zh-CN"/>
        </w:rPr>
        <w:t xml:space="preserve">  涉颗粒物？   还是涉VOCs</w:t>
      </w:r>
    </w:p>
  </w:comment>
  <w:comment w:id="6" w:author="Administrator" w:date="2025-10-03T19:59:44Z" w:initials="A">
    <w:p w14:paraId="24307682">
      <w:pPr>
        <w:pStyle w:val="8"/>
        <w:rPr>
          <w:rFonts w:hint="eastAsia"/>
          <w:lang w:eastAsia="zh-CN"/>
        </w:rPr>
      </w:pPr>
      <w:r>
        <w:rPr>
          <w:rFonts w:hint="eastAsia"/>
          <w:lang w:eastAsia="zh-CN"/>
        </w:rPr>
        <w:t>这几个表，层次梳理一下。</w:t>
      </w:r>
    </w:p>
    <w:p w14:paraId="63D91E67">
      <w:pPr>
        <w:pStyle w:val="8"/>
        <w:rPr>
          <w:rFonts w:hint="eastAsia"/>
          <w:lang w:eastAsia="zh-CN"/>
        </w:rPr>
      </w:pPr>
    </w:p>
    <w:p w14:paraId="5B657321">
      <w:pPr>
        <w:pStyle w:val="8"/>
        <w:rPr>
          <w:rFonts w:hint="eastAsia"/>
          <w:lang w:eastAsia="zh-CN"/>
        </w:rPr>
      </w:pPr>
      <w:r>
        <w:rPr>
          <w:rFonts w:hint="eastAsia"/>
          <w:lang w:eastAsia="zh-CN"/>
        </w:rPr>
        <w:t>有开发区规划要求的</w:t>
      </w:r>
    </w:p>
    <w:p w14:paraId="1E41086E">
      <w:pPr>
        <w:pStyle w:val="8"/>
        <w:rPr>
          <w:rFonts w:hint="default"/>
          <w:lang w:val="en-US" w:eastAsia="zh-CN"/>
        </w:rPr>
      </w:pPr>
      <w:r>
        <w:rPr>
          <w:rFonts w:hint="eastAsia"/>
          <w:lang w:eastAsia="zh-CN"/>
        </w:rPr>
        <w:t>有规划环评要求的，</w:t>
      </w:r>
      <w:r>
        <w:rPr>
          <w:rFonts w:hint="eastAsia"/>
          <w:lang w:val="en-US" w:eastAsia="zh-CN"/>
        </w:rPr>
        <w:t xml:space="preserve">   放在不同的地方</w:t>
      </w:r>
    </w:p>
  </w:comment>
  <w:comment w:id="7" w:author="Administrator" w:date="2025-10-03T20:02:23Z" w:initials="A">
    <w:p w14:paraId="012C5FE7">
      <w:pPr>
        <w:pStyle w:val="8"/>
        <w:rPr>
          <w:rFonts w:hint="eastAsia"/>
          <w:lang w:eastAsia="zh-CN"/>
        </w:rPr>
      </w:pPr>
      <w:r>
        <w:rPr>
          <w:rFonts w:hint="eastAsia"/>
          <w:lang w:eastAsia="zh-CN"/>
        </w:rPr>
        <w:t>核实一下这个距离，有没有这么远</w:t>
      </w:r>
    </w:p>
    <w:p w14:paraId="46CE6A8F">
      <w:pPr>
        <w:pStyle w:val="8"/>
        <w:rPr>
          <w:rFonts w:hint="eastAsia"/>
          <w:lang w:eastAsia="zh-CN"/>
        </w:rPr>
      </w:pPr>
    </w:p>
    <w:p w14:paraId="3652842C">
      <w:pPr>
        <w:pStyle w:val="8"/>
        <w:rPr>
          <w:rFonts w:hint="eastAsia"/>
          <w:lang w:eastAsia="zh-CN"/>
        </w:rPr>
      </w:pPr>
      <w:r>
        <w:rPr>
          <w:rFonts w:hint="eastAsia"/>
          <w:lang w:eastAsia="zh-CN"/>
        </w:rPr>
        <w:t>镇平开发区的最北边，</w:t>
      </w:r>
      <w:r>
        <w:rPr>
          <w:rFonts w:hint="eastAsia"/>
          <w:lang w:val="en-US" w:eastAsia="zh-CN"/>
        </w:rPr>
        <w:t>中联水泥厂（航天大道北头）那边就是实验区</w:t>
      </w:r>
    </w:p>
  </w:comment>
  <w:comment w:id="8" w:author="Administrator" w:date="2025-10-03T20:13:42Z" w:initials="A">
    <w:p w14:paraId="5772A963">
      <w:pPr>
        <w:pStyle w:val="8"/>
        <w:rPr>
          <w:rFonts w:hint="eastAsia"/>
          <w:lang w:val="en-US" w:eastAsia="zh-CN"/>
        </w:rPr>
      </w:pPr>
      <w:r>
        <w:rPr>
          <w:rFonts w:hint="eastAsia"/>
          <w:lang w:eastAsia="zh-CN"/>
        </w:rPr>
        <w:t>找与项目有关的条款来分析，</w:t>
      </w:r>
      <w:r>
        <w:rPr>
          <w:rFonts w:hint="eastAsia"/>
          <w:lang w:val="en-US" w:eastAsia="zh-CN"/>
        </w:rPr>
        <w:t xml:space="preserve">     不涉及的内容不需要写，  比如工业炉窑等</w:t>
      </w:r>
    </w:p>
    <w:p w14:paraId="0E710F4E">
      <w:pPr>
        <w:pStyle w:val="8"/>
        <w:rPr>
          <w:rFonts w:hint="default"/>
          <w:lang w:val="en-US" w:eastAsia="zh-CN"/>
        </w:rPr>
      </w:pPr>
      <w:r>
        <w:rPr>
          <w:rFonts w:hint="eastAsia"/>
          <w:lang w:val="en-US" w:eastAsia="zh-CN"/>
        </w:rPr>
        <w:t xml:space="preserve">   项目建设有锅炉，实施方案里面是否有关于锅炉的要求呢//</w:t>
      </w:r>
    </w:p>
  </w:comment>
  <w:comment w:id="9" w:author="Administrator" w:date="2025-10-03T20:14:13Z" w:initials="A">
    <w:p w14:paraId="485B75ED">
      <w:pPr>
        <w:pStyle w:val="8"/>
        <w:rPr>
          <w:rFonts w:hint="eastAsia"/>
          <w:lang w:eastAsia="zh-CN"/>
        </w:rPr>
      </w:pPr>
      <w:r>
        <w:rPr>
          <w:rFonts w:hint="eastAsia"/>
          <w:lang w:eastAsia="zh-CN"/>
        </w:rPr>
        <w:t>？？？</w:t>
      </w:r>
    </w:p>
    <w:p w14:paraId="148E473E">
      <w:pPr>
        <w:pStyle w:val="8"/>
        <w:rPr>
          <w:rFonts w:hint="eastAsia"/>
          <w:lang w:eastAsia="zh-CN"/>
        </w:rPr>
      </w:pPr>
    </w:p>
    <w:p w14:paraId="10F9EDA3">
      <w:pPr>
        <w:pStyle w:val="8"/>
        <w:rPr>
          <w:rFonts w:hint="eastAsia"/>
          <w:lang w:val="en-US" w:eastAsia="zh-CN"/>
        </w:rPr>
      </w:pPr>
      <w:r>
        <w:rPr>
          <w:rFonts w:hint="eastAsia"/>
          <w:lang w:eastAsia="zh-CN"/>
        </w:rPr>
        <w:t>项目有没有其他废气设施，比如颗粒物、</w:t>
      </w:r>
      <w:r>
        <w:rPr>
          <w:rFonts w:hint="eastAsia"/>
          <w:lang w:val="en-US" w:eastAsia="zh-CN"/>
        </w:rPr>
        <w:t>VOCs、锅炉等？</w:t>
      </w:r>
    </w:p>
    <w:p w14:paraId="4ADB6285">
      <w:pPr>
        <w:pStyle w:val="8"/>
        <w:rPr>
          <w:rFonts w:hint="eastAsia"/>
          <w:lang w:val="en-US" w:eastAsia="zh-CN"/>
        </w:rPr>
      </w:pPr>
    </w:p>
    <w:p w14:paraId="51D65003">
      <w:pPr>
        <w:pStyle w:val="8"/>
        <w:rPr>
          <w:rFonts w:hint="default"/>
          <w:lang w:val="en-US" w:eastAsia="zh-CN"/>
        </w:rPr>
      </w:pPr>
      <w:r>
        <w:rPr>
          <w:rFonts w:hint="eastAsia"/>
          <w:lang w:val="en-US" w:eastAsia="zh-CN"/>
        </w:rPr>
        <w:t>只有食堂油烟吗</w:t>
      </w:r>
    </w:p>
  </w:comment>
  <w:comment w:id="10" w:author="Administrator" w:date="2025-10-03T20:17:51Z" w:initials="A">
    <w:p w14:paraId="2F166FE7">
      <w:pPr>
        <w:pStyle w:val="8"/>
        <w:rPr>
          <w:rFonts w:hint="eastAsia"/>
          <w:lang w:val="en-US" w:eastAsia="zh-CN"/>
        </w:rPr>
      </w:pPr>
      <w:r>
        <w:rPr>
          <w:rFonts w:hint="eastAsia"/>
          <w:lang w:val="en-US" w:eastAsia="zh-CN"/>
        </w:rPr>
        <w:t>A级企业要求，或引领性企业要求</w:t>
      </w:r>
    </w:p>
    <w:p w14:paraId="3DF84B55">
      <w:pPr>
        <w:pStyle w:val="8"/>
        <w:rPr>
          <w:rFonts w:hint="default"/>
          <w:lang w:val="en-US" w:eastAsia="zh-CN"/>
        </w:rPr>
      </w:pPr>
      <w:r>
        <w:rPr>
          <w:rFonts w:hint="eastAsia"/>
          <w:lang w:val="en-US" w:eastAsia="zh-CN"/>
        </w:rPr>
        <w:t>不是基本要求</w:t>
      </w:r>
    </w:p>
  </w:comment>
  <w:comment w:id="11" w:author="Administrator" w:date="2025-10-03T20:27:24Z" w:initials="A">
    <w:p w14:paraId="4C3F8C26">
      <w:pPr>
        <w:pStyle w:val="8"/>
        <w:rPr>
          <w:rFonts w:hint="eastAsia" w:eastAsia="宋体"/>
          <w:lang w:eastAsia="zh-CN"/>
        </w:rPr>
      </w:pPr>
      <w:r>
        <w:rPr>
          <w:rFonts w:hint="eastAsia"/>
          <w:lang w:eastAsia="zh-CN"/>
        </w:rPr>
        <w:t>袋装面粉等原料车间内装卸过程，不考虑粉尘产生</w:t>
      </w:r>
    </w:p>
  </w:comment>
  <w:comment w:id="12" w:author="Administrator" w:date="2025-10-03T20:27:00Z" w:initials="A">
    <w:p w14:paraId="69D19360">
      <w:pPr>
        <w:pStyle w:val="8"/>
      </w:pPr>
      <w:r>
        <w:annotationRef/>
      </w:r>
    </w:p>
  </w:comment>
  <w:comment w:id="13" w:author="Administrator" w:date="2025-10-03T20:27:03Z" w:initials="A">
    <w:p w14:paraId="4CDA91B1">
      <w:pPr>
        <w:pStyle w:val="8"/>
      </w:pPr>
      <w:r>
        <w:annotationRef/>
      </w:r>
    </w:p>
  </w:comment>
  <w:comment w:id="14" w:author="Administrator" w:date="2025-10-03T20:30:59Z" w:initials="A">
    <w:p w14:paraId="120B2510">
      <w:pPr>
        <w:pStyle w:val="8"/>
        <w:rPr>
          <w:rFonts w:hint="eastAsia"/>
          <w:lang w:val="en-US" w:eastAsia="zh-CN"/>
        </w:rPr>
      </w:pPr>
      <w:r>
        <w:rPr>
          <w:rFonts w:hint="eastAsia"/>
          <w:lang w:eastAsia="zh-CN"/>
        </w:rPr>
        <w:t>粉状料，要么是气力输送，要么是螺旋管、斗提等密闭输送</w:t>
      </w:r>
      <w:r>
        <w:rPr>
          <w:rFonts w:hint="eastAsia"/>
          <w:lang w:val="en-US" w:eastAsia="zh-CN"/>
        </w:rPr>
        <w:t>方式</w:t>
      </w:r>
    </w:p>
    <w:p w14:paraId="7621529B">
      <w:pPr>
        <w:pStyle w:val="8"/>
        <w:rPr>
          <w:rFonts w:hint="eastAsia"/>
          <w:lang w:val="en-US" w:eastAsia="zh-CN"/>
        </w:rPr>
      </w:pPr>
    </w:p>
    <w:p w14:paraId="110B9469">
      <w:pPr>
        <w:pStyle w:val="8"/>
        <w:rPr>
          <w:rFonts w:hint="eastAsia"/>
          <w:lang w:val="en-US" w:eastAsia="zh-CN"/>
        </w:rPr>
      </w:pPr>
      <w:r>
        <w:rPr>
          <w:rFonts w:hint="eastAsia"/>
          <w:lang w:val="en-US" w:eastAsia="zh-CN"/>
        </w:rPr>
        <w:t>本项目面粉、其他辅料是如何拆包、输送、下料、搅拌的呢？？？？</w:t>
      </w:r>
    </w:p>
    <w:p w14:paraId="1EE951D7">
      <w:pPr>
        <w:pStyle w:val="8"/>
        <w:rPr>
          <w:rFonts w:hint="eastAsia"/>
          <w:lang w:val="en-US" w:eastAsia="zh-CN"/>
        </w:rPr>
      </w:pPr>
    </w:p>
    <w:p w14:paraId="3256DC7F">
      <w:pPr>
        <w:pStyle w:val="8"/>
        <w:rPr>
          <w:rFonts w:hint="default"/>
          <w:lang w:val="en-US" w:eastAsia="zh-CN"/>
        </w:rPr>
      </w:pPr>
      <w:r>
        <w:rPr>
          <w:rFonts w:hint="eastAsia"/>
          <w:lang w:val="en-US" w:eastAsia="zh-CN"/>
        </w:rPr>
        <w:t>食品厂，因为原料多为易起尘的粉料，面粉、淀粉、木薯粉等等，  所以一般都配套有集尘及袋除尘设施</w:t>
      </w:r>
    </w:p>
  </w:comment>
  <w:comment w:id="15" w:author="Administrator" w:date="2025-10-03T20:32:06Z" w:initials="A">
    <w:p w14:paraId="623B817E">
      <w:pPr>
        <w:pStyle w:val="8"/>
      </w:pPr>
      <w:r>
        <w:annotationRef/>
      </w:r>
    </w:p>
  </w:comment>
  <w:comment w:id="16" w:author="Administrator" w:date="2025-10-03T20:32:13Z" w:initials="A">
    <w:p w14:paraId="7AC13017">
      <w:pPr>
        <w:pStyle w:val="8"/>
        <w:rPr>
          <w:rFonts w:hint="eastAsia" w:eastAsia="宋体"/>
          <w:lang w:eastAsia="zh-CN"/>
        </w:rPr>
      </w:pPr>
      <w:r>
        <w:rPr>
          <w:rFonts w:hint="eastAsia"/>
          <w:lang w:eastAsia="zh-CN"/>
        </w:rPr>
        <w:t>什么抑尘措施？</w:t>
      </w:r>
    </w:p>
  </w:comment>
  <w:comment w:id="17" w:author="Administrator" w:date="2025-10-03T20:33:42Z" w:initials="A">
    <w:p w14:paraId="318FDC01">
      <w:pPr>
        <w:pStyle w:val="8"/>
        <w:rPr>
          <w:rFonts w:hint="default" w:eastAsia="宋体"/>
          <w:lang w:val="en-US" w:eastAsia="zh-CN"/>
        </w:rPr>
      </w:pPr>
      <w:r>
        <w:rPr>
          <w:rFonts w:hint="eastAsia"/>
          <w:lang w:val="en-US" w:eastAsia="zh-CN"/>
        </w:rPr>
        <w:t>和面时候粉尘收集处理，   但最关键是配料、下料、搅拌时候的粉尘</w:t>
      </w:r>
    </w:p>
  </w:comment>
  <w:comment w:id="18" w:author="Administrator" w:date="2025-10-03T20:37:06Z" w:initials="A">
    <w:p w14:paraId="24C0D6F9">
      <w:pPr>
        <w:pStyle w:val="8"/>
        <w:rPr>
          <w:rFonts w:hint="eastAsia"/>
          <w:lang w:eastAsia="zh-CN"/>
        </w:rPr>
      </w:pPr>
      <w:r>
        <w:rPr>
          <w:rFonts w:hint="eastAsia"/>
          <w:lang w:eastAsia="zh-CN"/>
        </w:rPr>
        <w:t>厂区内一般没有运输车辆</w:t>
      </w:r>
    </w:p>
    <w:p w14:paraId="37C0F354">
      <w:pPr>
        <w:pStyle w:val="8"/>
        <w:rPr>
          <w:rFonts w:hint="eastAsia"/>
          <w:lang w:eastAsia="zh-CN"/>
        </w:rPr>
      </w:pPr>
    </w:p>
    <w:p w14:paraId="30563F09">
      <w:pPr>
        <w:pStyle w:val="8"/>
        <w:rPr>
          <w:rFonts w:hint="eastAsia"/>
          <w:lang w:eastAsia="zh-CN"/>
        </w:rPr>
      </w:pPr>
      <w:r>
        <w:rPr>
          <w:rFonts w:hint="eastAsia"/>
          <w:lang w:eastAsia="zh-CN"/>
        </w:rPr>
        <w:t>其他三个方面，按照技术规范内容要写</w:t>
      </w:r>
    </w:p>
  </w:comment>
  <w:comment w:id="19" w:author="Administrator" w:date="2025-10-03T20:37:31Z" w:initials="A">
    <w:p w14:paraId="682E2340">
      <w:pPr>
        <w:pStyle w:val="8"/>
        <w:rPr>
          <w:rFonts w:hint="default" w:eastAsia="宋体"/>
          <w:lang w:val="en-US" w:eastAsia="zh-CN"/>
        </w:rPr>
      </w:pPr>
      <w:r>
        <w:rPr>
          <w:rFonts w:hint="eastAsia"/>
          <w:lang w:eastAsia="zh-CN"/>
        </w:rPr>
        <w:t>这些内容也不是放到这里的，</w:t>
      </w:r>
      <w:r>
        <w:rPr>
          <w:rFonts w:hint="eastAsia"/>
          <w:lang w:val="en-US" w:eastAsia="zh-CN"/>
        </w:rPr>
        <w:t xml:space="preserve">  下面的运输方式那里</w:t>
      </w:r>
    </w:p>
  </w:comment>
  <w:comment w:id="20" w:author="Administrator" w:date="2025-10-03T20:39:24Z" w:initials="A">
    <w:p w14:paraId="7DDD5292">
      <w:pPr>
        <w:pStyle w:val="8"/>
        <w:rPr>
          <w:rFonts w:hint="eastAsia" w:eastAsia="宋体"/>
          <w:lang w:eastAsia="zh-CN"/>
        </w:rPr>
      </w:pPr>
      <w:r>
        <w:rPr>
          <w:rFonts w:hint="eastAsia"/>
          <w:lang w:eastAsia="zh-CN"/>
        </w:rPr>
        <w:t>内容写串了，文不对题</w:t>
      </w:r>
    </w:p>
  </w:comment>
  <w:comment w:id="21" w:author="Administrator" w:date="2025-10-03T20:41:19Z" w:initials="A">
    <w:p w14:paraId="1DFB4256">
      <w:pPr>
        <w:pStyle w:val="8"/>
        <w:rPr>
          <w:rFonts w:hint="eastAsia" w:eastAsia="宋体"/>
          <w:lang w:eastAsia="zh-CN"/>
        </w:rPr>
      </w:pPr>
      <w:r>
        <w:rPr>
          <w:rFonts w:hint="eastAsia"/>
          <w:lang w:eastAsia="zh-CN"/>
        </w:rPr>
        <w:t>什么加热</w:t>
      </w:r>
    </w:p>
  </w:comment>
  <w:comment w:id="22" w:author="Administrator" w:date="2025-10-03T20:41:31Z" w:initials="A">
    <w:p w14:paraId="6EAEC0C1">
      <w:pPr>
        <w:pStyle w:val="8"/>
        <w:rPr>
          <w:rFonts w:hint="default" w:eastAsia="宋体"/>
          <w:lang w:val="en-US" w:eastAsia="zh-CN"/>
        </w:rPr>
      </w:pPr>
      <w:r>
        <w:rPr>
          <w:rFonts w:hint="eastAsia"/>
          <w:lang w:eastAsia="zh-CN"/>
        </w:rPr>
        <w:t>？？？</w:t>
      </w:r>
      <w:r>
        <w:rPr>
          <w:rFonts w:hint="eastAsia"/>
          <w:lang w:val="en-US" w:eastAsia="zh-CN"/>
        </w:rPr>
        <w:t xml:space="preserve">     热风炉才关注这一点，锅炉不需要</w:t>
      </w:r>
    </w:p>
  </w:comment>
  <w:comment w:id="23" w:author="Administrator" w:date="2025-10-03T20:42:56Z" w:initials="A">
    <w:p w14:paraId="16C982BB">
      <w:pPr>
        <w:pStyle w:val="8"/>
      </w:pPr>
      <w:r>
        <w:annotationRef/>
      </w:r>
    </w:p>
  </w:comment>
  <w:comment w:id="24" w:author="Administrator" w:date="2025-10-03T20:45:10Z" w:initials="A">
    <w:p w14:paraId="4EC8D58E">
      <w:pPr>
        <w:pStyle w:val="8"/>
      </w:pPr>
      <w:r>
        <w:annotationRef/>
      </w:r>
    </w:p>
  </w:comment>
  <w:comment w:id="25" w:author="Administrator" w:date="2025-10-03T20:50:04Z" w:initials="A">
    <w:p w14:paraId="218498EF">
      <w:pPr>
        <w:pStyle w:val="8"/>
        <w:rPr>
          <w:rFonts w:hint="eastAsia"/>
          <w:lang w:val="en-US" w:eastAsia="zh-CN"/>
        </w:rPr>
      </w:pPr>
      <w:r>
        <w:rPr>
          <w:rFonts w:hint="eastAsia"/>
          <w:lang w:val="en-US" w:eastAsia="zh-CN"/>
        </w:rPr>
        <w:t xml:space="preserve">4个净化器，设置3根排气筒吗？   </w:t>
      </w:r>
    </w:p>
    <w:p w14:paraId="746C9A03">
      <w:pPr>
        <w:pStyle w:val="8"/>
        <w:rPr>
          <w:rFonts w:hint="default"/>
          <w:lang w:val="en-US" w:eastAsia="zh-CN"/>
        </w:rPr>
      </w:pPr>
      <w:r>
        <w:rPr>
          <w:rFonts w:hint="eastAsia"/>
          <w:lang w:val="en-US" w:eastAsia="zh-CN"/>
        </w:rPr>
        <w:t xml:space="preserve">   能否合并？？？</w:t>
      </w:r>
    </w:p>
  </w:comment>
  <w:comment w:id="26" w:author="Administrator" w:date="2025-10-03T20:47:57Z" w:initials="A">
    <w:p w14:paraId="507A6990">
      <w:pPr>
        <w:pStyle w:val="8"/>
        <w:rPr>
          <w:rFonts w:hint="eastAsia"/>
          <w:lang w:val="en-US" w:eastAsia="zh-CN"/>
        </w:rPr>
      </w:pPr>
      <w:r>
        <w:rPr>
          <w:rFonts w:hint="eastAsia"/>
          <w:lang w:val="en-US" w:eastAsia="zh-CN"/>
        </w:rPr>
        <w:t xml:space="preserve">15台蒸汽发生器，共用1根排气筒吗？    </w:t>
      </w:r>
    </w:p>
    <w:p w14:paraId="67DD4A6C">
      <w:pPr>
        <w:pStyle w:val="8"/>
        <w:rPr>
          <w:rFonts w:hint="eastAsia"/>
          <w:lang w:val="en-US" w:eastAsia="zh-CN"/>
        </w:rPr>
      </w:pPr>
      <w:r>
        <w:rPr>
          <w:rFonts w:hint="eastAsia"/>
          <w:lang w:val="en-US" w:eastAsia="zh-CN"/>
        </w:rPr>
        <w:t>是单设锅炉房，还是分散设置，根据需要在工位旁边直接设蒸汽发生器？</w:t>
      </w:r>
    </w:p>
    <w:p w14:paraId="44A4A9B9">
      <w:pPr>
        <w:pStyle w:val="8"/>
        <w:rPr>
          <w:rFonts w:hint="eastAsia"/>
          <w:lang w:val="en-US" w:eastAsia="zh-CN"/>
        </w:rPr>
      </w:pPr>
    </w:p>
    <w:p w14:paraId="13E06F9F">
      <w:pPr>
        <w:pStyle w:val="8"/>
        <w:rPr>
          <w:rFonts w:hint="default"/>
          <w:lang w:val="en-US" w:eastAsia="zh-CN"/>
        </w:rPr>
      </w:pPr>
      <w:r>
        <w:rPr>
          <w:rFonts w:hint="eastAsia"/>
          <w:lang w:val="en-US" w:eastAsia="zh-CN"/>
        </w:rPr>
        <w:t>这么小的蒸汽发生器，能装低氮燃烧器吗？  一台低氮燃烧器十几万，比锅炉都贵。    能否将锅炉进行合并，设置2～3～4台规模稍微大一点的蒸汽发生器？</w:t>
      </w:r>
    </w:p>
  </w:comment>
  <w:comment w:id="27" w:author="Administrator" w:date="2025-10-03T20:52:30Z" w:initials="A">
    <w:p w14:paraId="23003201">
      <w:pPr>
        <w:pStyle w:val="8"/>
        <w:rPr>
          <w:rFonts w:hint="eastAsia" w:eastAsia="宋体"/>
          <w:lang w:eastAsia="zh-CN"/>
        </w:rPr>
      </w:pPr>
      <w:r>
        <w:rPr>
          <w:rFonts w:hint="eastAsia"/>
          <w:lang w:eastAsia="zh-CN"/>
        </w:rPr>
        <w:t>周边没有雨水管网吗？</w:t>
      </w:r>
    </w:p>
  </w:comment>
  <w:comment w:id="28" w:author="Administrator" w:date="2025-10-03T20:53:09Z" w:initials="A">
    <w:p w14:paraId="3F54D503">
      <w:pPr>
        <w:pStyle w:val="8"/>
        <w:rPr>
          <w:rFonts w:hint="eastAsia"/>
          <w:lang w:val="en-US" w:eastAsia="zh-CN"/>
        </w:rPr>
      </w:pPr>
      <w:r>
        <w:rPr>
          <w:rFonts w:hint="eastAsia"/>
          <w:lang w:eastAsia="zh-CN"/>
        </w:rPr>
        <w:t>开发区内，噪声一般执行</w:t>
      </w:r>
      <w:r>
        <w:rPr>
          <w:rFonts w:hint="eastAsia"/>
          <w:lang w:val="en-US" w:eastAsia="zh-CN"/>
        </w:rPr>
        <w:t>3类。</w:t>
      </w:r>
    </w:p>
    <w:p w14:paraId="4733BD76">
      <w:pPr>
        <w:pStyle w:val="8"/>
        <w:rPr>
          <w:rFonts w:hint="eastAsia"/>
          <w:lang w:val="en-US" w:eastAsia="zh-CN"/>
        </w:rPr>
      </w:pPr>
    </w:p>
    <w:p w14:paraId="32416D63">
      <w:pPr>
        <w:pStyle w:val="8"/>
        <w:rPr>
          <w:rFonts w:hint="default"/>
          <w:lang w:val="en-US" w:eastAsia="zh-CN"/>
        </w:rPr>
      </w:pPr>
      <w:r>
        <w:rPr>
          <w:rFonts w:hint="eastAsia"/>
          <w:lang w:val="en-US" w:eastAsia="zh-CN"/>
        </w:rPr>
        <w:t>可以结合镇平县的声环境功能区划报告，校核一下</w:t>
      </w:r>
    </w:p>
  </w:comment>
  <w:comment w:id="29" w:author="Administrator" w:date="2025-10-03T20:54:10Z" w:initials="A">
    <w:p w14:paraId="008D735B">
      <w:pPr>
        <w:pStyle w:val="8"/>
        <w:rPr>
          <w:rFonts w:hint="default" w:eastAsia="宋体"/>
          <w:lang w:val="en-US" w:eastAsia="zh-CN"/>
        </w:rPr>
      </w:pPr>
      <w:r>
        <w:rPr>
          <w:rFonts w:hint="eastAsia"/>
          <w:lang w:eastAsia="zh-CN"/>
        </w:rPr>
        <w:t>已经被</w:t>
      </w:r>
      <w:r>
        <w:rPr>
          <w:rFonts w:hint="eastAsia"/>
          <w:lang w:val="en-US" w:eastAsia="zh-CN"/>
        </w:rPr>
        <w:t>2023年文件更新替代</w:t>
      </w:r>
    </w:p>
  </w:comment>
  <w:comment w:id="30" w:author="Administrator" w:date="2025-10-03T20:54:40Z" w:initials="A">
    <w:p w14:paraId="255E743A">
      <w:pPr>
        <w:pStyle w:val="8"/>
      </w:pPr>
      <w:r>
        <w:annotationRef/>
      </w:r>
    </w:p>
  </w:comment>
  <w:comment w:id="31" w:author="Administrator" w:date="2025-10-03T20:54:55Z" w:initials="A">
    <w:p w14:paraId="289181F3">
      <w:pPr>
        <w:pStyle w:val="8"/>
        <w:rPr>
          <w:rFonts w:hint="eastAsia" w:eastAsia="宋体"/>
          <w:lang w:eastAsia="zh-CN"/>
        </w:rPr>
      </w:pPr>
      <w:r>
        <w:rPr>
          <w:rFonts w:hint="eastAsia"/>
          <w:lang w:eastAsia="zh-CN"/>
        </w:rPr>
        <w:t>属于重点发展行业，不</w:t>
      </w:r>
      <w:r>
        <w:rPr>
          <w:rFonts w:hint="eastAsia"/>
          <w:lang w:val="en-US" w:eastAsia="zh-CN"/>
        </w:rPr>
        <w:t>属于禁止入驻的项目</w:t>
      </w:r>
    </w:p>
  </w:comment>
  <w:comment w:id="32" w:author="Administrator" w:date="2025-10-03T20:55:59Z" w:initials="A">
    <w:p w14:paraId="2A9EDAFB">
      <w:pPr>
        <w:pStyle w:val="8"/>
      </w:pPr>
      <w:r>
        <w:annotationRef/>
      </w:r>
    </w:p>
  </w:comment>
  <w:comment w:id="33" w:author="Administrator" w:date="2025-10-03T20:56:31Z" w:initials="A">
    <w:p w14:paraId="5FD3C0BF">
      <w:pPr>
        <w:pStyle w:val="8"/>
        <w:rPr>
          <w:rFonts w:hint="default" w:eastAsia="宋体"/>
          <w:lang w:val="en-US" w:eastAsia="zh-CN"/>
        </w:rPr>
      </w:pPr>
      <w:r>
        <w:rPr>
          <w:rFonts w:hint="eastAsia"/>
          <w:lang w:eastAsia="zh-CN"/>
        </w:rPr>
        <w:t>入区企业废水经管网进入市政污水处理厂，</w:t>
      </w:r>
      <w:r>
        <w:rPr>
          <w:rFonts w:hint="eastAsia"/>
          <w:lang w:val="en-US" w:eastAsia="zh-CN"/>
        </w:rPr>
        <w:t xml:space="preserve">  本项目不涉及吗？？</w:t>
      </w:r>
    </w:p>
  </w:comment>
  <w:comment w:id="34" w:author="Administrator" w:date="2025-10-03T20:57:43Z" w:initials="A">
    <w:p w14:paraId="4B2D0B8E">
      <w:pPr>
        <w:pStyle w:val="8"/>
      </w:pPr>
      <w:r>
        <w:annotationRef/>
      </w:r>
    </w:p>
  </w:comment>
  <w:comment w:id="35" w:author="Administrator" w:date="2025-10-03T20:57:37Z" w:initials="A">
    <w:p w14:paraId="3B5AEB48">
      <w:pPr>
        <w:pStyle w:val="8"/>
      </w:pPr>
      <w:r>
        <w:annotationRef/>
      </w:r>
    </w:p>
  </w:comment>
  <w:comment w:id="36" w:author="Administrator" w:date="2025-10-03T20:58:47Z" w:initials="A">
    <w:p w14:paraId="4325C420">
      <w:pPr>
        <w:pStyle w:val="8"/>
        <w:rPr>
          <w:rFonts w:hint="eastAsia"/>
          <w:lang w:val="en-US" w:eastAsia="zh-CN"/>
        </w:rPr>
      </w:pPr>
      <w:r>
        <w:rPr>
          <w:rFonts w:hint="eastAsia"/>
          <w:lang w:eastAsia="zh-CN"/>
        </w:rPr>
        <w:t>为什么还有一个表，</w:t>
      </w:r>
      <w:r>
        <w:rPr>
          <w:rFonts w:hint="eastAsia"/>
          <w:lang w:val="en-US" w:eastAsia="zh-CN"/>
        </w:rPr>
        <w:t xml:space="preserve">  编码还不一样，内容也不一样？？？</w:t>
      </w:r>
    </w:p>
    <w:p w14:paraId="5C58A4CA">
      <w:pPr>
        <w:pStyle w:val="8"/>
        <w:rPr>
          <w:rFonts w:hint="eastAsia"/>
          <w:lang w:val="en-US" w:eastAsia="zh-CN"/>
        </w:rPr>
      </w:pPr>
    </w:p>
    <w:p w14:paraId="09F27B9B">
      <w:pPr>
        <w:pStyle w:val="8"/>
        <w:rPr>
          <w:rFonts w:hint="eastAsia"/>
          <w:lang w:val="en-US" w:eastAsia="zh-CN"/>
        </w:rPr>
      </w:pPr>
    </w:p>
    <w:p w14:paraId="56C0DEBA">
      <w:pPr>
        <w:pStyle w:val="8"/>
        <w:rPr>
          <w:rFonts w:hint="default"/>
          <w:lang w:val="en-US" w:eastAsia="zh-CN"/>
        </w:rPr>
      </w:pPr>
      <w:r>
        <w:rPr>
          <w:rFonts w:hint="eastAsia"/>
          <w:lang w:val="en-US" w:eastAsia="zh-CN"/>
        </w:rPr>
        <w:t>如果除了环境管控单元外，  水环境、大气环境也分析了，需要在前面说清楚</w:t>
      </w:r>
    </w:p>
  </w:comment>
  <w:comment w:id="37" w:author="Administrator" w:date="2025-10-03T21:02:38Z" w:initials="A">
    <w:p w14:paraId="277D3A3F">
      <w:pPr>
        <w:pStyle w:val="8"/>
        <w:rPr>
          <w:rFonts w:hint="eastAsia" w:eastAsia="宋体"/>
          <w:lang w:eastAsia="zh-CN"/>
        </w:rPr>
      </w:pPr>
      <w:r>
        <w:rPr>
          <w:rFonts w:hint="eastAsia"/>
          <w:lang w:eastAsia="zh-CN"/>
        </w:rPr>
        <w:t>低效失效措施排查方案，等文件也建议分析一下</w:t>
      </w:r>
    </w:p>
  </w:comment>
  <w:comment w:id="38" w:author="Administrator" w:date="2025-10-03T21:33:36Z" w:initials="A">
    <w:p w14:paraId="7DABB2F2">
      <w:pPr>
        <w:pStyle w:val="8"/>
        <w:rPr>
          <w:rFonts w:hint="eastAsia" w:eastAsia="宋体"/>
          <w:lang w:eastAsia="zh-CN"/>
        </w:rPr>
      </w:pPr>
      <w:r>
        <w:rPr>
          <w:rFonts w:hint="eastAsia"/>
          <w:lang w:eastAsia="zh-CN"/>
        </w:rPr>
        <w:t>这个公司也可以适当介绍一下</w:t>
      </w:r>
    </w:p>
  </w:comment>
  <w:comment w:id="39" w:author="Administrator" w:date="2025-10-03T21:35:11Z" w:initials="A">
    <w:p w14:paraId="3D32ACEF">
      <w:pPr>
        <w:pStyle w:val="8"/>
        <w:rPr>
          <w:rFonts w:hint="eastAsia" w:eastAsia="宋体"/>
          <w:lang w:eastAsia="zh-CN"/>
        </w:rPr>
      </w:pPr>
      <w:r>
        <w:rPr>
          <w:rFonts w:hint="eastAsia"/>
          <w:lang w:eastAsia="zh-CN"/>
        </w:rPr>
        <w:t>属于这里面，具体的哪一类？</w:t>
      </w:r>
    </w:p>
  </w:comment>
  <w:comment w:id="40" w:author="Administrator" w:date="2025-10-03T21:43:21Z" w:initials="A">
    <w:p w14:paraId="2B861D86">
      <w:pPr>
        <w:pStyle w:val="8"/>
        <w:rPr>
          <w:rFonts w:hint="eastAsia" w:eastAsia="宋体"/>
          <w:lang w:eastAsia="zh-CN"/>
        </w:rPr>
      </w:pPr>
      <w:r>
        <w:rPr>
          <w:rFonts w:hint="eastAsia"/>
          <w:lang w:eastAsia="zh-CN"/>
        </w:rPr>
        <w:t>这句话能看明白吗</w:t>
      </w:r>
    </w:p>
  </w:comment>
  <w:comment w:id="41" w:author="Administrator" w:date="2025-10-03T21:49:11Z" w:initials="A">
    <w:p w14:paraId="4DDDE49C">
      <w:pPr>
        <w:pStyle w:val="8"/>
        <w:rPr>
          <w:rFonts w:hint="eastAsia"/>
          <w:lang w:eastAsia="zh-CN"/>
        </w:rPr>
      </w:pPr>
      <w:r>
        <w:rPr>
          <w:rFonts w:hint="eastAsia"/>
          <w:lang w:eastAsia="zh-CN"/>
        </w:rPr>
        <w:t>车间整体布局规划、生产线设置等，再细化介绍一下。</w:t>
      </w:r>
    </w:p>
    <w:p w14:paraId="469858FF">
      <w:pPr>
        <w:pStyle w:val="8"/>
        <w:rPr>
          <w:rFonts w:hint="eastAsia"/>
          <w:lang w:eastAsia="zh-CN"/>
        </w:rPr>
      </w:pPr>
    </w:p>
    <w:p w14:paraId="606ACA97">
      <w:pPr>
        <w:pStyle w:val="8"/>
        <w:rPr>
          <w:rFonts w:hint="eastAsia"/>
          <w:lang w:val="en-US" w:eastAsia="zh-CN"/>
        </w:rPr>
      </w:pPr>
      <w:r>
        <w:rPr>
          <w:rFonts w:hint="eastAsia"/>
          <w:lang w:eastAsia="zh-CN"/>
        </w:rPr>
        <w:t>原料、辅料的储存情况，</w:t>
      </w:r>
      <w:r>
        <w:rPr>
          <w:rFonts w:hint="eastAsia"/>
          <w:lang w:val="en-US" w:eastAsia="zh-CN"/>
        </w:rPr>
        <w:t xml:space="preserve">   产品的储存情况</w:t>
      </w:r>
    </w:p>
    <w:p w14:paraId="204D7D10">
      <w:pPr>
        <w:pStyle w:val="8"/>
        <w:rPr>
          <w:rFonts w:hint="eastAsia"/>
          <w:lang w:val="en-US" w:eastAsia="zh-CN"/>
        </w:rPr>
      </w:pPr>
    </w:p>
    <w:p w14:paraId="6CC8C2C1">
      <w:pPr>
        <w:pStyle w:val="8"/>
        <w:rPr>
          <w:rFonts w:hint="eastAsia"/>
          <w:lang w:val="en-US" w:eastAsia="zh-CN"/>
        </w:rPr>
      </w:pPr>
      <w:r>
        <w:rPr>
          <w:rFonts w:hint="eastAsia"/>
          <w:lang w:val="en-US" w:eastAsia="zh-CN"/>
        </w:rPr>
        <w:t>以及不同产品/生产线的设置情况，</w:t>
      </w:r>
    </w:p>
    <w:p w14:paraId="5628DD9E">
      <w:pPr>
        <w:pStyle w:val="8"/>
        <w:rPr>
          <w:rFonts w:hint="eastAsia"/>
          <w:lang w:val="en-US" w:eastAsia="zh-CN"/>
        </w:rPr>
      </w:pPr>
      <w:r>
        <w:rPr>
          <w:rFonts w:hint="eastAsia"/>
          <w:lang w:val="en-US" w:eastAsia="zh-CN"/>
        </w:rPr>
        <w:t>尽量能解释清楚一点</w:t>
      </w:r>
    </w:p>
    <w:p w14:paraId="3DCA0A02">
      <w:pPr>
        <w:pStyle w:val="8"/>
        <w:rPr>
          <w:rFonts w:hint="eastAsia"/>
          <w:lang w:val="en-US" w:eastAsia="zh-CN"/>
        </w:rPr>
      </w:pPr>
    </w:p>
    <w:p w14:paraId="4A7E8522">
      <w:pPr>
        <w:pStyle w:val="8"/>
        <w:rPr>
          <w:rFonts w:hint="eastAsia"/>
          <w:lang w:val="en-US" w:eastAsia="zh-CN"/>
        </w:rPr>
      </w:pPr>
    </w:p>
    <w:p w14:paraId="573E51EF">
      <w:pPr>
        <w:pStyle w:val="8"/>
        <w:rPr>
          <w:rFonts w:hint="eastAsia"/>
          <w:lang w:val="en-US" w:eastAsia="zh-CN"/>
        </w:rPr>
      </w:pPr>
    </w:p>
    <w:p w14:paraId="5A6795E9">
      <w:pPr>
        <w:pStyle w:val="8"/>
        <w:rPr>
          <w:rFonts w:hint="default"/>
          <w:lang w:val="en-US" w:eastAsia="zh-CN"/>
        </w:rPr>
      </w:pPr>
      <w:r>
        <w:rPr>
          <w:rFonts w:hint="eastAsia"/>
          <w:lang w:val="en-US" w:eastAsia="zh-CN"/>
        </w:rPr>
        <w:t>此外，构筑物建设不清楚。    比如生产车间，几栋几层，结构形式，封闭方式，内部格局（设独立操作工房还是全敞开式作业）</w:t>
      </w:r>
    </w:p>
  </w:comment>
  <w:comment w:id="42" w:author="Administrator" w:date="2025-10-03T21:56:24Z" w:initials="A">
    <w:p w14:paraId="30F2C6EA">
      <w:pPr>
        <w:pStyle w:val="8"/>
        <w:rPr>
          <w:rFonts w:hint="eastAsia" w:eastAsia="宋体"/>
          <w:lang w:val="en-US" w:eastAsia="zh-CN"/>
        </w:rPr>
      </w:pPr>
      <w:r>
        <w:rPr>
          <w:rFonts w:hint="eastAsia"/>
          <w:lang w:val="en-US" w:eastAsia="zh-CN"/>
        </w:rPr>
        <w:t>1根？</w:t>
      </w:r>
    </w:p>
  </w:comment>
  <w:comment w:id="43" w:author="Administrator" w:date="2025-10-03T21:58:45Z" w:initials="A">
    <w:p w14:paraId="4A89050D">
      <w:pPr>
        <w:pStyle w:val="8"/>
        <w:rPr>
          <w:rFonts w:hint="eastAsia" w:eastAsia="宋体"/>
          <w:lang w:eastAsia="zh-CN"/>
        </w:rPr>
      </w:pPr>
      <w:r>
        <w:rPr>
          <w:rFonts w:hint="eastAsia"/>
          <w:lang w:val="en-US" w:eastAsia="zh-CN"/>
        </w:rPr>
        <w:t>设备是集中布置，设置在专用锅炉房内吗？</w:t>
      </w:r>
    </w:p>
  </w:comment>
  <w:comment w:id="44" w:author="Administrator" w:date="2025-10-03T21:59:36Z" w:initials="A">
    <w:p w14:paraId="6925B110">
      <w:pPr>
        <w:pStyle w:val="8"/>
        <w:rPr>
          <w:rFonts w:hint="eastAsia"/>
          <w:lang w:eastAsia="zh-CN"/>
        </w:rPr>
      </w:pPr>
      <w:r>
        <w:rPr>
          <w:rFonts w:hint="eastAsia"/>
          <w:lang w:eastAsia="zh-CN"/>
        </w:rPr>
        <w:t>前端生产时候的粉尘，建议收集后布袋除尘器处理，然后排气筒高空排放，按有组织管控。</w:t>
      </w:r>
    </w:p>
    <w:p w14:paraId="4B301CE0">
      <w:pPr>
        <w:pStyle w:val="8"/>
        <w:rPr>
          <w:rFonts w:hint="eastAsia"/>
          <w:lang w:eastAsia="zh-CN"/>
        </w:rPr>
      </w:pPr>
    </w:p>
    <w:p w14:paraId="159AA63F">
      <w:pPr>
        <w:pStyle w:val="8"/>
        <w:rPr>
          <w:rFonts w:hint="eastAsia"/>
          <w:lang w:eastAsia="zh-CN"/>
        </w:rPr>
      </w:pPr>
      <w:r>
        <w:rPr>
          <w:rFonts w:hint="eastAsia"/>
          <w:lang w:eastAsia="zh-CN"/>
        </w:rPr>
        <w:t>镇平园区内好几个生产馒头、包子等食品的企业，粉尘都是按照有组织排放在管理</w:t>
      </w:r>
    </w:p>
  </w:comment>
  <w:comment w:id="45" w:author="Administrator" w:date="2025-10-03T22:03:04Z" w:initials="A">
    <w:p w14:paraId="3C01FCCF">
      <w:pPr>
        <w:pStyle w:val="8"/>
        <w:rPr>
          <w:rFonts w:hint="eastAsia"/>
          <w:lang w:val="en-US" w:eastAsia="zh-CN"/>
        </w:rPr>
      </w:pPr>
      <w:r>
        <w:rPr>
          <w:rFonts w:hint="eastAsia"/>
          <w:lang w:eastAsia="zh-CN"/>
        </w:rPr>
        <w:t>肉末、蔬菜残渣、食物残渣等，这些都是厨余垃圾，外售哪里呢？</w:t>
      </w:r>
      <w:r>
        <w:rPr>
          <w:rFonts w:hint="eastAsia"/>
          <w:lang w:val="en-US" w:eastAsia="zh-CN"/>
        </w:rPr>
        <w:t xml:space="preserve">   怎么利用？</w:t>
      </w:r>
    </w:p>
    <w:p w14:paraId="7F084012">
      <w:pPr>
        <w:pStyle w:val="8"/>
        <w:rPr>
          <w:rFonts w:hint="eastAsia"/>
          <w:lang w:val="en-US" w:eastAsia="zh-CN"/>
        </w:rPr>
      </w:pPr>
    </w:p>
    <w:p w14:paraId="3E742724">
      <w:pPr>
        <w:pStyle w:val="8"/>
        <w:rPr>
          <w:rFonts w:hint="default"/>
          <w:lang w:val="en-US" w:eastAsia="zh-CN"/>
        </w:rPr>
      </w:pPr>
      <w:r>
        <w:rPr>
          <w:rFonts w:hint="eastAsia"/>
          <w:lang w:val="en-US" w:eastAsia="zh-CN"/>
        </w:rPr>
        <w:t>如果县域内，或者周边近距离有餐厨垃圾处理厂（比如南阳光大等），可以和餐厨油脂一样去那边处理。</w:t>
      </w:r>
    </w:p>
  </w:comment>
  <w:comment w:id="46" w:author="Administrator" w:date="2025-10-03T22:06:08Z" w:initials="A">
    <w:p w14:paraId="0C0CF4EB">
      <w:pPr>
        <w:pStyle w:val="8"/>
        <w:rPr>
          <w:rFonts w:hint="default" w:eastAsia="宋体"/>
          <w:lang w:val="en-US" w:eastAsia="zh-CN"/>
        </w:rPr>
      </w:pPr>
      <w:r>
        <w:rPr>
          <w:rFonts w:hint="eastAsia"/>
          <w:lang w:eastAsia="zh-CN"/>
        </w:rPr>
        <w:t>纯水制备的固废，去当垃圾处理也可以。</w:t>
      </w:r>
      <w:r>
        <w:rPr>
          <w:rFonts w:hint="eastAsia"/>
          <w:lang w:val="en-US" w:eastAsia="zh-CN"/>
        </w:rPr>
        <w:t xml:space="preserve">    实在不行了，写原厂家回收也行，实际上不会回收</w:t>
      </w:r>
    </w:p>
  </w:comment>
  <w:comment w:id="47" w:author="Administrator" w:date="2025-10-03T21:42:23Z" w:initials="A">
    <w:p w14:paraId="512024FF">
      <w:pPr>
        <w:pStyle w:val="8"/>
        <w:rPr>
          <w:rFonts w:hint="eastAsia"/>
          <w:lang w:val="en-US" w:eastAsia="zh-CN"/>
        </w:rPr>
      </w:pPr>
      <w:r>
        <w:rPr>
          <w:rFonts w:hint="eastAsia"/>
          <w:lang w:eastAsia="zh-CN"/>
        </w:rPr>
        <w:t>具体是什么？</w:t>
      </w:r>
      <w:r>
        <w:rPr>
          <w:rFonts w:hint="eastAsia"/>
          <w:lang w:val="en-US" w:eastAsia="zh-CN"/>
        </w:rPr>
        <w:t xml:space="preserve">    快餐米饭、速食面，还是其他什么？      仅这个名词，无法判断项目具体产品种类以及行业分类</w:t>
      </w:r>
    </w:p>
    <w:p w14:paraId="7250B392">
      <w:pPr>
        <w:pStyle w:val="8"/>
        <w:rPr>
          <w:rFonts w:hint="eastAsia"/>
          <w:lang w:val="en-US" w:eastAsia="zh-CN"/>
        </w:rPr>
      </w:pPr>
    </w:p>
    <w:p w14:paraId="4856764B">
      <w:pPr>
        <w:pStyle w:val="8"/>
        <w:rPr>
          <w:rFonts w:hint="eastAsia"/>
          <w:lang w:val="en-US" w:eastAsia="zh-CN"/>
        </w:rPr>
      </w:pPr>
      <w:r>
        <w:rPr>
          <w:rFonts w:hint="eastAsia"/>
          <w:lang w:val="en-US" w:eastAsia="zh-CN"/>
        </w:rPr>
        <w:t>包装方式等是什么？</w:t>
      </w:r>
    </w:p>
    <w:p w14:paraId="1B736AD6">
      <w:pPr>
        <w:pStyle w:val="8"/>
        <w:rPr>
          <w:rFonts w:hint="eastAsia"/>
          <w:lang w:val="en-US" w:eastAsia="zh-CN"/>
        </w:rPr>
      </w:pPr>
      <w:r>
        <w:rPr>
          <w:rFonts w:hint="eastAsia"/>
          <w:lang w:val="en-US" w:eastAsia="zh-CN"/>
        </w:rPr>
        <w:t>甚至于执行的卫生标准、产品质量标准？</w:t>
      </w:r>
    </w:p>
    <w:p w14:paraId="647499E6">
      <w:pPr>
        <w:pStyle w:val="8"/>
        <w:rPr>
          <w:rFonts w:hint="default"/>
          <w:lang w:val="en-US" w:eastAsia="zh-CN"/>
        </w:rPr>
      </w:pPr>
      <w:r>
        <w:rPr>
          <w:rFonts w:hint="eastAsia"/>
          <w:lang w:val="en-US" w:eastAsia="zh-CN"/>
        </w:rPr>
        <w:t xml:space="preserve">   预制菜也是有标准的</w:t>
      </w:r>
    </w:p>
  </w:comment>
  <w:comment w:id="48" w:author="Administrator" w:date="2025-10-03T22:08:41Z" w:initials="A">
    <w:p w14:paraId="77DEB012">
      <w:pPr>
        <w:pStyle w:val="8"/>
        <w:rPr>
          <w:rFonts w:hint="eastAsia"/>
          <w:lang w:eastAsia="zh-CN"/>
        </w:rPr>
      </w:pPr>
    </w:p>
    <w:p w14:paraId="2911BF31">
      <w:pPr>
        <w:pStyle w:val="8"/>
        <w:rPr>
          <w:rFonts w:hint="eastAsia"/>
          <w:lang w:eastAsia="zh-CN"/>
        </w:rPr>
      </w:pPr>
      <w:r>
        <w:rPr>
          <w:rFonts w:hint="eastAsia"/>
          <w:lang w:eastAsia="zh-CN"/>
        </w:rPr>
        <w:t>这个冷藏库，也不算是生产设备</w:t>
      </w:r>
    </w:p>
    <w:p w14:paraId="15C6B74D">
      <w:pPr>
        <w:pStyle w:val="8"/>
        <w:rPr>
          <w:rFonts w:hint="eastAsia"/>
          <w:lang w:eastAsia="zh-CN"/>
        </w:rPr>
      </w:pPr>
      <w:r>
        <w:rPr>
          <w:rFonts w:hint="eastAsia"/>
          <w:lang w:eastAsia="zh-CN"/>
        </w:rPr>
        <w:t>下面的一样</w:t>
      </w:r>
    </w:p>
  </w:comment>
  <w:comment w:id="49" w:author="Administrator" w:date="2025-10-03T22:11:41Z" w:initials="A">
    <w:p w14:paraId="27BC0F1A">
      <w:pPr>
        <w:pStyle w:val="8"/>
        <w:rPr>
          <w:rFonts w:hint="eastAsia" w:eastAsia="宋体"/>
          <w:lang w:eastAsia="zh-CN"/>
        </w:rPr>
      </w:pPr>
      <w:r>
        <w:rPr>
          <w:rFonts w:hint="eastAsia"/>
          <w:lang w:eastAsia="zh-CN"/>
        </w:rPr>
        <w:t>自己检验的话，是会产生一定危险废物的吧</w:t>
      </w:r>
    </w:p>
  </w:comment>
  <w:comment w:id="50" w:author="Administrator" w:date="2025-10-03T22:12:39Z" w:initials="A">
    <w:p w14:paraId="31B40888">
      <w:pPr>
        <w:pStyle w:val="8"/>
        <w:rPr>
          <w:rFonts w:hint="default" w:eastAsia="宋体"/>
          <w:lang w:val="en-US" w:eastAsia="zh-CN"/>
        </w:rPr>
      </w:pPr>
      <w:r>
        <w:rPr>
          <w:rFonts w:hint="eastAsia"/>
          <w:lang w:val="en-US" w:eastAsia="zh-CN"/>
        </w:rPr>
        <w:t>36平的仓库，能放得下200吨的米面吗？</w:t>
      </w:r>
    </w:p>
  </w:comment>
  <w:comment w:id="51" w:author="Administrator" w:date="2025-10-03T22:15:24Z" w:initials="A">
    <w:p w14:paraId="4874CC91">
      <w:pPr>
        <w:pStyle w:val="8"/>
        <w:rPr>
          <w:rFonts w:hint="default" w:eastAsia="宋体"/>
          <w:lang w:val="en-US" w:eastAsia="zh-CN"/>
        </w:rPr>
      </w:pPr>
      <w:r>
        <w:rPr>
          <w:rFonts w:hint="eastAsia"/>
          <w:lang w:eastAsia="zh-CN"/>
        </w:rPr>
        <w:t>同上，</w:t>
      </w:r>
      <w:r>
        <w:rPr>
          <w:rFonts w:hint="eastAsia"/>
          <w:lang w:val="en-US" w:eastAsia="zh-CN"/>
        </w:rPr>
        <w:t>25平的仓库，能放下200多吨肉食吗？</w:t>
      </w:r>
    </w:p>
  </w:comment>
  <w:comment w:id="52" w:author="Administrator" w:date="2025-10-03T22:26:11Z" w:initials="A">
    <w:p w14:paraId="45917AF5">
      <w:pPr>
        <w:pStyle w:val="8"/>
        <w:rPr>
          <w:rFonts w:hint="eastAsia"/>
          <w:lang w:val="en-US" w:eastAsia="zh-CN"/>
        </w:rPr>
      </w:pPr>
      <w:r>
        <w:rPr>
          <w:rFonts w:hint="eastAsia"/>
          <w:lang w:eastAsia="zh-CN"/>
        </w:rPr>
        <w:t>这个水，</w:t>
      </w:r>
      <w:r>
        <w:rPr>
          <w:rFonts w:hint="eastAsia"/>
          <w:lang w:val="en-US" w:eastAsia="zh-CN"/>
        </w:rPr>
        <w:t xml:space="preserve">  不会损耗， 反而有可能增加。</w:t>
      </w:r>
    </w:p>
    <w:p w14:paraId="0397EAA6">
      <w:pPr>
        <w:pStyle w:val="8"/>
        <w:rPr>
          <w:rFonts w:hint="default"/>
          <w:lang w:val="en-US" w:eastAsia="zh-CN"/>
        </w:rPr>
      </w:pPr>
      <w:r>
        <w:rPr>
          <w:rFonts w:hint="eastAsia"/>
          <w:lang w:val="en-US" w:eastAsia="zh-CN"/>
        </w:rPr>
        <w:t xml:space="preserve">   冷冻肉，解冻之后会产生血水（冰融化、肉中锁住的水分释放等），  所以这个系数不能取0.9，即便不考虑其他因素，系数也建议取1.0</w:t>
      </w:r>
    </w:p>
  </w:comment>
  <w:comment w:id="53" w:author="Administrator" w:date="2025-10-03T22:28:06Z" w:initials="A">
    <w:p w14:paraId="6A64BA62">
      <w:pPr>
        <w:pStyle w:val="8"/>
        <w:rPr>
          <w:rFonts w:hint="default" w:eastAsia="宋体"/>
          <w:lang w:val="en-US" w:eastAsia="zh-CN"/>
        </w:rPr>
      </w:pPr>
      <w:r>
        <w:rPr>
          <w:rFonts w:hint="eastAsia"/>
          <w:lang w:eastAsia="zh-CN"/>
        </w:rPr>
        <w:t>这个也建议取</w:t>
      </w:r>
      <w:r>
        <w:rPr>
          <w:rFonts w:hint="eastAsia"/>
          <w:lang w:val="en-US" w:eastAsia="zh-CN"/>
        </w:rPr>
        <w:t>1.0，   蔬菜清洗，清洗水一般损耗量不大</w:t>
      </w:r>
    </w:p>
  </w:comment>
  <w:comment w:id="54" w:author="Administrator" w:date="2025-10-03T22:35:11Z" w:initials="A">
    <w:p w14:paraId="6CC85731">
      <w:pPr>
        <w:pStyle w:val="8"/>
        <w:rPr>
          <w:rFonts w:hint="eastAsia"/>
          <w:lang w:val="en-US" w:eastAsia="zh-CN"/>
        </w:rPr>
      </w:pPr>
      <w:r>
        <w:rPr>
          <w:rFonts w:hint="eastAsia"/>
          <w:lang w:eastAsia="zh-CN"/>
        </w:rPr>
        <w:t>看总量的话，</w:t>
      </w:r>
      <w:r>
        <w:rPr>
          <w:rFonts w:hint="eastAsia"/>
          <w:lang w:val="en-US" w:eastAsia="zh-CN"/>
        </w:rPr>
        <w:t>660吨大米，  用185吨水来清洗， 偏少了吧？  能洗干净吗？</w:t>
      </w:r>
    </w:p>
    <w:p w14:paraId="33AC51E6">
      <w:pPr>
        <w:pStyle w:val="8"/>
        <w:rPr>
          <w:rFonts w:hint="default"/>
          <w:lang w:val="en-US" w:eastAsia="zh-CN"/>
        </w:rPr>
      </w:pPr>
    </w:p>
  </w:comment>
  <w:comment w:id="55" w:author="Administrator" w:date="2025-10-03T22:41:26Z" w:initials="A">
    <w:p w14:paraId="27F48F49">
      <w:pPr>
        <w:pStyle w:val="8"/>
        <w:rPr>
          <w:rFonts w:hint="default" w:eastAsia="宋体"/>
          <w:lang w:val="en-US" w:eastAsia="zh-CN"/>
        </w:rPr>
      </w:pPr>
      <w:r>
        <w:rPr>
          <w:rFonts w:hint="eastAsia"/>
          <w:lang w:eastAsia="zh-CN"/>
        </w:rPr>
        <w:t>同前面的</w:t>
      </w:r>
      <w:r>
        <w:rPr>
          <w:rFonts w:hint="eastAsia"/>
          <w:lang w:val="en-US" w:eastAsia="zh-CN"/>
        </w:rPr>
        <w:t xml:space="preserve"> 和面用水一样</w:t>
      </w:r>
    </w:p>
  </w:comment>
  <w:comment w:id="56" w:author="Administrator" w:date="2025-10-03T22:44:04Z" w:initials="A">
    <w:p w14:paraId="2D085D7C">
      <w:pPr>
        <w:pStyle w:val="8"/>
        <w:rPr>
          <w:rFonts w:hint="default" w:eastAsia="宋体"/>
          <w:lang w:val="en-US" w:eastAsia="zh-CN"/>
        </w:rPr>
      </w:pPr>
      <w:r>
        <w:rPr>
          <w:rFonts w:hint="eastAsia"/>
          <w:lang w:eastAsia="zh-CN"/>
        </w:rPr>
        <w:t>这个没看明白，</w:t>
      </w:r>
      <w:r>
        <w:rPr>
          <w:rFonts w:hint="eastAsia"/>
          <w:lang w:val="en-US" w:eastAsia="zh-CN"/>
        </w:rPr>
        <w:t xml:space="preserve">   后面工艺流程分析那边需要说清楚</w:t>
      </w:r>
    </w:p>
  </w:comment>
  <w:comment w:id="57" w:author="Administrator" w:date="2025-10-03T22:45:27Z" w:initials="A">
    <w:p w14:paraId="29ABBCFD">
      <w:pPr>
        <w:pStyle w:val="8"/>
        <w:rPr>
          <w:rFonts w:hint="default" w:eastAsia="宋体"/>
          <w:lang w:val="en-US" w:eastAsia="zh-CN"/>
        </w:rPr>
      </w:pPr>
      <w:r>
        <w:rPr>
          <w:rFonts w:hint="eastAsia"/>
          <w:lang w:eastAsia="zh-CN"/>
        </w:rPr>
        <w:t>不是全部都要冲洗的吧，</w:t>
      </w:r>
      <w:r>
        <w:rPr>
          <w:rFonts w:hint="eastAsia"/>
          <w:lang w:val="en-US" w:eastAsia="zh-CN"/>
        </w:rPr>
        <w:t xml:space="preserve">   至少原料库、辅料库、成品库、锅炉房等不需要吧</w:t>
      </w:r>
    </w:p>
  </w:comment>
  <w:comment w:id="58" w:author="Administrator" w:date="2025-10-03T22:52:14Z" w:initials="A">
    <w:p w14:paraId="29C2B1A5">
      <w:pPr>
        <w:pStyle w:val="8"/>
        <w:rPr>
          <w:rFonts w:hint="eastAsia"/>
          <w:lang w:val="en-US" w:eastAsia="zh-CN"/>
        </w:rPr>
      </w:pPr>
      <w:r>
        <w:rPr>
          <w:rFonts w:hint="eastAsia"/>
          <w:lang w:eastAsia="zh-CN"/>
        </w:rPr>
        <w:t>三者使用的纯水</w:t>
      </w:r>
      <w:r>
        <w:rPr>
          <w:rFonts w:hint="eastAsia"/>
          <w:lang w:val="en-US" w:eastAsia="zh-CN"/>
        </w:rPr>
        <w:t xml:space="preserve"> 是一样的吗？</w:t>
      </w:r>
    </w:p>
    <w:p w14:paraId="29F2D7BD">
      <w:pPr>
        <w:pStyle w:val="8"/>
        <w:rPr>
          <w:rFonts w:hint="eastAsia"/>
          <w:lang w:val="en-US" w:eastAsia="zh-CN"/>
        </w:rPr>
      </w:pPr>
    </w:p>
    <w:p w14:paraId="26BCB25B">
      <w:pPr>
        <w:pStyle w:val="8"/>
        <w:rPr>
          <w:rFonts w:hint="default"/>
          <w:lang w:val="en-US" w:eastAsia="zh-CN"/>
        </w:rPr>
      </w:pPr>
      <w:r>
        <w:rPr>
          <w:rFonts w:hint="eastAsia"/>
          <w:lang w:val="en-US" w:eastAsia="zh-CN"/>
        </w:rPr>
        <w:t>一般来说，锅炉用的软水、生产线用的纯水，是不太一样的。  核实一下，是否同一套制水设备产生</w:t>
      </w:r>
    </w:p>
  </w:comment>
  <w:comment w:id="59" w:author="Administrator" w:date="2025-10-03T22:53:28Z" w:initials="A">
    <w:p w14:paraId="726C030B">
      <w:pPr>
        <w:pStyle w:val="8"/>
        <w:rPr>
          <w:rFonts w:hint="default" w:eastAsia="宋体"/>
          <w:lang w:val="en-US" w:eastAsia="zh-CN"/>
        </w:rPr>
      </w:pPr>
      <w:r>
        <w:rPr>
          <w:rFonts w:hint="eastAsia"/>
          <w:lang w:eastAsia="zh-CN"/>
        </w:rPr>
        <w:t>实验室监测</w:t>
      </w:r>
      <w:r>
        <w:rPr>
          <w:rFonts w:hint="eastAsia"/>
          <w:lang w:val="en-US" w:eastAsia="zh-CN"/>
        </w:rPr>
        <w:t>检验什么指标，需要弄清楚。   是否会产生危险废物（实验废液、废试剂等）需要弄清楚</w:t>
      </w:r>
    </w:p>
  </w:comment>
  <w:comment w:id="60" w:author="Administrator" w:date="2025-10-03T22:56:24Z" w:initials="A">
    <w:p w14:paraId="1B02EA75">
      <w:pPr>
        <w:pStyle w:val="8"/>
        <w:rPr>
          <w:rFonts w:hint="eastAsia"/>
          <w:lang w:eastAsia="zh-CN"/>
        </w:rPr>
      </w:pPr>
      <w:r>
        <w:rPr>
          <w:rFonts w:hint="eastAsia"/>
          <w:lang w:eastAsia="zh-CN"/>
        </w:rPr>
        <w:t>根据前面意见，校核完善水平衡图</w:t>
      </w:r>
    </w:p>
    <w:p w14:paraId="6B309960">
      <w:pPr>
        <w:pStyle w:val="8"/>
        <w:rPr>
          <w:rFonts w:hint="eastAsia"/>
          <w:lang w:eastAsia="zh-CN"/>
        </w:rPr>
      </w:pPr>
    </w:p>
    <w:p w14:paraId="61CE28F9">
      <w:pPr>
        <w:pStyle w:val="8"/>
        <w:rPr>
          <w:rFonts w:hint="eastAsia"/>
          <w:lang w:val="en-US" w:eastAsia="zh-CN"/>
        </w:rPr>
      </w:pPr>
      <w:r>
        <w:rPr>
          <w:rFonts w:hint="eastAsia"/>
          <w:lang w:eastAsia="zh-CN"/>
        </w:rPr>
        <w:t>蒸馒头、蒸米饭等过程中，肯定是会有水蒸气散失的，</w:t>
      </w:r>
      <w:r>
        <w:rPr>
          <w:rFonts w:hint="eastAsia"/>
          <w:lang w:val="en-US" w:eastAsia="zh-CN"/>
        </w:rPr>
        <w:t xml:space="preserve"> 即水有损耗，这个需要标记出来。    </w:t>
      </w:r>
    </w:p>
    <w:p w14:paraId="3A03AFB5">
      <w:pPr>
        <w:pStyle w:val="8"/>
        <w:rPr>
          <w:rFonts w:hint="default"/>
          <w:lang w:val="en-US" w:eastAsia="zh-CN"/>
        </w:rPr>
      </w:pPr>
      <w:r>
        <w:rPr>
          <w:rFonts w:hint="eastAsia"/>
          <w:lang w:val="en-US" w:eastAsia="zh-CN"/>
        </w:rPr>
        <w:t xml:space="preserve">           如果是使用蒸箱的话，还会有少量的冷凝水产生，不考虑那么细也可以</w:t>
      </w:r>
    </w:p>
  </w:comment>
  <w:comment w:id="61" w:author="Administrator" w:date="2025-10-03T23:04:20Z" w:initials="A">
    <w:p w14:paraId="7A4F74FD">
      <w:pPr>
        <w:pStyle w:val="8"/>
        <w:rPr>
          <w:rFonts w:hint="eastAsia" w:eastAsia="宋体"/>
          <w:lang w:eastAsia="zh-CN"/>
        </w:rPr>
      </w:pPr>
      <w:r>
        <w:rPr>
          <w:rFonts w:hint="eastAsia"/>
          <w:lang w:eastAsia="zh-CN"/>
        </w:rPr>
        <w:t>前面算水平衡处，没有说有鲜肉，不需要解冻</w:t>
      </w:r>
    </w:p>
  </w:comment>
  <w:comment w:id="62" w:author="Administrator" w:date="2025-10-03T23:05:11Z" w:initials="A">
    <w:p w14:paraId="154A5196">
      <w:pPr>
        <w:pStyle w:val="8"/>
        <w:rPr>
          <w:rFonts w:hint="eastAsia" w:eastAsia="宋体"/>
          <w:lang w:eastAsia="zh-CN"/>
        </w:rPr>
      </w:pPr>
      <w:r>
        <w:rPr>
          <w:rFonts w:hint="eastAsia"/>
          <w:lang w:eastAsia="zh-CN"/>
        </w:rPr>
        <w:t>什么是嫩肉</w:t>
      </w:r>
    </w:p>
  </w:comment>
  <w:comment w:id="63" w:author="Administrator" w:date="2025-10-03T23:08:16Z" w:initials="A">
    <w:p w14:paraId="6DF2DA6E">
      <w:pPr>
        <w:pStyle w:val="8"/>
        <w:rPr>
          <w:rFonts w:hint="eastAsia" w:eastAsia="宋体"/>
          <w:lang w:eastAsia="zh-CN"/>
        </w:rPr>
      </w:pPr>
      <w:r>
        <w:rPr>
          <w:rFonts w:hint="eastAsia"/>
          <w:lang w:eastAsia="zh-CN"/>
        </w:rPr>
        <w:t>这个其他同类企业，多数是收集处理，有组织排放了</w:t>
      </w:r>
    </w:p>
  </w:comment>
  <w:comment w:id="64" w:author="Administrator" w:date="2025-10-03T23:11:31Z" w:initials="A">
    <w:p w14:paraId="231AD6BE">
      <w:pPr>
        <w:pStyle w:val="8"/>
        <w:rPr>
          <w:rFonts w:hint="eastAsia" w:eastAsia="宋体"/>
          <w:lang w:eastAsia="zh-CN"/>
        </w:rPr>
      </w:pPr>
      <w:r>
        <w:rPr>
          <w:rFonts w:hint="eastAsia"/>
          <w:lang w:eastAsia="zh-CN"/>
        </w:rPr>
        <w:t>这个地方不识别恶臭</w:t>
      </w:r>
    </w:p>
  </w:comment>
  <w:comment w:id="65" w:author="Administrator" w:date="2025-10-03T23:14:55Z" w:initials="A">
    <w:p w14:paraId="47FB4255">
      <w:pPr>
        <w:pStyle w:val="8"/>
        <w:rPr>
          <w:rFonts w:hint="default" w:eastAsia="宋体"/>
          <w:lang w:val="en-US" w:eastAsia="zh-CN"/>
        </w:rPr>
      </w:pPr>
      <w:r>
        <w:rPr>
          <w:rFonts w:hint="eastAsia"/>
          <w:lang w:eastAsia="zh-CN"/>
        </w:rPr>
        <w:t>具体哪些类型的单位？</w:t>
      </w:r>
      <w:r>
        <w:rPr>
          <w:rFonts w:hint="eastAsia"/>
          <w:lang w:val="en-US" w:eastAsia="zh-CN"/>
        </w:rPr>
        <w:t xml:space="preserve">   项目不是冷链输送？ 而是加热后供直接食用？</w:t>
      </w:r>
    </w:p>
  </w:comment>
  <w:comment w:id="66" w:author="Administrator" w:date="2025-10-03T23:21:14Z" w:initials="A">
    <w:p w14:paraId="0D953F37">
      <w:pPr>
        <w:pStyle w:val="8"/>
        <w:rPr>
          <w:rFonts w:hint="eastAsia" w:eastAsia="宋体"/>
          <w:lang w:eastAsia="zh-CN"/>
        </w:rPr>
      </w:pPr>
      <w:r>
        <w:rPr>
          <w:rFonts w:hint="eastAsia"/>
          <w:lang w:eastAsia="zh-CN"/>
        </w:rPr>
        <w:t>以出境断面上一年度的</w:t>
      </w:r>
      <w:r>
        <w:rPr>
          <w:rFonts w:hint="eastAsia"/>
          <w:lang w:val="en-US" w:eastAsia="zh-CN"/>
        </w:rPr>
        <w:t>均值来判断是否为水环境达标区</w:t>
      </w:r>
    </w:p>
  </w:comment>
  <w:comment w:id="67" w:author="Administrator" w:date="2025-10-03T23:27:42Z" w:initials="A">
    <w:p w14:paraId="108E46AF">
      <w:pPr>
        <w:pStyle w:val="8"/>
        <w:rPr>
          <w:rFonts w:hint="default" w:eastAsia="宋体"/>
          <w:lang w:val="en-US" w:eastAsia="zh-CN"/>
        </w:rPr>
      </w:pPr>
      <w:r>
        <w:rPr>
          <w:rFonts w:hint="eastAsia"/>
          <w:lang w:eastAsia="zh-CN"/>
        </w:rPr>
        <w:t>在开发区内，如果附近有点位数据可以引用的话，建议写一下。</w:t>
      </w:r>
      <w:r>
        <w:rPr>
          <w:rFonts w:hint="eastAsia"/>
          <w:lang w:val="en-US" w:eastAsia="zh-CN"/>
        </w:rPr>
        <w:t xml:space="preserve">         全部涉水车间，还有污水处理站，硬说不涉及地下水污染途径，有点牵强了</w:t>
      </w:r>
    </w:p>
  </w:comment>
  <w:comment w:id="68" w:author="Administrator" w:date="2025-10-03T23:28:43Z" w:initials="A">
    <w:p w14:paraId="6FDC1F77">
      <w:pPr>
        <w:pStyle w:val="8"/>
        <w:rPr>
          <w:rFonts w:hint="eastAsia" w:eastAsia="宋体"/>
          <w:lang w:eastAsia="zh-CN"/>
        </w:rPr>
      </w:pPr>
      <w:r>
        <w:rPr>
          <w:rFonts w:hint="eastAsia"/>
          <w:lang w:eastAsia="zh-CN"/>
        </w:rPr>
        <w:t>？？？</w:t>
      </w:r>
    </w:p>
  </w:comment>
  <w:comment w:id="69" w:author="Administrator" w:date="2025-10-03T23:28:59Z" w:initials="A">
    <w:p w14:paraId="19A212A9">
      <w:pPr>
        <w:pStyle w:val="8"/>
        <w:rPr>
          <w:rFonts w:hint="eastAsia" w:eastAsia="宋体"/>
          <w:lang w:eastAsia="zh-CN"/>
        </w:rPr>
      </w:pPr>
      <w:r>
        <w:rPr>
          <w:rFonts w:hint="eastAsia"/>
          <w:lang w:eastAsia="zh-CN"/>
        </w:rPr>
        <w:t>其他项目抄的内容，没有改过来吧</w:t>
      </w:r>
    </w:p>
  </w:comment>
  <w:comment w:id="70" w:author="Administrator" w:date="2025-10-03T23:30:56Z" w:initials="A">
    <w:p w14:paraId="5480B36F">
      <w:pPr>
        <w:pStyle w:val="8"/>
      </w:pPr>
      <w:r>
        <w:annotationRef/>
      </w:r>
    </w:p>
  </w:comment>
  <w:comment w:id="71" w:author="Administrator" w:date="2025-10-03T23:31:00Z" w:initials="A">
    <w:p w14:paraId="4C54D26E">
      <w:pPr>
        <w:pStyle w:val="8"/>
        <w:rPr>
          <w:rFonts w:hint="eastAsia" w:eastAsia="宋体"/>
          <w:lang w:eastAsia="zh-CN"/>
        </w:rPr>
      </w:pPr>
      <w:r>
        <w:rPr>
          <w:rFonts w:hint="eastAsia"/>
          <w:lang w:eastAsia="zh-CN"/>
        </w:rPr>
        <w:t>还有其他河流，比如九曲河</w:t>
      </w:r>
    </w:p>
  </w:comment>
  <w:comment w:id="72" w:author="Administrator" w:date="2025-10-03T23:30:52Z" w:initials="A">
    <w:p w14:paraId="37A537BE">
      <w:pPr>
        <w:pStyle w:val="8"/>
      </w:pPr>
      <w:r>
        <w:annotationRef/>
      </w:r>
    </w:p>
  </w:comment>
  <w:comment w:id="73" w:author="Administrator" w:date="2025-10-03T23:31:25Z" w:initials="A">
    <w:p w14:paraId="5EA18E53">
      <w:pPr>
        <w:pStyle w:val="8"/>
        <w:rPr>
          <w:rFonts w:hint="default" w:eastAsia="宋体"/>
          <w:lang w:val="en-US" w:eastAsia="zh-CN"/>
        </w:rPr>
      </w:pPr>
      <w:r>
        <w:rPr>
          <w:rFonts w:hint="eastAsia"/>
          <w:lang w:eastAsia="zh-CN"/>
        </w:rPr>
        <w:t>标准内容没有写完整，</w:t>
      </w:r>
      <w:r>
        <w:rPr>
          <w:rFonts w:hint="eastAsia"/>
          <w:lang w:val="en-US" w:eastAsia="zh-CN"/>
        </w:rPr>
        <w:t xml:space="preserve">   比如油烟净化效率，  大中小型等</w:t>
      </w:r>
    </w:p>
  </w:comment>
  <w:comment w:id="74" w:author="Administrator" w:date="2025-10-03T23:31:52Z" w:initials="A">
    <w:p w14:paraId="3BD3F912">
      <w:pPr>
        <w:pStyle w:val="8"/>
        <w:rPr>
          <w:rFonts w:hint="default" w:eastAsia="宋体"/>
          <w:lang w:val="en-US" w:eastAsia="zh-CN"/>
        </w:rPr>
      </w:pPr>
      <w:r>
        <w:rPr>
          <w:rFonts w:hint="eastAsia"/>
          <w:lang w:eastAsia="zh-CN"/>
        </w:rPr>
        <w:t>因子没有写完整，</w:t>
      </w:r>
      <w:r>
        <w:rPr>
          <w:rFonts w:hint="eastAsia"/>
          <w:lang w:val="en-US" w:eastAsia="zh-CN"/>
        </w:rPr>
        <w:t xml:space="preserve">   还有基准氧含量要求</w:t>
      </w:r>
    </w:p>
  </w:comment>
  <w:comment w:id="75" w:author="Administrator" w:date="2025-10-03T23:32:19Z" w:initials="A">
    <w:p w14:paraId="4A618376">
      <w:pPr>
        <w:pStyle w:val="8"/>
        <w:rPr>
          <w:rFonts w:hint="eastAsia" w:eastAsia="宋体"/>
          <w:lang w:eastAsia="zh-CN"/>
        </w:rPr>
      </w:pPr>
      <w:r>
        <w:rPr>
          <w:rFonts w:hint="eastAsia"/>
          <w:lang w:eastAsia="zh-CN"/>
        </w:rPr>
        <w:t>这个不是本项目直接的执行标准，不需要写</w:t>
      </w:r>
    </w:p>
  </w:comment>
  <w:comment w:id="76" w:author="Administrator" w:date="2025-10-03T23:32:32Z" w:initials="A">
    <w:p w14:paraId="5D01D75A">
      <w:pPr>
        <w:pStyle w:val="8"/>
        <w:rPr>
          <w:rFonts w:hint="default" w:eastAsia="宋体"/>
          <w:lang w:val="en-US" w:eastAsia="zh-CN"/>
        </w:rPr>
      </w:pPr>
      <w:r>
        <w:rPr>
          <w:rFonts w:hint="eastAsia"/>
          <w:lang w:eastAsia="zh-CN"/>
        </w:rPr>
        <w:t>开发区内，建议按照</w:t>
      </w:r>
      <w:r>
        <w:rPr>
          <w:rFonts w:hint="eastAsia"/>
          <w:lang w:val="en-US" w:eastAsia="zh-CN"/>
        </w:rPr>
        <w:t>3类走</w:t>
      </w:r>
    </w:p>
  </w:comment>
  <w:comment w:id="77" w:author="Administrator" w:date="2025-10-03T23:35:00Z" w:initials="A">
    <w:p w14:paraId="2ACDCA58">
      <w:pPr>
        <w:pStyle w:val="8"/>
        <w:numPr>
          <w:ilvl w:val="0"/>
          <w:numId w:val="2"/>
        </w:numPr>
        <w:rPr>
          <w:rFonts w:hint="eastAsia"/>
          <w:lang w:val="en-US" w:eastAsia="zh-CN"/>
        </w:rPr>
      </w:pPr>
      <w:r>
        <w:rPr>
          <w:rFonts w:hint="eastAsia"/>
          <w:lang w:val="en-US" w:eastAsia="zh-CN"/>
        </w:rPr>
        <w:t>增加计算过程，以便于知道总量指标的核算口径</w:t>
      </w:r>
    </w:p>
    <w:p w14:paraId="691B7AFD">
      <w:pPr>
        <w:pStyle w:val="8"/>
        <w:numPr>
          <w:ilvl w:val="0"/>
          <w:numId w:val="2"/>
        </w:numPr>
        <w:rPr>
          <w:rFonts w:hint="eastAsia"/>
          <w:lang w:val="en-US" w:eastAsia="zh-CN"/>
        </w:rPr>
      </w:pPr>
      <w:r>
        <w:rPr>
          <w:rFonts w:hint="eastAsia"/>
          <w:lang w:val="en-US" w:eastAsia="zh-CN"/>
        </w:rPr>
        <w:t>废气，有组织、无组织明确分开（餐饮行业天然气燃烧废气很少算总量指标的，包括油烟里面的NMHC）</w:t>
      </w:r>
    </w:p>
    <w:p w14:paraId="19E764B4">
      <w:pPr>
        <w:pStyle w:val="8"/>
        <w:numPr>
          <w:ilvl w:val="0"/>
          <w:numId w:val="2"/>
        </w:numPr>
        <w:rPr>
          <w:rFonts w:hint="eastAsia"/>
          <w:lang w:val="en-US" w:eastAsia="zh-CN"/>
        </w:rPr>
      </w:pPr>
      <w:r>
        <w:rPr>
          <w:rFonts w:hint="eastAsia"/>
          <w:lang w:val="en-US" w:eastAsia="zh-CN"/>
        </w:rPr>
        <w:t>废水，给出厂区总排放口许可排放量，给出总量控制指标</w:t>
      </w:r>
    </w:p>
  </w:comment>
  <w:comment w:id="78" w:author="Administrator" w:date="2025-10-03T23:39:09Z" w:initials="A">
    <w:p w14:paraId="5F40A6D1">
      <w:pPr>
        <w:pStyle w:val="8"/>
        <w:rPr>
          <w:rFonts w:hint="eastAsia"/>
          <w:lang w:val="en-US" w:eastAsia="zh-CN"/>
        </w:rPr>
      </w:pPr>
      <w:r>
        <w:rPr>
          <w:rFonts w:hint="eastAsia"/>
          <w:lang w:eastAsia="zh-CN"/>
        </w:rPr>
        <w:t>根据前面</w:t>
      </w:r>
      <w:r>
        <w:rPr>
          <w:rFonts w:hint="eastAsia"/>
          <w:lang w:val="en-US" w:eastAsia="zh-CN"/>
        </w:rPr>
        <w:t>意见修改</w:t>
      </w:r>
    </w:p>
    <w:p w14:paraId="701D51E3">
      <w:pPr>
        <w:pStyle w:val="8"/>
        <w:rPr>
          <w:rFonts w:hint="default"/>
          <w:lang w:val="en-US" w:eastAsia="zh-CN"/>
        </w:rPr>
      </w:pPr>
      <w:r>
        <w:rPr>
          <w:rFonts w:hint="eastAsia"/>
          <w:lang w:val="en-US" w:eastAsia="zh-CN"/>
        </w:rPr>
        <w:t xml:space="preserve">  或者沟通审批部门的意见</w:t>
      </w:r>
    </w:p>
  </w:comment>
  <w:comment w:id="79" w:author="Administrator" w:date="2025-10-03T23:41:42Z" w:initials="A">
    <w:p w14:paraId="38ED5781">
      <w:pPr>
        <w:pStyle w:val="8"/>
        <w:rPr>
          <w:rFonts w:hint="default" w:eastAsia="宋体"/>
          <w:lang w:val="en-US" w:eastAsia="zh-CN"/>
        </w:rPr>
      </w:pPr>
      <w:r>
        <w:rPr>
          <w:rFonts w:hint="eastAsia"/>
          <w:lang w:eastAsia="zh-CN"/>
        </w:rPr>
        <w:t>核实系数，</w:t>
      </w:r>
      <w:r>
        <w:rPr>
          <w:rFonts w:hint="eastAsia"/>
          <w:lang w:val="en-US" w:eastAsia="zh-CN"/>
        </w:rPr>
        <w:t xml:space="preserve">  一般我们食堂油烟系数都取到X%的数量级了，这个千分之几是否太小</w:t>
      </w:r>
    </w:p>
  </w:comment>
  <w:comment w:id="80" w:author="Administrator" w:date="2025-10-03T23:44:23Z" w:initials="A">
    <w:p w14:paraId="6E1AF3FB">
      <w:pPr>
        <w:pStyle w:val="8"/>
        <w:rPr>
          <w:rFonts w:hint="default" w:eastAsia="宋体"/>
          <w:lang w:val="en-US" w:eastAsia="zh-CN"/>
        </w:rPr>
      </w:pPr>
      <w:r>
        <w:rPr>
          <w:rFonts w:hint="eastAsia"/>
          <w:lang w:eastAsia="zh-CN"/>
        </w:rPr>
        <w:t>食品行业的煎炸炒作业，是和居民家庭、工厂餐厅不太一样的，</w:t>
      </w:r>
      <w:r>
        <w:rPr>
          <w:rFonts w:hint="eastAsia"/>
          <w:lang w:val="en-US" w:eastAsia="zh-CN"/>
        </w:rPr>
        <w:t xml:space="preserve">   正常来说，炒菜等基本上是连续作业的吧？？？  一天工作8小时，这个炒锅基本上运行8小时</w:t>
      </w:r>
    </w:p>
  </w:comment>
  <w:comment w:id="81" w:author="Administrator" w:date="2025-10-03T23:40:47Z" w:initials="A">
    <w:p w14:paraId="1D8C0C1D">
      <w:pPr>
        <w:pStyle w:val="8"/>
        <w:rPr>
          <w:rFonts w:hint="default" w:eastAsia="宋体"/>
          <w:lang w:val="en-US" w:eastAsia="zh-CN"/>
        </w:rPr>
      </w:pPr>
      <w:r>
        <w:rPr>
          <w:rFonts w:hint="eastAsia"/>
          <w:lang w:eastAsia="zh-CN"/>
        </w:rPr>
        <w:t>每个基准灶头的排风量大概在</w:t>
      </w:r>
      <w:r>
        <w:rPr>
          <w:rFonts w:hint="eastAsia"/>
          <w:lang w:val="en-US" w:eastAsia="zh-CN"/>
        </w:rPr>
        <w:t>2000左右，这样算下来的话，基准排风量大概要46000m</w:t>
      </w:r>
      <w:r>
        <w:rPr>
          <w:rFonts w:hint="eastAsia"/>
          <w:vertAlign w:val="superscript"/>
          <w:lang w:val="en-US" w:eastAsia="zh-CN"/>
        </w:rPr>
        <w:t>3</w:t>
      </w:r>
      <w:r>
        <w:rPr>
          <w:rFonts w:hint="eastAsia"/>
          <w:lang w:val="en-US" w:eastAsia="zh-CN"/>
        </w:rPr>
        <w:t>/h</w:t>
      </w:r>
    </w:p>
  </w:comment>
  <w:comment w:id="82" w:author="Administrator" w:date="2025-10-03T23:52:50Z" w:initials="A">
    <w:p w14:paraId="06B6E075">
      <w:pPr>
        <w:pStyle w:val="8"/>
        <w:rPr>
          <w:rFonts w:hint="eastAsia" w:eastAsia="宋体"/>
          <w:lang w:eastAsia="zh-CN"/>
        </w:rPr>
      </w:pPr>
      <w:r>
        <w:rPr>
          <w:rFonts w:hint="eastAsia"/>
          <w:lang w:eastAsia="zh-CN"/>
        </w:rPr>
        <w:t>合计量，还是单根</w:t>
      </w:r>
      <w:r>
        <w:rPr>
          <w:rFonts w:hint="eastAsia"/>
          <w:lang w:val="en-US" w:eastAsia="zh-CN"/>
        </w:rPr>
        <w:t>排气筒的量</w:t>
      </w:r>
    </w:p>
  </w:comment>
  <w:comment w:id="83" w:author="Administrator" w:date="2025-10-03T23:57:25Z" w:initials="A">
    <w:p w14:paraId="3FE0E8F0">
      <w:pPr>
        <w:pStyle w:val="8"/>
        <w:rPr>
          <w:rFonts w:hint="eastAsia" w:eastAsia="宋体"/>
          <w:lang w:eastAsia="zh-CN"/>
        </w:rPr>
      </w:pPr>
      <w:r>
        <w:rPr>
          <w:rFonts w:hint="eastAsia"/>
          <w:lang w:eastAsia="zh-CN"/>
        </w:rPr>
        <w:t>对非甲烷总烃的处理效果是多少</w:t>
      </w:r>
    </w:p>
  </w:comment>
  <w:comment w:id="84" w:author="Administrator" w:date="2025-10-04T00:05:06Z" w:initials="A">
    <w:p w14:paraId="1A323952">
      <w:pPr>
        <w:pStyle w:val="8"/>
        <w:rPr>
          <w:rFonts w:hint="eastAsia"/>
          <w:lang w:val="en-US" w:eastAsia="zh-CN"/>
        </w:rPr>
      </w:pPr>
      <w:r>
        <w:rPr>
          <w:rFonts w:hint="eastAsia"/>
          <w:lang w:eastAsia="zh-CN"/>
        </w:rPr>
        <w:t>低氮燃烧器是每个锅炉</w:t>
      </w:r>
      <w:r>
        <w:rPr>
          <w:rFonts w:hint="eastAsia"/>
          <w:lang w:val="en-US" w:eastAsia="zh-CN"/>
        </w:rPr>
        <w:t>1台，无法公用</w:t>
      </w:r>
    </w:p>
    <w:p w14:paraId="5A364948">
      <w:pPr>
        <w:pStyle w:val="8"/>
        <w:rPr>
          <w:rFonts w:hint="eastAsia"/>
          <w:lang w:val="en-US" w:eastAsia="zh-CN"/>
        </w:rPr>
      </w:pPr>
    </w:p>
    <w:p w14:paraId="1A9EC122">
      <w:pPr>
        <w:pStyle w:val="8"/>
        <w:rPr>
          <w:rFonts w:hint="default"/>
          <w:lang w:val="en-US" w:eastAsia="zh-CN"/>
        </w:rPr>
      </w:pPr>
      <w:r>
        <w:rPr>
          <w:rFonts w:hint="eastAsia"/>
          <w:lang w:val="en-US" w:eastAsia="zh-CN"/>
        </w:rPr>
        <w:t>烟气再循环也是一样</w:t>
      </w:r>
    </w:p>
  </w:comment>
  <w:comment w:id="85" w:author="Administrator" w:date="2025-10-04T00:12:15Z" w:initials="A">
    <w:p w14:paraId="58C9BA17">
      <w:pPr>
        <w:pStyle w:val="8"/>
        <w:rPr>
          <w:rFonts w:hint="eastAsia" w:eastAsia="宋体"/>
          <w:lang w:eastAsia="zh-CN"/>
        </w:rPr>
      </w:pPr>
      <w:r>
        <w:rPr>
          <w:rFonts w:hint="eastAsia"/>
          <w:lang w:eastAsia="zh-CN"/>
        </w:rPr>
        <w:t>按实际水量算</w:t>
      </w:r>
    </w:p>
  </w:comment>
  <w:comment w:id="86" w:author="Administrator" w:date="2025-10-04T00:14:49Z" w:initials="A">
    <w:p w14:paraId="63E7C252">
      <w:pPr>
        <w:pStyle w:val="8"/>
        <w:rPr>
          <w:rFonts w:hint="default" w:eastAsia="宋体"/>
          <w:lang w:val="en-US" w:eastAsia="zh-CN"/>
        </w:rPr>
      </w:pPr>
      <w:r>
        <w:rPr>
          <w:rFonts w:hint="eastAsia"/>
          <w:lang w:eastAsia="zh-CN"/>
        </w:rPr>
        <w:t>锅炉的设置，和企业再沟通一下，</w:t>
      </w:r>
      <w:r>
        <w:rPr>
          <w:rFonts w:hint="eastAsia"/>
          <w:lang w:val="en-US" w:eastAsia="zh-CN"/>
        </w:rPr>
        <w:t xml:space="preserve">   是否能合并一下规模，不设置这么多非常小的蒸汽发生器</w:t>
      </w:r>
    </w:p>
  </w:comment>
  <w:comment w:id="87" w:author="Administrator" w:date="2025-10-04T00:16:39Z" w:initials="A">
    <w:p w14:paraId="79255534">
      <w:pPr>
        <w:pStyle w:val="8"/>
        <w:rPr>
          <w:rFonts w:hint="eastAsia"/>
          <w:lang w:eastAsia="zh-CN"/>
        </w:rPr>
      </w:pPr>
      <w:r>
        <w:rPr>
          <w:rFonts w:hint="eastAsia"/>
          <w:lang w:eastAsia="zh-CN"/>
        </w:rPr>
        <w:t>根据前面水平衡那边的意见修改</w:t>
      </w:r>
    </w:p>
    <w:p w14:paraId="1F9C079B">
      <w:pPr>
        <w:pStyle w:val="8"/>
        <w:rPr>
          <w:rFonts w:hint="eastAsia"/>
          <w:lang w:eastAsia="zh-CN"/>
        </w:rPr>
      </w:pPr>
    </w:p>
    <w:p w14:paraId="35DA799F">
      <w:pPr>
        <w:pStyle w:val="8"/>
        <w:rPr>
          <w:rFonts w:hint="eastAsia"/>
          <w:lang w:eastAsia="zh-CN"/>
        </w:rPr>
      </w:pPr>
      <w:r>
        <w:rPr>
          <w:rFonts w:hint="eastAsia"/>
          <w:lang w:eastAsia="zh-CN"/>
        </w:rPr>
        <w:t>实际上不需要这么重复</w:t>
      </w:r>
    </w:p>
  </w:comment>
  <w:comment w:id="88" w:author="Administrator" w:date="2025-10-04T00:29:09Z" w:initials="A">
    <w:p w14:paraId="2D8E5B5A">
      <w:pPr>
        <w:pStyle w:val="8"/>
        <w:rPr>
          <w:rFonts w:hint="eastAsia" w:eastAsia="宋体"/>
          <w:lang w:eastAsia="zh-CN"/>
        </w:rPr>
      </w:pPr>
      <w:r>
        <w:rPr>
          <w:rFonts w:hint="eastAsia"/>
          <w:lang w:eastAsia="zh-CN"/>
        </w:rPr>
        <w:t>隔油池，还是隔油调节池</w:t>
      </w:r>
    </w:p>
  </w:comment>
  <w:comment w:id="89" w:author="Administrator" w:date="2025-10-04T00:25:48Z" w:initials="A">
    <w:p w14:paraId="476B0D94">
      <w:pPr>
        <w:pStyle w:val="8"/>
        <w:rPr>
          <w:rFonts w:hint="default" w:eastAsia="宋体"/>
          <w:lang w:val="en-US" w:eastAsia="zh-CN"/>
        </w:rPr>
      </w:pPr>
      <w:r>
        <w:rPr>
          <w:rFonts w:hint="eastAsia"/>
          <w:lang w:eastAsia="zh-CN"/>
        </w:rPr>
        <w:t>单纯的</w:t>
      </w:r>
      <w:r>
        <w:rPr>
          <w:rFonts w:hint="eastAsia"/>
          <w:lang w:val="en-US" w:eastAsia="zh-CN"/>
        </w:rPr>
        <w:t>AO要么是脱氮，要么是除磷，   要想都具有，需要AAO</w:t>
      </w:r>
    </w:p>
  </w:comment>
  <w:comment w:id="90" w:author="Administrator" w:date="2025-10-04T00:29:48Z" w:initials="A">
    <w:p w14:paraId="3C6C904C">
      <w:pPr>
        <w:pStyle w:val="8"/>
        <w:rPr>
          <w:rFonts w:hint="eastAsia" w:eastAsia="宋体"/>
          <w:lang w:eastAsia="zh-CN"/>
        </w:rPr>
      </w:pPr>
      <w:r>
        <w:rPr>
          <w:rFonts w:hint="eastAsia"/>
          <w:lang w:eastAsia="zh-CN"/>
        </w:rPr>
        <w:t>污泥怎么脱水</w:t>
      </w:r>
    </w:p>
  </w:comment>
  <w:comment w:id="91" w:author="Administrator" w:date="2025-10-04T00:31:45Z" w:initials="A">
    <w:p w14:paraId="0B4C1F8C">
      <w:pPr>
        <w:pStyle w:val="8"/>
        <w:rPr>
          <w:rFonts w:hint="eastAsia"/>
          <w:lang w:val="en-US" w:eastAsia="zh-CN"/>
        </w:rPr>
      </w:pPr>
      <w:r>
        <w:rPr>
          <w:rFonts w:hint="eastAsia"/>
          <w:lang w:eastAsia="zh-CN"/>
        </w:rPr>
        <w:t>效率不需要算那么高，</w:t>
      </w:r>
      <w:r>
        <w:rPr>
          <w:rFonts w:hint="eastAsia"/>
          <w:lang w:val="en-US" w:eastAsia="zh-CN"/>
        </w:rPr>
        <w:t xml:space="preserve">  保证稳定达标就行</w:t>
      </w:r>
    </w:p>
    <w:p w14:paraId="1F980256">
      <w:pPr>
        <w:pStyle w:val="8"/>
        <w:rPr>
          <w:rFonts w:hint="eastAsia"/>
          <w:lang w:val="en-US" w:eastAsia="zh-CN"/>
        </w:rPr>
      </w:pPr>
    </w:p>
    <w:p w14:paraId="47E0589C">
      <w:pPr>
        <w:pStyle w:val="8"/>
        <w:rPr>
          <w:rFonts w:hint="eastAsia"/>
          <w:lang w:val="en-US" w:eastAsia="zh-CN"/>
        </w:rPr>
      </w:pPr>
      <w:r>
        <w:rPr>
          <w:rFonts w:hint="eastAsia"/>
          <w:lang w:val="en-US" w:eastAsia="zh-CN"/>
        </w:rPr>
        <w:t>这个污水站运行好了还行，运行不好效果也难</w:t>
      </w:r>
    </w:p>
    <w:p w14:paraId="09928858">
      <w:pPr>
        <w:pStyle w:val="8"/>
        <w:rPr>
          <w:rFonts w:hint="eastAsia"/>
          <w:lang w:val="en-US" w:eastAsia="zh-CN"/>
        </w:rPr>
      </w:pPr>
    </w:p>
    <w:p w14:paraId="79E05094">
      <w:pPr>
        <w:pStyle w:val="8"/>
        <w:rPr>
          <w:rFonts w:hint="default"/>
          <w:lang w:val="en-US" w:eastAsia="zh-CN"/>
        </w:rPr>
      </w:pPr>
      <w:r>
        <w:rPr>
          <w:rFonts w:hint="eastAsia"/>
          <w:lang w:val="en-US" w:eastAsia="zh-CN"/>
        </w:rPr>
        <w:t>尤其是冬天时候，解冻水、洗菜水等温度低，血水之类的还很容易凝固</w:t>
      </w:r>
    </w:p>
  </w:comment>
  <w:comment w:id="92" w:author="Administrator" w:date="2025-10-04T00:35:33Z" w:initials="A">
    <w:p w14:paraId="76BECBB0">
      <w:pPr>
        <w:pStyle w:val="8"/>
        <w:rPr>
          <w:rFonts w:hint="eastAsia"/>
          <w:lang w:eastAsia="zh-CN"/>
        </w:rPr>
      </w:pPr>
      <w:r>
        <w:rPr>
          <w:rFonts w:hint="eastAsia"/>
          <w:lang w:eastAsia="zh-CN"/>
        </w:rPr>
        <w:t>有没有车间外的高噪声设备，比如排烟风机等</w:t>
      </w:r>
    </w:p>
    <w:p w14:paraId="11F1D799">
      <w:pPr>
        <w:pStyle w:val="8"/>
        <w:rPr>
          <w:rFonts w:hint="eastAsia"/>
          <w:lang w:eastAsia="zh-CN"/>
        </w:rPr>
      </w:pPr>
    </w:p>
    <w:p w14:paraId="5DC3D1C8">
      <w:pPr>
        <w:pStyle w:val="8"/>
        <w:rPr>
          <w:rFonts w:hint="default"/>
          <w:lang w:val="en-US" w:eastAsia="zh-CN"/>
        </w:rPr>
      </w:pPr>
      <w:r>
        <w:rPr>
          <w:rFonts w:hint="eastAsia"/>
          <w:lang w:eastAsia="zh-CN"/>
        </w:rPr>
        <w:t>以及污水站的风机</w:t>
      </w:r>
      <w:r>
        <w:rPr>
          <w:rFonts w:hint="eastAsia"/>
          <w:lang w:val="en-US" w:eastAsia="zh-CN"/>
        </w:rPr>
        <w:t xml:space="preserve"> 、水泵等</w:t>
      </w:r>
    </w:p>
  </w:comment>
  <w:comment w:id="93" w:author="Administrator" w:date="2025-10-04T00:37:36Z" w:initials="A">
    <w:p w14:paraId="3A554667">
      <w:pPr>
        <w:pStyle w:val="8"/>
        <w:rPr>
          <w:rFonts w:hint="default" w:eastAsia="宋体"/>
          <w:lang w:val="en-US" w:eastAsia="zh-CN"/>
        </w:rPr>
      </w:pPr>
      <w:r>
        <w:rPr>
          <w:rFonts w:hint="eastAsia"/>
          <w:lang w:eastAsia="zh-CN"/>
        </w:rPr>
        <w:t>预测模式、预测公式写完整，</w:t>
      </w:r>
      <w:r>
        <w:rPr>
          <w:rFonts w:hint="eastAsia"/>
          <w:lang w:val="en-US" w:eastAsia="zh-CN"/>
        </w:rPr>
        <w:t xml:space="preserve">    车间内外等效衰减，车间外几何衰减，各贡献值叠加预测 ，等等</w:t>
      </w:r>
    </w:p>
  </w:comment>
  <w:comment w:id="94" w:author="Administrator" w:date="2025-10-04T00:40:38Z" w:initials="A">
    <w:p w14:paraId="7A2ED5B0">
      <w:pPr>
        <w:pStyle w:val="8"/>
        <w:rPr>
          <w:rFonts w:hint="eastAsia"/>
          <w:lang w:val="en-US" w:eastAsia="zh-CN"/>
        </w:rPr>
      </w:pPr>
      <w:r>
        <w:rPr>
          <w:rFonts w:hint="eastAsia"/>
          <w:lang w:eastAsia="zh-CN"/>
        </w:rPr>
        <w:t>根据前面意见，</w:t>
      </w:r>
      <w:r>
        <w:rPr>
          <w:rFonts w:hint="eastAsia"/>
          <w:lang w:val="en-US" w:eastAsia="zh-CN"/>
        </w:rPr>
        <w:t xml:space="preserve">  完善固废暂存场所</w:t>
      </w:r>
    </w:p>
    <w:p w14:paraId="123B1C83">
      <w:pPr>
        <w:pStyle w:val="8"/>
        <w:rPr>
          <w:rFonts w:hint="default"/>
          <w:lang w:val="en-US" w:eastAsia="zh-CN"/>
        </w:rPr>
      </w:pPr>
      <w:r>
        <w:rPr>
          <w:rFonts w:hint="eastAsia"/>
          <w:lang w:val="en-US" w:eastAsia="zh-CN"/>
        </w:rPr>
        <w:t>暂存管理要求，以及末端处理处置去向</w:t>
      </w:r>
    </w:p>
  </w:comment>
  <w:comment w:id="95" w:author="Administrator" w:date="2025-10-04T00:41:33Z" w:initials="A">
    <w:p w14:paraId="35DC4636">
      <w:pPr>
        <w:pStyle w:val="8"/>
      </w:pPr>
      <w:r>
        <w:annotationRef/>
      </w:r>
    </w:p>
  </w:comment>
  <w:comment w:id="96" w:author="Administrator" w:date="2025-10-04T00:41:43Z" w:initials="A">
    <w:p w14:paraId="4FF08815">
      <w:pPr>
        <w:pStyle w:val="8"/>
        <w:rPr>
          <w:rFonts w:hint="default" w:eastAsia="宋体"/>
          <w:lang w:val="en-US" w:eastAsia="zh-CN"/>
        </w:rPr>
      </w:pPr>
      <w:r>
        <w:rPr>
          <w:rFonts w:hint="eastAsia"/>
          <w:lang w:eastAsia="zh-CN"/>
        </w:rPr>
        <w:t>叶子菜还好，</w:t>
      </w:r>
      <w:r>
        <w:rPr>
          <w:rFonts w:hint="eastAsia"/>
          <w:lang w:val="en-US" w:eastAsia="zh-CN"/>
        </w:rPr>
        <w:t xml:space="preserve">   根茎类应该能去掉很多吧</w:t>
      </w:r>
    </w:p>
  </w:comment>
  <w:comment w:id="97" w:author="Administrator" w:date="2025-10-04T00:43:06Z" w:initials="A">
    <w:p w14:paraId="0E61B0AD">
      <w:pPr>
        <w:pStyle w:val="8"/>
        <w:rPr>
          <w:rFonts w:hint="default" w:eastAsia="宋体"/>
          <w:lang w:val="en-US" w:eastAsia="zh-CN"/>
        </w:rPr>
      </w:pPr>
      <w:r>
        <w:rPr>
          <w:rFonts w:hint="eastAsia"/>
          <w:lang w:eastAsia="zh-CN"/>
        </w:rPr>
        <w:t>这个也利用不了吧，</w:t>
      </w:r>
      <w:r>
        <w:rPr>
          <w:rFonts w:hint="eastAsia"/>
          <w:lang w:val="en-US" w:eastAsia="zh-CN"/>
        </w:rPr>
        <w:t xml:space="preserve">    削皮下来的，包括腐烂变质的菜叶子</w:t>
      </w:r>
    </w:p>
  </w:comment>
  <w:comment w:id="98" w:author="Administrator" w:date="2025-10-04T00:43:38Z" w:initials="A">
    <w:p w14:paraId="3FFB3487">
      <w:pPr>
        <w:pStyle w:val="8"/>
        <w:rPr>
          <w:rFonts w:hint="eastAsia" w:eastAsia="宋体"/>
          <w:lang w:eastAsia="zh-CN"/>
        </w:rPr>
      </w:pPr>
      <w:r>
        <w:rPr>
          <w:rFonts w:hint="eastAsia"/>
          <w:lang w:eastAsia="zh-CN"/>
        </w:rPr>
        <w:t>根据油烟产生量来算</w:t>
      </w:r>
    </w:p>
  </w:comment>
  <w:comment w:id="99" w:author="Administrator" w:date="2025-10-04T00:44:49Z" w:initials="A">
    <w:p w14:paraId="61333F3D">
      <w:pPr>
        <w:pStyle w:val="8"/>
        <w:rPr>
          <w:rFonts w:hint="default" w:eastAsia="宋体"/>
          <w:lang w:val="en-US" w:eastAsia="zh-CN"/>
        </w:rPr>
      </w:pPr>
      <w:r>
        <w:rPr>
          <w:rFonts w:hint="eastAsia"/>
          <w:lang w:eastAsia="zh-CN"/>
        </w:rPr>
        <w:t>脱水方式是什么</w:t>
      </w:r>
    </w:p>
  </w:comment>
  <w:comment w:id="100" w:author="Administrator" w:date="2025-10-04T00:45:57Z" w:initials="A">
    <w:p w14:paraId="40FA0BD8">
      <w:pPr>
        <w:pStyle w:val="8"/>
        <w:rPr>
          <w:rFonts w:hint="default" w:eastAsia="宋体"/>
          <w:lang w:val="en-US" w:eastAsia="zh-CN"/>
        </w:rPr>
      </w:pPr>
      <w:r>
        <w:rPr>
          <w:rFonts w:hint="eastAsia"/>
          <w:lang w:eastAsia="zh-CN"/>
        </w:rPr>
        <w:t>一般固废暂存的地方，应该不是</w:t>
      </w:r>
      <w:r>
        <w:rPr>
          <w:rFonts w:hint="eastAsia"/>
          <w:lang w:val="en-US" w:eastAsia="zh-CN"/>
        </w:rPr>
        <w:t>1处，    性质、状态、含水率等差异很大，  无法全部集中放在一块，  还是应该根据各类固废的特点，分别暂存</w:t>
      </w:r>
    </w:p>
  </w:comment>
  <w:comment w:id="101" w:author="Administrator" w:date="2025-10-04T00:47:17Z" w:initials="A">
    <w:p w14:paraId="15ED23CA">
      <w:pPr>
        <w:pStyle w:val="8"/>
        <w:rPr>
          <w:rFonts w:hint="default" w:eastAsia="宋体"/>
          <w:lang w:val="en-US" w:eastAsia="zh-CN"/>
        </w:rPr>
      </w:pPr>
      <w:r>
        <w:rPr>
          <w:rFonts w:hint="eastAsia"/>
          <w:lang w:eastAsia="zh-CN"/>
        </w:rPr>
        <w:t>对于本项目来说，危险废物暂存还好说一点，内容比较简单，</w:t>
      </w:r>
      <w:r>
        <w:rPr>
          <w:rFonts w:hint="eastAsia"/>
          <w:lang w:val="en-US" w:eastAsia="zh-CN"/>
        </w:rPr>
        <w:t xml:space="preserve">  一般固废暂存需要再细化分析一下</w:t>
      </w:r>
    </w:p>
  </w:comment>
  <w:comment w:id="102" w:author="Administrator" w:date="2025-10-04T00:51:32Z" w:initials="A">
    <w:p w14:paraId="460CFE36">
      <w:pPr>
        <w:pStyle w:val="8"/>
        <w:rPr>
          <w:rFonts w:hint="eastAsia"/>
          <w:lang w:val="en-US" w:eastAsia="zh-CN"/>
        </w:rPr>
      </w:pPr>
      <w:r>
        <w:rPr>
          <w:rFonts w:hint="eastAsia"/>
          <w:lang w:eastAsia="zh-CN"/>
        </w:rPr>
        <w:t>围堰不现实，</w:t>
      </w:r>
      <w:r>
        <w:rPr>
          <w:rFonts w:hint="eastAsia"/>
          <w:lang w:val="en-US" w:eastAsia="zh-CN"/>
        </w:rPr>
        <w:t xml:space="preserve">    可以设防漏托盘，如果是很大的桶，储存量大了，也可以设一个小应急收集池、导流沟</w:t>
      </w:r>
    </w:p>
    <w:p w14:paraId="7B866B2E">
      <w:pPr>
        <w:pStyle w:val="8"/>
        <w:rPr>
          <w:rFonts w:hint="default"/>
          <w:lang w:val="en-US" w:eastAsia="zh-CN"/>
        </w:rPr>
      </w:pPr>
      <w:r>
        <w:rPr>
          <w:rFonts w:hint="eastAsia"/>
          <w:lang w:val="en-US" w:eastAsia="zh-CN"/>
        </w:rPr>
        <w:t>润滑油的桶一般都比较小，  设围堰不好操作</w:t>
      </w:r>
    </w:p>
  </w:comment>
  <w:comment w:id="103" w:author="Administrator" w:date="2025-10-04T00:52:55Z" w:initials="A">
    <w:p w14:paraId="0F3AE7C4">
      <w:pPr>
        <w:pStyle w:val="8"/>
        <w:rPr>
          <w:rFonts w:hint="eastAsia" w:eastAsia="宋体"/>
          <w:lang w:eastAsia="zh-CN"/>
        </w:rPr>
      </w:pPr>
      <w:r>
        <w:rPr>
          <w:rFonts w:hint="eastAsia"/>
          <w:lang w:eastAsia="zh-CN"/>
        </w:rPr>
        <w:t>这个不能让泄漏出去，进入到厂区的事故池</w:t>
      </w:r>
    </w:p>
  </w:comment>
  <w:comment w:id="104" w:author="Administrator" w:date="2025-10-04T00:56:22Z" w:initials="A">
    <w:p w14:paraId="22E839B2">
      <w:pPr>
        <w:pStyle w:val="8"/>
        <w:rPr>
          <w:rFonts w:hint="eastAsia"/>
          <w:lang w:eastAsia="zh-CN"/>
        </w:rPr>
      </w:pPr>
      <w:r>
        <w:rPr>
          <w:rFonts w:hint="eastAsia"/>
          <w:lang w:eastAsia="zh-CN"/>
        </w:rPr>
        <w:t>这种项目不这样算，直接结合风险源点来提出具体的防范措施就行</w:t>
      </w:r>
    </w:p>
    <w:p w14:paraId="62BA4BA3">
      <w:pPr>
        <w:pStyle w:val="8"/>
        <w:rPr>
          <w:rFonts w:hint="eastAsia"/>
          <w:lang w:eastAsia="zh-CN"/>
        </w:rPr>
      </w:pPr>
    </w:p>
    <w:p w14:paraId="1F052194">
      <w:pPr>
        <w:pStyle w:val="8"/>
        <w:rPr>
          <w:rFonts w:hint="eastAsia"/>
          <w:lang w:eastAsia="zh-CN"/>
        </w:rPr>
      </w:pPr>
    </w:p>
  </w:comment>
  <w:comment w:id="105" w:author="Administrator" w:date="2025-10-04T00:58:06Z" w:initials="A">
    <w:p w14:paraId="69767974">
      <w:pPr>
        <w:pStyle w:val="8"/>
        <w:rPr>
          <w:rFonts w:hint="eastAsia" w:eastAsia="宋体"/>
          <w:lang w:eastAsia="zh-CN"/>
        </w:rPr>
      </w:pPr>
      <w:r>
        <w:rPr>
          <w:rFonts w:hint="eastAsia"/>
          <w:lang w:eastAsia="zh-CN"/>
        </w:rPr>
        <w:t>注意措施的合理性</w:t>
      </w:r>
    </w:p>
  </w:comment>
  <w:comment w:id="106" w:author="Administrator" w:date="2025-10-04T01:05:31Z" w:initials="A">
    <w:p w14:paraId="61B93069">
      <w:pPr>
        <w:pStyle w:val="8"/>
        <w:rPr>
          <w:rFonts w:hint="eastAsia" w:eastAsia="宋体"/>
          <w:lang w:eastAsia="zh-CN"/>
        </w:rPr>
      </w:pPr>
      <w:r>
        <w:rPr>
          <w:rFonts w:hint="eastAsia"/>
          <w:lang w:eastAsia="zh-CN"/>
        </w:rPr>
        <w:t>前面是多少</w:t>
      </w:r>
    </w:p>
  </w:comment>
  <w:comment w:id="107" w:author="Administrator" w:date="2025-10-04T01:03:10Z" w:initials="A">
    <w:p w14:paraId="336E3FB7">
      <w:pPr>
        <w:pStyle w:val="8"/>
        <w:rPr>
          <w:rFonts w:hint="default" w:eastAsia="宋体"/>
          <w:lang w:val="en-US" w:eastAsia="zh-CN"/>
        </w:rPr>
      </w:pPr>
      <w:r>
        <w:rPr>
          <w:rFonts w:hint="eastAsia"/>
          <w:lang w:eastAsia="zh-CN"/>
        </w:rPr>
        <w:t>项目</w:t>
      </w:r>
      <w:r>
        <w:rPr>
          <w:rFonts w:hint="eastAsia"/>
          <w:lang w:val="en-US" w:eastAsia="zh-CN"/>
        </w:rPr>
        <w:t>基本上所有生产内容都在封闭车间内吧，  基本上室外没有生产、储存内容，初期雨水是否还有必要收集呢？？？</w:t>
      </w:r>
    </w:p>
  </w:comment>
  <w:comment w:id="108" w:author="Administrator" w:date="2025-10-04T01:01:46Z" w:initials="A">
    <w:p w14:paraId="13CC83EA">
      <w:pPr>
        <w:pStyle w:val="8"/>
        <w:rPr>
          <w:rFonts w:hint="default" w:eastAsia="宋体"/>
          <w:lang w:val="en-US" w:eastAsia="zh-CN"/>
        </w:rPr>
      </w:pPr>
      <w:r>
        <w:rPr>
          <w:rFonts w:hint="eastAsia"/>
          <w:lang w:val="en-US" w:eastAsia="zh-CN"/>
        </w:rPr>
        <w:t>现实操作性如何？         企业会建一个500方事故池吗</w:t>
      </w:r>
    </w:p>
  </w:comment>
  <w:comment w:id="109" w:author="zhou" w:date="2025-10-05T12:45:50Z" w:initials="">
    <w:p w14:paraId="1B0D4447">
      <w:pPr>
        <w:pStyle w:val="8"/>
        <w:rPr>
          <w:rFonts w:hint="default" w:eastAsia="宋体"/>
          <w:lang w:val="en-US" w:eastAsia="zh-CN"/>
        </w:rPr>
      </w:pPr>
      <w:r>
        <w:rPr>
          <w:rFonts w:hint="eastAsia"/>
          <w:lang w:eastAsia="zh-CN"/>
        </w:rPr>
        <w:t>主要内容放这边就行，</w:t>
      </w:r>
      <w:r>
        <w:rPr>
          <w:rFonts w:hint="eastAsia"/>
          <w:lang w:val="en-US" w:eastAsia="zh-CN"/>
        </w:rPr>
        <w:t xml:space="preserve">   不需要把前面内容一字不拉的全部搬到这里，   否则还写前面的东西干嘛</w:t>
      </w:r>
    </w:p>
    <w:p w14:paraId="0BD17CE4">
      <w:pPr>
        <w:pStyle w:val="8"/>
      </w:pPr>
      <w:bookmarkStart w:id="20" w:name="_GoBack"/>
      <w:bookmarkEnd w:id="20"/>
    </w:p>
  </w:comment>
  <w:comment w:id="110" w:author="zhou" w:date="2025-10-05T12:44:14Z" w:initials="">
    <w:p w14:paraId="42D15F3B">
      <w:pPr>
        <w:pStyle w:val="8"/>
        <w:rPr>
          <w:rFonts w:hint="default" w:eastAsia="宋体"/>
          <w:lang w:val="en-US" w:eastAsia="zh-CN"/>
        </w:rPr>
      </w:pPr>
      <w:r>
        <w:rPr>
          <w:rFonts w:hint="eastAsia"/>
          <w:lang w:eastAsia="zh-CN"/>
        </w:rPr>
        <w:t>主要内容放这边就行，</w:t>
      </w:r>
      <w:r>
        <w:rPr>
          <w:rFonts w:hint="eastAsia"/>
          <w:lang w:val="en-US" w:eastAsia="zh-CN"/>
        </w:rPr>
        <w:t xml:space="preserve">   不需要把前面内容一字不拉的全部搬到这里，   否则还写前面的东西干嘛</w:t>
      </w:r>
    </w:p>
  </w:comment>
  <w:comment w:id="111" w:author="Administrator" w:date="2025-10-04T01:10:30Z" w:initials="A">
    <w:p w14:paraId="0BE7DD53">
      <w:pPr>
        <w:pStyle w:val="8"/>
        <w:rPr>
          <w:rFonts w:hint="eastAsia" w:eastAsia="宋体"/>
          <w:lang w:eastAsia="zh-CN"/>
        </w:rPr>
      </w:pPr>
      <w:r>
        <w:rPr>
          <w:rFonts w:hint="eastAsia"/>
          <w:lang w:eastAsia="zh-CN"/>
        </w:rPr>
        <w:t>重点本项目厂区周边情况，不是想念食品</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44375902" w15:done="0"/>
  <w15:commentEx w15:paraId="04C99949" w15:done="0"/>
  <w15:commentEx w15:paraId="37937827" w15:done="0"/>
  <w15:commentEx w15:paraId="55BEA9E4" w15:done="0"/>
  <w15:commentEx w15:paraId="4841321A" w15:done="0"/>
  <w15:commentEx w15:paraId="547D5437" w15:done="0"/>
  <w15:commentEx w15:paraId="1E41086E" w15:done="0"/>
  <w15:commentEx w15:paraId="3652842C" w15:done="0"/>
  <w15:commentEx w15:paraId="0E710F4E" w15:done="0"/>
  <w15:commentEx w15:paraId="51D65003" w15:done="0"/>
  <w15:commentEx w15:paraId="3DF84B55" w15:done="0"/>
  <w15:commentEx w15:paraId="4C3F8C26" w15:done="0"/>
  <w15:commentEx w15:paraId="69D19360" w15:done="0"/>
  <w15:commentEx w15:paraId="4CDA91B1" w15:done="0"/>
  <w15:commentEx w15:paraId="3256DC7F" w15:done="0"/>
  <w15:commentEx w15:paraId="623B817E" w15:done="0"/>
  <w15:commentEx w15:paraId="7AC13017" w15:done="0"/>
  <w15:commentEx w15:paraId="318FDC01" w15:done="0"/>
  <w15:commentEx w15:paraId="30563F09" w15:done="0"/>
  <w15:commentEx w15:paraId="682E2340" w15:done="0"/>
  <w15:commentEx w15:paraId="7DDD5292" w15:done="0"/>
  <w15:commentEx w15:paraId="1DFB4256" w15:done="0"/>
  <w15:commentEx w15:paraId="6EAEC0C1" w15:done="0"/>
  <w15:commentEx w15:paraId="16C982BB" w15:done="0"/>
  <w15:commentEx w15:paraId="4EC8D58E" w15:done="0"/>
  <w15:commentEx w15:paraId="746C9A03" w15:done="0"/>
  <w15:commentEx w15:paraId="13E06F9F" w15:done="0"/>
  <w15:commentEx w15:paraId="23003201" w15:done="0"/>
  <w15:commentEx w15:paraId="32416D63" w15:done="0"/>
  <w15:commentEx w15:paraId="008D735B" w15:done="0"/>
  <w15:commentEx w15:paraId="255E743A" w15:done="0"/>
  <w15:commentEx w15:paraId="289181F3" w15:done="0"/>
  <w15:commentEx w15:paraId="2A9EDAFB" w15:done="0"/>
  <w15:commentEx w15:paraId="5FD3C0BF" w15:done="0"/>
  <w15:commentEx w15:paraId="4B2D0B8E" w15:done="0"/>
  <w15:commentEx w15:paraId="3B5AEB48" w15:done="0"/>
  <w15:commentEx w15:paraId="56C0DEBA" w15:done="0"/>
  <w15:commentEx w15:paraId="277D3A3F" w15:done="0"/>
  <w15:commentEx w15:paraId="7DABB2F2" w15:done="0"/>
  <w15:commentEx w15:paraId="3D32ACEF" w15:done="0"/>
  <w15:commentEx w15:paraId="2B861D86" w15:done="0"/>
  <w15:commentEx w15:paraId="5A6795E9" w15:done="0"/>
  <w15:commentEx w15:paraId="30F2C6EA" w15:done="0"/>
  <w15:commentEx w15:paraId="4A89050D" w15:done="0"/>
  <w15:commentEx w15:paraId="159AA63F" w15:done="0"/>
  <w15:commentEx w15:paraId="3E742724" w15:done="0"/>
  <w15:commentEx w15:paraId="0C0CF4EB" w15:done="0"/>
  <w15:commentEx w15:paraId="647499E6" w15:done="0"/>
  <w15:commentEx w15:paraId="15C6B74D" w15:done="0"/>
  <w15:commentEx w15:paraId="27BC0F1A" w15:done="0"/>
  <w15:commentEx w15:paraId="31B40888" w15:done="0"/>
  <w15:commentEx w15:paraId="4874CC91" w15:done="0"/>
  <w15:commentEx w15:paraId="0397EAA6" w15:done="0"/>
  <w15:commentEx w15:paraId="6A64BA62" w15:done="0"/>
  <w15:commentEx w15:paraId="33AC51E6" w15:done="0"/>
  <w15:commentEx w15:paraId="27F48F49" w15:done="0"/>
  <w15:commentEx w15:paraId="2D085D7C" w15:done="0"/>
  <w15:commentEx w15:paraId="29ABBCFD" w15:done="0"/>
  <w15:commentEx w15:paraId="26BCB25B" w15:done="0"/>
  <w15:commentEx w15:paraId="726C030B" w15:done="0"/>
  <w15:commentEx w15:paraId="3A03AFB5" w15:done="0"/>
  <w15:commentEx w15:paraId="7A4F74FD" w15:done="0"/>
  <w15:commentEx w15:paraId="154A5196" w15:done="0"/>
  <w15:commentEx w15:paraId="6DF2DA6E" w15:done="0"/>
  <w15:commentEx w15:paraId="231AD6BE" w15:done="0"/>
  <w15:commentEx w15:paraId="47FB4255" w15:done="0"/>
  <w15:commentEx w15:paraId="0D953F37" w15:done="0"/>
  <w15:commentEx w15:paraId="108E46AF" w15:done="0"/>
  <w15:commentEx w15:paraId="6FDC1F77" w15:done="0"/>
  <w15:commentEx w15:paraId="19A212A9" w15:done="0"/>
  <w15:commentEx w15:paraId="5480B36F" w15:done="0"/>
  <w15:commentEx w15:paraId="4C54D26E" w15:done="0"/>
  <w15:commentEx w15:paraId="37A537BE" w15:done="0"/>
  <w15:commentEx w15:paraId="5EA18E53" w15:done="0"/>
  <w15:commentEx w15:paraId="3BD3F912" w15:done="0"/>
  <w15:commentEx w15:paraId="4A618376" w15:done="0"/>
  <w15:commentEx w15:paraId="5D01D75A" w15:done="0"/>
  <w15:commentEx w15:paraId="19E764B4" w15:done="0"/>
  <w15:commentEx w15:paraId="701D51E3" w15:done="0"/>
  <w15:commentEx w15:paraId="38ED5781" w15:done="0"/>
  <w15:commentEx w15:paraId="6E1AF3FB" w15:done="0"/>
  <w15:commentEx w15:paraId="1D8C0C1D" w15:done="0"/>
  <w15:commentEx w15:paraId="06B6E075" w15:done="0"/>
  <w15:commentEx w15:paraId="3FE0E8F0" w15:done="0"/>
  <w15:commentEx w15:paraId="1A9EC122" w15:done="0"/>
  <w15:commentEx w15:paraId="58C9BA17" w15:done="0"/>
  <w15:commentEx w15:paraId="63E7C252" w15:done="0"/>
  <w15:commentEx w15:paraId="35DA799F" w15:done="0"/>
  <w15:commentEx w15:paraId="2D8E5B5A" w15:done="0"/>
  <w15:commentEx w15:paraId="476B0D94" w15:done="0"/>
  <w15:commentEx w15:paraId="3C6C904C" w15:done="0"/>
  <w15:commentEx w15:paraId="79E05094" w15:done="0"/>
  <w15:commentEx w15:paraId="5DC3D1C8" w15:done="0"/>
  <w15:commentEx w15:paraId="3A554667" w15:done="0"/>
  <w15:commentEx w15:paraId="123B1C83" w15:done="0"/>
  <w15:commentEx w15:paraId="35DC4636" w15:done="0"/>
  <w15:commentEx w15:paraId="4FF08815" w15:done="0"/>
  <w15:commentEx w15:paraId="0E61B0AD" w15:done="0"/>
  <w15:commentEx w15:paraId="3FFB3487" w15:done="0"/>
  <w15:commentEx w15:paraId="61333F3D" w15:done="0"/>
  <w15:commentEx w15:paraId="40FA0BD8" w15:done="0"/>
  <w15:commentEx w15:paraId="15ED23CA" w15:done="0"/>
  <w15:commentEx w15:paraId="7B866B2E" w15:done="0"/>
  <w15:commentEx w15:paraId="0F3AE7C4" w15:done="0"/>
  <w15:commentEx w15:paraId="1F052194" w15:done="0"/>
  <w15:commentEx w15:paraId="69767974" w15:done="0"/>
  <w15:commentEx w15:paraId="61B93069" w15:done="0"/>
  <w15:commentEx w15:paraId="336E3FB7" w15:done="0"/>
  <w15:commentEx w15:paraId="13CC83EA" w15:done="0"/>
  <w15:commentEx w15:paraId="0BD17CE4" w15:done="0"/>
  <w15:commentEx w15:paraId="42D15F3B" w15:done="0"/>
  <w15:commentEx w15:paraId="0BE7DD53"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3CF0608D-6E71-4707-8455-1452AA6C865D}"/>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2" w:fontKey="{BFC086E0-66DC-4E11-90E0-5B85B35AC218}"/>
  </w:font>
  <w:font w:name="Impact">
    <w:panose1 w:val="020B0806030902050204"/>
    <w:charset w:val="00"/>
    <w:family w:val="swiss"/>
    <w:pitch w:val="default"/>
    <w:sig w:usb0="00000287" w:usb1="00000000" w:usb2="00000000" w:usb3="00000000" w:csb0="2000009F" w:csb1="DFD70000"/>
  </w:font>
  <w:font w:name="方正小标宋_GBK">
    <w:panose1 w:val="02000000000000000000"/>
    <w:charset w:val="86"/>
    <w:family w:val="script"/>
    <w:pitch w:val="default"/>
    <w:sig w:usb0="A00002BF" w:usb1="38CF7CFA" w:usb2="00082016" w:usb3="00000000" w:csb0="00040001" w:csb1="00000000"/>
    <w:embedRegular r:id="rId3" w:fontKey="{A094F6CE-2666-4E9B-9AF4-163F2F000C7F}"/>
  </w:font>
  <w:font w:name="楷体_GB2312">
    <w:panose1 w:val="02010609030101010101"/>
    <w:charset w:val="86"/>
    <w:family w:val="modern"/>
    <w:pitch w:val="default"/>
    <w:sig w:usb0="00000001" w:usb1="080E0000" w:usb2="00000000" w:usb3="00000000" w:csb0="00040000" w:csb1="00000000"/>
    <w:embedRegular r:id="rId4" w:fontKey="{CA4F0CBD-23AE-4FD7-97FF-AC0DD5030C50}"/>
  </w:font>
  <w:font w:name="Times">
    <w:altName w:val="Times New Roman"/>
    <w:panose1 w:val="02020603050405020304"/>
    <w:charset w:val="00"/>
    <w:family w:val="roman"/>
    <w:pitch w:val="default"/>
    <w:sig w:usb0="00000000" w:usb1="00000000" w:usb2="00000009" w:usb3="00000000" w:csb0="000001FF" w:csb1="00000000"/>
    <w:embedRegular r:id="rId5" w:fontKey="{34F573BC-5B80-4787-9140-7EB38D911EC6}"/>
  </w:font>
  <w:font w:name="楷体">
    <w:panose1 w:val="02010609060101010101"/>
    <w:charset w:val="86"/>
    <w:family w:val="modern"/>
    <w:pitch w:val="default"/>
    <w:sig w:usb0="800002BF" w:usb1="38CF7CFA" w:usb2="00000016" w:usb3="00000000" w:csb0="00040001" w:csb1="00000000"/>
    <w:embedRegular r:id="rId6" w:fontKey="{63E7B23F-BEE2-4408-B2F1-D0A1FA398D52}"/>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E7C70">
    <w:pPr>
      <w:pStyle w:val="1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7AE84">
    <w:pPr>
      <w:pStyle w:val="13"/>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AFB8D2">
                          <w:pPr>
                            <w:pStyle w:val="13"/>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51AFB8D2">
                    <w:pPr>
                      <w:pStyle w:val="13"/>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301418">
    <w:pPr>
      <w:pStyle w:val="13"/>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C3984">
    <w:pPr>
      <w:pStyle w:val="13"/>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3536D9">
    <w:pPr>
      <w:pStyle w:val="14"/>
      <w:tabs>
        <w:tab w:val="clear" w:pos="4153"/>
      </w:tabs>
      <w:ind w:firstLine="341"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7F35CB"/>
    <w:multiLevelType w:val="singleLevel"/>
    <w:tmpl w:val="B77F35CB"/>
    <w:lvl w:ilvl="0" w:tentative="0">
      <w:start w:val="1"/>
      <w:numFmt w:val="decimal"/>
      <w:suff w:val="nothing"/>
      <w:lvlText w:val="%1、"/>
      <w:lvlJc w:val="left"/>
    </w:lvl>
  </w:abstractNum>
  <w:abstractNum w:abstractNumId="1">
    <w:nsid w:val="D951A1DD"/>
    <w:multiLevelType w:val="singleLevel"/>
    <w:tmpl w:val="D951A1DD"/>
    <w:lvl w:ilvl="0" w:tentative="0">
      <w:start w:val="2"/>
      <w:numFmt w:val="chineseCounting"/>
      <w:suff w:val="nothing"/>
      <w:lvlText w:val="%1、"/>
      <w:lvlJc w:val="left"/>
      <w:rPr>
        <w:rFonts w:hint="eastAsia"/>
      </w:rPr>
    </w:lvl>
  </w:abstractNum>
  <w:abstractNum w:abstractNumId="2">
    <w:nsid w:val="DEC48421"/>
    <w:multiLevelType w:val="singleLevel"/>
    <w:tmpl w:val="DEC48421"/>
    <w:lvl w:ilvl="0" w:tentative="0">
      <w:start w:val="1"/>
      <w:numFmt w:val="decimal"/>
      <w:suff w:val="nothing"/>
      <w:lvlText w:val="%1、"/>
      <w:lvlJc w:val="left"/>
    </w:lvl>
  </w:abstractNum>
  <w:num w:numId="1">
    <w:abstractNumId w:val="0"/>
  </w:num>
  <w:num w:numId="2">
    <w:abstractNumId w:val="2"/>
  </w:num>
  <w:num w:numId="3">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dministrator">
    <w15:presenceInfo w15:providerId="None" w15:userId="Administrator"/>
  </w15:person>
  <w15:person w15:author="zhou">
    <w15:presenceInfo w15:providerId="WPS Office" w15:userId="6814467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trackRevisions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1E313AF"/>
    <w:rsid w:val="04123CC2"/>
    <w:rsid w:val="07CB4A68"/>
    <w:rsid w:val="08D20288"/>
    <w:rsid w:val="09BB4602"/>
    <w:rsid w:val="11B325A1"/>
    <w:rsid w:val="12013065"/>
    <w:rsid w:val="13620D28"/>
    <w:rsid w:val="13800D5E"/>
    <w:rsid w:val="138A2A0C"/>
    <w:rsid w:val="14F76B5C"/>
    <w:rsid w:val="16CE4F2C"/>
    <w:rsid w:val="173D6F76"/>
    <w:rsid w:val="1AAD2FD7"/>
    <w:rsid w:val="1D6175B8"/>
    <w:rsid w:val="200163E2"/>
    <w:rsid w:val="212733E0"/>
    <w:rsid w:val="215D246D"/>
    <w:rsid w:val="235B0986"/>
    <w:rsid w:val="26683B5D"/>
    <w:rsid w:val="26F760F2"/>
    <w:rsid w:val="289E2394"/>
    <w:rsid w:val="30EA5DA0"/>
    <w:rsid w:val="32C33202"/>
    <w:rsid w:val="379D7682"/>
    <w:rsid w:val="38624A88"/>
    <w:rsid w:val="38796AD2"/>
    <w:rsid w:val="3C550D03"/>
    <w:rsid w:val="3E167B96"/>
    <w:rsid w:val="3F7C6D6B"/>
    <w:rsid w:val="3FF1318E"/>
    <w:rsid w:val="403B51B6"/>
    <w:rsid w:val="40A575AF"/>
    <w:rsid w:val="42152D93"/>
    <w:rsid w:val="4359067E"/>
    <w:rsid w:val="456967D5"/>
    <w:rsid w:val="47871408"/>
    <w:rsid w:val="49D17577"/>
    <w:rsid w:val="4A513648"/>
    <w:rsid w:val="4BA75E5D"/>
    <w:rsid w:val="4CBA727B"/>
    <w:rsid w:val="4F225CE3"/>
    <w:rsid w:val="4FB22261"/>
    <w:rsid w:val="519B7D0C"/>
    <w:rsid w:val="51C557E0"/>
    <w:rsid w:val="551D35CF"/>
    <w:rsid w:val="55483A69"/>
    <w:rsid w:val="56622CEB"/>
    <w:rsid w:val="56C65BD3"/>
    <w:rsid w:val="58ED4F64"/>
    <w:rsid w:val="5A9244A8"/>
    <w:rsid w:val="5BF92A56"/>
    <w:rsid w:val="5CBA16BC"/>
    <w:rsid w:val="5EDF36A4"/>
    <w:rsid w:val="60412A1A"/>
    <w:rsid w:val="65A333D2"/>
    <w:rsid w:val="6ACE412E"/>
    <w:rsid w:val="70277BFA"/>
    <w:rsid w:val="7056581B"/>
    <w:rsid w:val="731E47E6"/>
    <w:rsid w:val="742C791C"/>
    <w:rsid w:val="74301A46"/>
    <w:rsid w:val="77827E93"/>
    <w:rsid w:val="78742102"/>
    <w:rsid w:val="78D92BAF"/>
    <w:rsid w:val="79FD6043"/>
    <w:rsid w:val="7B89447D"/>
    <w:rsid w:val="7BD071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autoSpaceDE w:val="0"/>
      <w:autoSpaceDN w:val="0"/>
      <w:spacing w:before="100" w:beforeLines="0" w:beforeAutospacing="0" w:after="100" w:afterLines="0" w:afterAutospacing="0" w:line="240" w:lineRule="auto"/>
      <w:ind w:firstLine="0" w:firstLineChars="0"/>
      <w:outlineLvl w:val="0"/>
    </w:pPr>
    <w:rPr>
      <w:rFonts w:ascii="Times New Roman" w:hAnsi="Times New Roman" w:eastAsia="宋体" w:cs="Times New Roman"/>
      <w:b/>
      <w:kern w:val="44"/>
      <w:sz w:val="36"/>
    </w:rPr>
  </w:style>
  <w:style w:type="paragraph" w:styleId="3">
    <w:name w:val="heading 2"/>
    <w:basedOn w:val="1"/>
    <w:next w:val="1"/>
    <w:link w:val="46"/>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semiHidden/>
    <w:unhideWhenUsed/>
    <w:qFormat/>
    <w:uiPriority w:val="0"/>
    <w:pPr>
      <w:keepNext/>
      <w:keepLines/>
      <w:autoSpaceDE w:val="0"/>
      <w:autoSpaceDN w:val="0"/>
      <w:spacing w:beforeLines="0" w:beforeAutospacing="0" w:afterLines="0" w:afterAutospacing="0" w:line="360" w:lineRule="auto"/>
      <w:ind w:firstLine="0" w:firstLineChars="0"/>
      <w:outlineLvl w:val="2"/>
    </w:pPr>
    <w:rPr>
      <w:rFonts w:ascii="Times New Roman" w:hAnsi="Times New Roman" w:eastAsia="宋体"/>
      <w:b/>
      <w:sz w:val="24"/>
    </w:rPr>
  </w:style>
  <w:style w:type="paragraph" w:styleId="5">
    <w:name w:val="heading 4"/>
    <w:basedOn w:val="1"/>
    <w:next w:val="1"/>
    <w:semiHidden/>
    <w:unhideWhenUsed/>
    <w:qFormat/>
    <w:uiPriority w:val="0"/>
    <w:pPr>
      <w:keepNext/>
      <w:keepLines/>
      <w:spacing w:beforeLines="0" w:beforeAutospacing="0" w:afterLines="0" w:afterAutospacing="0" w:line="360" w:lineRule="auto"/>
      <w:ind w:firstLine="0" w:firstLineChars="0"/>
      <w:outlineLvl w:val="3"/>
    </w:pPr>
    <w:rPr>
      <w:rFonts w:ascii="Times New Roman" w:hAnsi="Times New Roman" w:eastAsia="宋体" w:cs="Times New Roman"/>
      <w:b/>
    </w:rPr>
  </w:style>
  <w:style w:type="character" w:default="1" w:styleId="22">
    <w:name w:val="Default Paragraph Font"/>
    <w:semiHidden/>
    <w:qFormat/>
    <w:uiPriority w:val="0"/>
  </w:style>
  <w:style w:type="table" w:default="1" w:styleId="20">
    <w:name w:val="Normal Table"/>
    <w:autoRedefine/>
    <w:semiHidden/>
    <w:qFormat/>
    <w:uiPriority w:val="0"/>
    <w:tblPr>
      <w:tblCellMar>
        <w:top w:w="0" w:type="dxa"/>
        <w:left w:w="108" w:type="dxa"/>
        <w:bottom w:w="0" w:type="dxa"/>
        <w:right w:w="108" w:type="dxa"/>
      </w:tblCellMar>
    </w:tblPr>
  </w:style>
  <w:style w:type="paragraph" w:styleId="6">
    <w:name w:val="Note Heading"/>
    <w:basedOn w:val="1"/>
    <w:next w:val="1"/>
    <w:qFormat/>
    <w:uiPriority w:val="0"/>
    <w:pPr>
      <w:jc w:val="center"/>
    </w:pPr>
    <w:rPr>
      <w:kern w:val="0"/>
      <w:sz w:val="20"/>
    </w:rPr>
  </w:style>
  <w:style w:type="paragraph" w:styleId="7">
    <w:name w:val="Normal Indent"/>
    <w:basedOn w:val="1"/>
    <w:qFormat/>
    <w:uiPriority w:val="0"/>
    <w:pPr>
      <w:ind w:firstLine="200" w:firstLineChars="200"/>
    </w:pPr>
    <w:rPr>
      <w:sz w:val="28"/>
      <w:szCs w:val="24"/>
    </w:rPr>
  </w:style>
  <w:style w:type="paragraph" w:styleId="8">
    <w:name w:val="annotation text"/>
    <w:basedOn w:val="1"/>
    <w:qFormat/>
    <w:uiPriority w:val="0"/>
    <w:pPr>
      <w:jc w:val="left"/>
    </w:pPr>
  </w:style>
  <w:style w:type="paragraph" w:styleId="9">
    <w:name w:val="Body Text"/>
    <w:basedOn w:val="1"/>
    <w:next w:val="1"/>
    <w:qFormat/>
    <w:uiPriority w:val="0"/>
    <w:pPr>
      <w:widowControl/>
      <w:snapToGrid w:val="0"/>
      <w:spacing w:before="60" w:after="160" w:line="259" w:lineRule="auto"/>
      <w:ind w:right="113"/>
    </w:pPr>
    <w:rPr>
      <w:kern w:val="0"/>
      <w:sz w:val="18"/>
      <w:szCs w:val="20"/>
    </w:rPr>
  </w:style>
  <w:style w:type="paragraph" w:styleId="10">
    <w:name w:val="Block Text"/>
    <w:basedOn w:val="1"/>
    <w:next w:val="1"/>
    <w:qFormat/>
    <w:uiPriority w:val="0"/>
    <w:pPr>
      <w:autoSpaceDE w:val="0"/>
      <w:autoSpaceDN w:val="0"/>
      <w:adjustRightInd w:val="0"/>
      <w:spacing w:before="1" w:line="537" w:lineRule="exact"/>
      <w:ind w:left="88" w:right="6"/>
    </w:pPr>
    <w:rPr>
      <w:kern w:val="0"/>
      <w:sz w:val="28"/>
    </w:rPr>
  </w:style>
  <w:style w:type="paragraph" w:styleId="11">
    <w:name w:val="Plain Text"/>
    <w:basedOn w:val="1"/>
    <w:qFormat/>
    <w:uiPriority w:val="0"/>
    <w:rPr>
      <w:rFonts w:ascii="宋体" w:hAnsi="Courier New"/>
    </w:rPr>
  </w:style>
  <w:style w:type="paragraph" w:styleId="12">
    <w:name w:val="Body Text Indent 2"/>
    <w:basedOn w:val="1"/>
    <w:qFormat/>
    <w:uiPriority w:val="0"/>
    <w:pPr>
      <w:spacing w:line="360" w:lineRule="auto"/>
      <w:ind w:firstLine="540"/>
    </w:pPr>
    <w:rPr>
      <w:sz w:val="24"/>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List"/>
    <w:basedOn w:val="1"/>
    <w:qFormat/>
    <w:uiPriority w:val="0"/>
    <w:pPr>
      <w:ind w:left="200" w:hanging="200" w:hangingChars="200"/>
    </w:pPr>
  </w:style>
  <w:style w:type="paragraph" w:styleId="16">
    <w:name w:val="Body Text 2"/>
    <w:basedOn w:val="1"/>
    <w:next w:val="1"/>
    <w:qFormat/>
    <w:uiPriority w:val="0"/>
    <w:pPr>
      <w:spacing w:line="360" w:lineRule="auto"/>
      <w:jc w:val="left"/>
    </w:pPr>
    <w:rPr>
      <w:sz w:val="24"/>
    </w:rPr>
  </w:style>
  <w:style w:type="paragraph" w:styleId="17">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8">
    <w:name w:val="Body Text First Indent"/>
    <w:basedOn w:val="9"/>
    <w:next w:val="1"/>
    <w:qFormat/>
    <w:uiPriority w:val="99"/>
    <w:pPr>
      <w:spacing w:after="120" w:afterLines="0"/>
      <w:ind w:firstLine="420" w:firstLineChars="100"/>
    </w:pPr>
    <w:rPr>
      <w:sz w:val="21"/>
    </w:rPr>
  </w:style>
  <w:style w:type="paragraph" w:styleId="19">
    <w:name w:val="Body Text First Indent 2"/>
    <w:basedOn w:val="1"/>
    <w:next w:val="1"/>
    <w:qFormat/>
    <w:uiPriority w:val="0"/>
    <w:pPr>
      <w:ind w:firstLine="420" w:firstLineChars="200"/>
    </w:pPr>
    <w:rPr>
      <w:rFonts w:ascii="宋体" w:hAnsi="宋体" w:eastAsia="宋体" w:cs="Times New Roman"/>
      <w:kern w:val="2"/>
      <w:sz w:val="21"/>
      <w:szCs w:val="24"/>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Hyperlink"/>
    <w:basedOn w:val="22"/>
    <w:qFormat/>
    <w:uiPriority w:val="0"/>
    <w:rPr>
      <w:color w:val="0000FF"/>
      <w:u w:val="single"/>
    </w:rPr>
  </w:style>
  <w:style w:type="character" w:styleId="24">
    <w:name w:val="annotation reference"/>
    <w:basedOn w:val="22"/>
    <w:qFormat/>
    <w:uiPriority w:val="0"/>
    <w:rPr>
      <w:sz w:val="21"/>
      <w:szCs w:val="21"/>
    </w:rPr>
  </w:style>
  <w:style w:type="paragraph" w:customStyle="1" w:styleId="25">
    <w:name w:val="表头"/>
    <w:basedOn w:val="26"/>
    <w:next w:val="27"/>
    <w:link w:val="28"/>
    <w:qFormat/>
    <w:uiPriority w:val="0"/>
    <w:pPr>
      <w:snapToGrid w:val="0"/>
      <w:spacing w:line="360" w:lineRule="auto"/>
      <w:ind w:left="0" w:firstLine="0" w:firstLineChars="0"/>
      <w:jc w:val="center"/>
    </w:pPr>
    <w:rPr>
      <w:rFonts w:ascii="Times New Roman" w:hAnsi="Times New Roman" w:eastAsia="宋体" w:cs="宋体"/>
      <w:b/>
      <w:snapToGrid w:val="0"/>
      <w:color w:val="000000"/>
      <w:spacing w:val="6"/>
      <w:kern w:val="10"/>
      <w:sz w:val="24"/>
      <w:szCs w:val="20"/>
    </w:rPr>
  </w:style>
  <w:style w:type="paragraph" w:customStyle="1" w:styleId="26">
    <w:name w:val="1正文段落"/>
    <w:basedOn w:val="1"/>
    <w:qFormat/>
    <w:uiPriority w:val="0"/>
    <w:pPr>
      <w:spacing w:line="360" w:lineRule="auto"/>
      <w:ind w:firstLine="200" w:firstLineChars="200"/>
    </w:pPr>
    <w:rPr>
      <w:rFonts w:cs="Times New Roman"/>
      <w:snapToGrid w:val="0"/>
      <w:kern w:val="0"/>
      <w:sz w:val="24"/>
      <w:szCs w:val="21"/>
    </w:rPr>
  </w:style>
  <w:style w:type="paragraph" w:customStyle="1" w:styleId="27">
    <w:name w:val="表格"/>
    <w:basedOn w:val="25"/>
    <w:next w:val="1"/>
    <w:qFormat/>
    <w:uiPriority w:val="0"/>
    <w:pPr>
      <w:adjustRightInd w:val="0"/>
      <w:snapToGrid w:val="0"/>
      <w:spacing w:line="240" w:lineRule="auto"/>
      <w:ind w:firstLine="0"/>
      <w:jc w:val="center"/>
    </w:pPr>
    <w:rPr>
      <w:rFonts w:ascii="Times New Roman" w:hAnsi="Times New Roman"/>
      <w:kern w:val="0"/>
      <w:sz w:val="21"/>
      <w:szCs w:val="20"/>
    </w:rPr>
  </w:style>
  <w:style w:type="character" w:customStyle="1" w:styleId="28">
    <w:name w:val="表头 Char"/>
    <w:link w:val="25"/>
    <w:qFormat/>
    <w:uiPriority w:val="0"/>
    <w:rPr>
      <w:rFonts w:ascii="Times New Roman" w:hAnsi="Times New Roman" w:eastAsia="宋体" w:cs="宋体"/>
      <w:b/>
      <w:snapToGrid w:val="0"/>
      <w:color w:val="000000"/>
      <w:spacing w:val="6"/>
      <w:kern w:val="10"/>
      <w:sz w:val="24"/>
      <w:szCs w:val="20"/>
      <w:lang w:val="en-US" w:eastAsia="zh-CN" w:bidi="ar-SA"/>
    </w:rPr>
  </w:style>
  <w:style w:type="paragraph" w:customStyle="1" w:styleId="29">
    <w:name w:val="p19"/>
    <w:basedOn w:val="1"/>
    <w:autoRedefine/>
    <w:qFormat/>
    <w:uiPriority w:val="0"/>
    <w:pPr>
      <w:widowControl/>
      <w:spacing w:before="50" w:line="360" w:lineRule="auto"/>
      <w:ind w:firstLine="482"/>
    </w:pPr>
    <w:rPr>
      <w:kern w:val="0"/>
      <w:sz w:val="24"/>
      <w:szCs w:val="24"/>
    </w:rPr>
  </w:style>
  <w:style w:type="paragraph" w:customStyle="1" w:styleId="30">
    <w:name w:val="小标题"/>
    <w:basedOn w:val="1"/>
    <w:autoRedefine/>
    <w:qFormat/>
    <w:uiPriority w:val="0"/>
    <w:pPr>
      <w:adjustRightInd w:val="0"/>
      <w:spacing w:beforeLines="50" w:after="48"/>
      <w:ind w:firstLine="480" w:firstLineChars="200"/>
      <w:textAlignment w:val="baseline"/>
    </w:pPr>
    <w:rPr>
      <w:rFonts w:ascii="宋体"/>
      <w:b/>
      <w:bCs/>
      <w:color w:val="000000"/>
      <w:kern w:val="0"/>
      <w:sz w:val="24"/>
      <w:u w:val="single"/>
    </w:rPr>
  </w:style>
  <w:style w:type="paragraph" w:customStyle="1" w:styleId="31">
    <w:name w:val="报告表  段"/>
    <w:basedOn w:val="1"/>
    <w:qFormat/>
    <w:uiPriority w:val="0"/>
    <w:pPr>
      <w:adjustRightInd w:val="0"/>
      <w:spacing w:line="360" w:lineRule="auto"/>
      <w:ind w:firstLine="505"/>
      <w:textAlignment w:val="baseline"/>
    </w:pPr>
    <w:rPr>
      <w:rFonts w:ascii="宋体" w:hAnsi="Times New Roman" w:eastAsia="宋体" w:cs="Times New Roman"/>
      <w:kern w:val="0"/>
      <w:sz w:val="24"/>
      <w:szCs w:val="20"/>
    </w:rPr>
  </w:style>
  <w:style w:type="character" w:customStyle="1" w:styleId="32">
    <w:name w:val="MSG_EN_FONT_STYLE_NAME_TEMPLATE_ROLE_NUMBER MSG_EN_FONT_STYLE_NAME_BY_ROLE_TEXT 9 + MSG_EN_FONT_STYLE_MODIFER_SIZE 10.5"/>
    <w:qFormat/>
    <w:uiPriority w:val="0"/>
    <w:rPr>
      <w:rFonts w:hint="eastAsia" w:ascii="PMingLiU" w:hAnsi="PMingLiU" w:eastAsia="PMingLiU" w:cs="PMingLiU"/>
      <w:color w:val="000000"/>
      <w:spacing w:val="0"/>
      <w:w w:val="100"/>
      <w:position w:val="0"/>
      <w:sz w:val="21"/>
      <w:szCs w:val="21"/>
      <w:u w:val="none"/>
      <w:lang w:val="zh-CN" w:eastAsia="zh-CN" w:bidi="zh-CN"/>
    </w:rPr>
  </w:style>
  <w:style w:type="paragraph" w:customStyle="1" w:styleId="33">
    <w:name w:val="正文样式"/>
    <w:basedOn w:val="1"/>
    <w:qFormat/>
    <w:uiPriority w:val="0"/>
    <w:pPr>
      <w:adjustRightInd w:val="0"/>
      <w:snapToGrid w:val="0"/>
      <w:spacing w:line="360" w:lineRule="auto"/>
      <w:ind w:firstLine="200" w:firstLineChars="200"/>
      <w:jc w:val="left"/>
    </w:pPr>
    <w:rPr>
      <w:rFonts w:ascii="Times New Roman" w:hAnsi="Times New Roman" w:eastAsia="宋体" w:cs="Times New Roman"/>
      <w:sz w:val="24"/>
    </w:rPr>
  </w:style>
  <w:style w:type="paragraph" w:styleId="34">
    <w:name w:val="List Paragraph"/>
    <w:basedOn w:val="1"/>
    <w:autoRedefine/>
    <w:qFormat/>
    <w:uiPriority w:val="34"/>
    <w:pPr>
      <w:ind w:firstLine="420" w:firstLineChars="200"/>
    </w:pPr>
    <w:rPr>
      <w:szCs w:val="24"/>
      <w:lang w:val="en-GB" w:eastAsia="zh-TW"/>
    </w:rPr>
  </w:style>
  <w:style w:type="paragraph" w:customStyle="1" w:styleId="35">
    <w:name w:val="Table Text"/>
    <w:basedOn w:val="1"/>
    <w:autoRedefine/>
    <w:semiHidden/>
    <w:qFormat/>
    <w:uiPriority w:val="0"/>
    <w:rPr>
      <w:rFonts w:ascii="宋体" w:hAnsi="宋体" w:cs="宋体"/>
      <w:sz w:val="20"/>
      <w:lang w:eastAsia="en-US"/>
    </w:rPr>
  </w:style>
  <w:style w:type="paragraph" w:customStyle="1" w:styleId="36">
    <w:name w:val="报告正文"/>
    <w:basedOn w:val="1"/>
    <w:qFormat/>
    <w:uiPriority w:val="0"/>
    <w:pPr>
      <w:adjustRightInd w:val="0"/>
      <w:snapToGrid w:val="0"/>
      <w:spacing w:line="480" w:lineRule="exact"/>
      <w:ind w:firstLine="200" w:firstLineChars="200"/>
    </w:pPr>
    <w:rPr>
      <w:color w:val="000000"/>
      <w:kern w:val="0"/>
      <w:sz w:val="24"/>
    </w:rPr>
  </w:style>
  <w:style w:type="paragraph" w:customStyle="1" w:styleId="37">
    <w:name w:val="Plain Text"/>
    <w:basedOn w:val="1"/>
    <w:qFormat/>
    <w:uiPriority w:val="0"/>
    <w:pPr>
      <w:adjustRightInd w:val="0"/>
      <w:jc w:val="left"/>
    </w:pPr>
    <w:rPr>
      <w:rFonts w:ascii="宋体" w:hAnsi="Courier New" w:eastAsia="宋体" w:cs="Times New Roman"/>
      <w:sz w:val="24"/>
      <w:szCs w:val="20"/>
    </w:rPr>
  </w:style>
  <w:style w:type="paragraph" w:customStyle="1" w:styleId="38">
    <w:name w:val="_Style 2"/>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39">
    <w:name w:val="无间隔3"/>
    <w:next w:val="1"/>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40">
    <w:name w:val="样式 标题 1 + 四号 段前: 0 磅 段后: 0 磅 行距: 1.5 倍行距"/>
    <w:basedOn w:val="41"/>
    <w:next w:val="42"/>
    <w:qFormat/>
    <w:uiPriority w:val="0"/>
    <w:pPr>
      <w:adjustRightInd w:val="0"/>
      <w:snapToGrid w:val="0"/>
      <w:spacing w:before="0" w:after="0" w:line="360" w:lineRule="auto"/>
      <w:ind w:firstLine="200" w:firstLineChars="200"/>
      <w:jc w:val="center"/>
    </w:pPr>
    <w:rPr>
      <w:sz w:val="28"/>
      <w:szCs w:val="20"/>
    </w:rPr>
  </w:style>
  <w:style w:type="paragraph" w:customStyle="1" w:styleId="41">
    <w:name w:val="报告表正文"/>
    <w:basedOn w:val="1"/>
    <w:qFormat/>
    <w:uiPriority w:val="99"/>
    <w:pPr>
      <w:spacing w:line="360" w:lineRule="auto"/>
      <w:ind w:firstLine="200" w:firstLineChars="200"/>
      <w:outlineLvl w:val="0"/>
    </w:pPr>
    <w:rPr>
      <w:bCs/>
      <w:color w:val="000000"/>
      <w:sz w:val="24"/>
      <w:szCs w:val="24"/>
    </w:rPr>
  </w:style>
  <w:style w:type="paragraph" w:customStyle="1" w:styleId="42">
    <w:name w:val="文本正文"/>
    <w:basedOn w:val="1"/>
    <w:qFormat/>
    <w:uiPriority w:val="0"/>
    <w:pPr>
      <w:spacing w:line="480" w:lineRule="exact"/>
      <w:ind w:firstLine="560" w:firstLineChars="200"/>
    </w:pPr>
    <w:rPr>
      <w:rFonts w:ascii="仿宋_GB2312" w:hAnsi="宋体" w:eastAsia="仿宋_GB2312" w:cs="Courier New"/>
      <w:sz w:val="28"/>
      <w:szCs w:val="28"/>
    </w:rPr>
  </w:style>
  <w:style w:type="paragraph" w:customStyle="1" w:styleId="43">
    <w:name w:val="宗兴正文"/>
    <w:basedOn w:val="1"/>
    <w:qFormat/>
    <w:uiPriority w:val="0"/>
    <w:pPr>
      <w:spacing w:line="360" w:lineRule="auto"/>
      <w:ind w:firstLine="200" w:firstLineChars="200"/>
      <w:jc w:val="left"/>
    </w:pPr>
    <w:rPr>
      <w:sz w:val="24"/>
    </w:rPr>
  </w:style>
  <w:style w:type="paragraph" w:customStyle="1" w:styleId="44">
    <w:name w:val="表格 32"/>
    <w:basedOn w:val="1"/>
    <w:qFormat/>
    <w:uiPriority w:val="0"/>
    <w:pPr>
      <w:autoSpaceDE w:val="0"/>
      <w:autoSpaceDN w:val="0"/>
      <w:adjustRightInd w:val="0"/>
      <w:jc w:val="center"/>
      <w:textAlignment w:val="baseline"/>
    </w:pPr>
    <w:rPr>
      <w:rFonts w:ascii="宋体" w:hAnsi="Impact"/>
      <w:kern w:val="24"/>
      <w:sz w:val="24"/>
      <w:szCs w:val="20"/>
    </w:rPr>
  </w:style>
  <w:style w:type="paragraph" w:customStyle="1" w:styleId="45">
    <w:name w:val="p0"/>
    <w:basedOn w:val="1"/>
    <w:qFormat/>
    <w:uiPriority w:val="0"/>
    <w:pPr>
      <w:widowControl/>
      <w:ind w:firstLine="420"/>
    </w:pPr>
    <w:rPr>
      <w:kern w:val="0"/>
      <w:szCs w:val="21"/>
    </w:rPr>
  </w:style>
  <w:style w:type="character" w:customStyle="1" w:styleId="46">
    <w:name w:val="标题 2 Char"/>
    <w:link w:val="3"/>
    <w:qFormat/>
    <w:uiPriority w:val="0"/>
    <w:rPr>
      <w:rFonts w:hint="eastAsia" w:ascii="宋体" w:hAnsi="宋体" w:eastAsia="宋体" w:cs="宋体"/>
      <w:b/>
      <w:bCs/>
      <w:kern w:val="0"/>
      <w:sz w:val="36"/>
      <w:szCs w:val="36"/>
      <w:lang w:val="en-US" w:eastAsia="zh-CN" w:bidi="ar"/>
    </w:rPr>
  </w:style>
  <w:style w:type="paragraph" w:customStyle="1" w:styleId="47">
    <w:name w:val="表内 定"/>
    <w:basedOn w:val="1"/>
    <w:qFormat/>
    <w:uiPriority w:val="0"/>
    <w:rPr>
      <w:rFonts w:ascii="Calibri" w:hAnsi="Calibri"/>
      <w:color w:val="000000"/>
    </w:rPr>
  </w:style>
  <w:style w:type="paragraph" w:customStyle="1" w:styleId="48">
    <w:name w:val="纯文本4"/>
    <w:basedOn w:val="1"/>
    <w:qFormat/>
    <w:uiPriority w:val="0"/>
    <w:pPr>
      <w:adjustRightInd w:val="0"/>
      <w:jc w:val="left"/>
    </w:pPr>
    <w:rPr>
      <w:rFonts w:ascii="宋体" w:hAnsi="Courier New"/>
      <w:sz w:val="24"/>
    </w:rPr>
  </w:style>
  <w:style w:type="table" w:customStyle="1" w:styleId="49">
    <w:name w:val="Table Normal"/>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6" Type="http://schemas.microsoft.com/office/2011/relationships/people" Target="people.xml"/><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png"/><Relationship Id="rId6" Type="http://schemas.openxmlformats.org/officeDocument/2006/relationships/footer" Target="footer1.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header" Target="header1.xml"/><Relationship Id="rId49" Type="http://schemas.openxmlformats.org/officeDocument/2006/relationships/image" Target="media/image31.jpe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pn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png"/><Relationship Id="rId4" Type="http://schemas.microsoft.com/office/2011/relationships/commentsExtended" Target="commentsExtended.xml"/><Relationship Id="rId39" Type="http://schemas.openxmlformats.org/officeDocument/2006/relationships/image" Target="media/image21.png"/><Relationship Id="rId38" Type="http://schemas.openxmlformats.org/officeDocument/2006/relationships/image" Target="media/image20.jpe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comments" Target="comments.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wmf"/><Relationship Id="rId25" Type="http://schemas.openxmlformats.org/officeDocument/2006/relationships/oleObject" Target="embeddings/oleObject8.bin"/><Relationship Id="rId24" Type="http://schemas.openxmlformats.org/officeDocument/2006/relationships/oleObject" Target="embeddings/oleObject7.bin"/><Relationship Id="rId23" Type="http://schemas.openxmlformats.org/officeDocument/2006/relationships/image" Target="media/image7.wmf"/><Relationship Id="rId22" Type="http://schemas.openxmlformats.org/officeDocument/2006/relationships/oleObject" Target="embeddings/oleObject6.bin"/><Relationship Id="rId21" Type="http://schemas.openxmlformats.org/officeDocument/2006/relationships/image" Target="media/image6.w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5.wmf"/><Relationship Id="rId18" Type="http://schemas.openxmlformats.org/officeDocument/2006/relationships/oleObject" Target="embeddings/oleObject4.bin"/><Relationship Id="rId17" Type="http://schemas.openxmlformats.org/officeDocument/2006/relationships/oleObject" Target="embeddings/oleObject3.bin"/><Relationship Id="rId16" Type="http://schemas.openxmlformats.org/officeDocument/2006/relationships/image" Target="media/image4.wmf"/><Relationship Id="rId15" Type="http://schemas.openxmlformats.org/officeDocument/2006/relationships/oleObject" Target="embeddings/oleObject2.bin"/><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wmf"/><Relationship Id="rId11" Type="http://schemas.openxmlformats.org/officeDocument/2006/relationships/oleObject" Target="embeddings/oleObject1.bin"/><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138</Pages>
  <Words>27014</Words>
  <Characters>28540</Characters>
  <Lines>0</Lines>
  <Paragraphs>0</Paragraphs>
  <TotalTime>0</TotalTime>
  <ScaleCrop>false</ScaleCrop>
  <LinksUpToDate>false</LinksUpToDate>
  <CharactersWithSpaces>28645</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2024-05-08T00:33:00Z</dcterms:created>
  <dc:creator>Administrator</dc:creator>
  <cp:lastModifiedBy>zhou</cp:lastModifiedBy>
  <cp:lastPrinted>2025-09-30T06:59:00Z</cp:lastPrinted>
  <dcterms:modified xsi:type="dcterms:W3CDTF">2025-10-05T05:16:17Z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13AA74516B5E415CBA34A25DCB912229_12</vt:lpwstr>
  </property>
  <property fmtid="{D5CDD505-2E9C-101B-9397-08002B2CF9AE}" pid="4" name="KSOTemplateDocerSaveRecord">
    <vt:lpwstr>eyJoZGlkIjoiNDdhOTM4NDUzNzY1MjMwYWQ2NzQyNmQyNzAzNDE4OWQiLCJ1c2VySWQiOiI0NTU4NzgyNjYifQ==</vt:lpwstr>
  </property>
</Properties>
</file>